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and Scope Handling</w:t>
        <w:tab/>
        <w:t>29</w:t>
      </w:r>
    </w:p>
    <w:p>
      <w:pPr>
        <w:spacing w:after="80" w:before="0" w:line="360" w:lineRule="auto"/>
        <w:ind w:left="432"/>
        <w:jc w:val="both"/>
        <w:tabs>
          <w:tab w:val="right" w:leader="dot" w:pos="8640"/>
        </w:tabs>
      </w:pPr>
      <w:r>
        <w:rPr>
          <w:rFonts w:ascii="Times New Roman" w:hAnsi="Times New Roman"/>
          <w:b w:val="0"/>
          <w:sz w:val="23"/>
        </w:rPr>
        <w:t>5.7 Baseline and Runtime Analysis</w:t>
        <w:tab/>
        <w:t>30</w:t>
      </w:r>
    </w:p>
    <w:p>
      <w:pPr>
        <w:spacing w:after="80" w:before="0" w:line="360" w:lineRule="auto"/>
        <w:ind w:left="432"/>
        <w:jc w:val="both"/>
        <w:tabs>
          <w:tab w:val="right" w:leader="dot" w:pos="8640"/>
        </w:tabs>
      </w:pPr>
      <w:r>
        <w:rPr>
          <w:rFonts w:ascii="Times New Roman" w:hAnsi="Times New Roman"/>
          <w:b w:val="0"/>
          <w:sz w:val="23"/>
        </w:rPr>
        <w:t>5.8 Comparative Discussion and Robustness</w:t>
        <w:tab/>
        <w:t>31</w:t>
      </w:r>
    </w:p>
    <w:p>
      <w:pPr>
        <w:spacing w:after="80" w:before="0" w:line="360" w:lineRule="auto"/>
        <w:ind w:left="432"/>
        <w:jc w:val="both"/>
        <w:tabs>
          <w:tab w:val="right" w:leader="dot" w:pos="8640"/>
        </w:tabs>
      </w:pPr>
      <w:r>
        <w:rPr>
          <w:rFonts w:ascii="Times New Roman" w:hAnsi="Times New Roman"/>
          <w:b w:val="0"/>
          <w:sz w:val="23"/>
        </w:rPr>
        <w:t>5.9 Abstention-Aware Evaluation</w:t>
        <w:tab/>
        <w:t>32</w:t>
      </w:r>
    </w:p>
    <w:p>
      <w:pPr>
        <w:spacing w:after="80" w:before="0" w:line="360" w:lineRule="auto"/>
        <w:ind w:left="432"/>
        <w:jc w:val="both"/>
        <w:tabs>
          <w:tab w:val="right" w:leader="dot" w:pos="8640"/>
        </w:tabs>
      </w:pPr>
      <w:r>
        <w:rPr>
          <w:rFonts w:ascii="Times New Roman" w:hAnsi="Times New Roman"/>
          <w:b w:val="0"/>
          <w:sz w:val="23"/>
        </w:rPr>
        <w:t>5.10 Coverage Against the Platform's Native Report Suite</w:t>
        <w:tab/>
        <w:t>34</w:t>
      </w:r>
    </w:p>
    <w:p>
      <w:pPr>
        <w:spacing w:after="160" w:before="80" w:line="360" w:lineRule="auto"/>
        <w:ind w:left="0"/>
        <w:jc w:val="both"/>
        <w:tabs>
          <w:tab w:val="right" w:leader="dot" w:pos="8640"/>
        </w:tabs>
      </w:pPr>
      <w:r>
        <w:rPr>
          <w:rFonts w:ascii="Times New Roman" w:hAnsi="Times New Roman"/>
          <w:b/>
          <w:sz w:val="24"/>
        </w:rPr>
        <w:t>Chapter 6: Limitations and Future Work</w:t>
        <w:tab/>
        <w:t>36</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38</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Semantic-correctness annotation summary</w:t>
        <w:tab/>
        <w:t>29</w:t>
      </w:r>
    </w:p>
    <w:p>
      <w:pPr>
        <w:spacing w:after="80" w:before="0" w:line="360" w:lineRule="auto"/>
        <w:jc w:val="both"/>
        <w:tabs>
          <w:tab w:val="right" w:leader="dot" w:pos="8640"/>
        </w:tabs>
      </w:pPr>
      <w:r>
        <w:rPr>
          <w:rFonts w:ascii="Times New Roman" w:hAnsi="Times New Roman"/>
          <w:sz w:val="24"/>
        </w:rPr>
        <w:t>Table 5.7: Completed baseline comparison</w:t>
        <w:tab/>
        <w:t>30</w:t>
      </w:r>
    </w:p>
    <w:p>
      <w:pPr>
        <w:spacing w:after="80" w:before="0" w:line="360" w:lineRule="auto"/>
        <w:jc w:val="both"/>
        <w:tabs>
          <w:tab w:val="right" w:leader="dot" w:pos="8640"/>
        </w:tabs>
      </w:pPr>
      <w:r>
        <w:rPr>
          <w:rFonts w:ascii="Times New Roman" w:hAnsi="Times New Roman"/>
          <w:sz w:val="24"/>
        </w:rPr>
        <w:t>Table 5.8: Runtime evidence</w:t>
        <w:tab/>
        <w:t>30</w:t>
      </w:r>
    </w:p>
    <w:p>
      <w:pPr>
        <w:spacing w:after="80" w:before="0" w:line="360" w:lineRule="auto"/>
        <w:jc w:val="both"/>
        <w:tabs>
          <w:tab w:val="right" w:leader="dot" w:pos="8640"/>
        </w:tabs>
      </w:pPr>
      <w:r>
        <w:rPr>
          <w:rFonts w:ascii="Times New Roman" w:hAnsi="Times New Roman"/>
          <w:sz w:val="24"/>
        </w:rPr>
        <w:t>Table 5.9: Structural comparison</w:t>
        <w:tab/>
        <w:t>31</w:t>
      </w:r>
    </w:p>
    <w:p>
      <w:pPr>
        <w:spacing w:after="80" w:before="0" w:line="360" w:lineRule="auto"/>
        <w:jc w:val="both"/>
        <w:tabs>
          <w:tab w:val="right" w:leader="dot" w:pos="8640"/>
        </w:tabs>
      </w:pPr>
      <w:r>
        <w:rPr>
          <w:rFonts w:ascii="Times New Roman" w:hAnsi="Times New Roman"/>
          <w:sz w:val="24"/>
        </w:rPr>
        <w:t>Table 5.10: Abstention-aware evaluation metrics</w:t>
        <w:tab/>
        <w:t>32</w:t>
      </w:r>
    </w:p>
    <w:p>
      <w:pPr>
        <w:spacing w:after="80" w:before="0" w:line="360" w:lineRule="auto"/>
        <w:jc w:val="both"/>
        <w:tabs>
          <w:tab w:val="right" w:leader="dot" w:pos="8640"/>
        </w:tabs>
      </w:pPr>
      <w:r>
        <w:rPr>
          <w:rFonts w:ascii="Times New Roman" w:hAnsi="Times New Roman"/>
          <w:sz w:val="24"/>
        </w:rPr>
        <w:t>Table 5.11: False-abstention improvement trajectory</w:t>
        <w:tab/>
        <w:t>33</w:t>
      </w:r>
    </w:p>
    <w:p>
      <w:pPr>
        <w:spacing w:after="80" w:before="0" w:line="360" w:lineRule="auto"/>
        <w:jc w:val="both"/>
        <w:tabs>
          <w:tab w:val="right" w:leader="dot" w:pos="8640"/>
        </w:tabs>
      </w:pPr>
      <w:r>
        <w:rPr>
          <w:rFonts w:ascii="Times New Roman" w:hAnsi="Times New Roman"/>
          <w:sz w:val="24"/>
        </w:rPr>
        <w:t>Table 5.12: Coverage of nopCommerce's standard admin reports</w:t>
        <w:tab/>
        <w:t>34</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Benchmark evidence from 107 mixed requests showing SQL safety and true execution validity, while keeping semantic correctness as a separate metric.</w:t>
      </w:r>
    </w:p>
    <w:p>
      <w:pPr>
        <w:pStyle w:val="ListNumber"/>
        <w:spacing w:after="80" w:line="360" w:lineRule="auto"/>
      </w:pPr>
      <w:r>
        <w:rPr>
          <w:rFonts w:ascii="Times New Roman" w:hAnsi="Times New Roman"/>
          <w:sz w:val="24"/>
        </w:rPr>
        <w:t>A future cross-schema evaluation objective to test reuse of the same compiler and safety architecture with another e-commerce schema.</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6,320 order items, 1,492 shipments, and 17 products across 8 categories (counted from the loaded database; the "1,000 products across 50 categories" of earlier drafts is withdrawn)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true execution validity, a first-pass semantic-correctness annotation, runtime evidence, and completed baseline execution for the baselines retained in this thesis.</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uses three baselines that are all executed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tests whether decomposition alone improves SQL generation without AEGIS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tests the deterministic mapper and compiler when the LLM intent parser is removed.</w:t>
      </w:r>
    </w:p>
    <w:p>
      <w:pPr>
        <w:spacing w:after="0" w:before="0" w:line="360" w:lineRule="auto"/>
        <w:jc w:val="both"/>
      </w:pPr>
      <w:r>
        <w:rPr>
          <w:rFonts w:ascii="Times New Roman" w:hAnsi="Times New Roman"/>
          <w:b w:val="0"/>
          <w:i w:val="0"/>
          <w:sz w:val="24"/>
        </w:rPr>
        <w:t>An earlier possible B4 idea was not retained as a thesis baseline because bypassing the semantic layer would no longer test the proposed AEGIS architecture. It is therefore treated as future ablation work rather than an unevaluated baseline in the current results.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accurate are the generated answers at the semantic level? Measured through a machine-assisted first-pass annotation that checks expected metric, grouping, time/filter, and required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How does the system behave under harder requests? Measured by scope-handling annotation for unsupported, vague, compound, and write-style requests in the same 107-request benchmark.</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AEGIS and three completed baselines: B1 direct LLM-to-SQL, B2 decomposed LLM-to-SQL, and B3 template-only. It also includes a machine-assisted first-pass semantic-correctness annotation and runtime evidence from the live LLM gateway and Docker MySQL execution.</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B2 decomposed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Correctness annotation</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Machine-assisted first pass over all 107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Runtime evidence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LLM gateway responses observed around 12-30 seconds; SQL replay measured in milliseconds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Remaining manual step</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Human spot-checking of semantic-correctness annotations before final submission</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B2: 33 of 107; B3: 104 of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LLM-to-SQL baselines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32 of 107 overall; 32 of 54 answerable requests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16; B2: 19; B3: 21 correct overall</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had the strongest answerable-request correctness in the annotation</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First-pass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Runtime</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SQL replay mean 13.22 ms; live LLM responses commonly 12-30 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B2 requires two LLM calls per request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LLM response time dominates user-visible latency</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 / observed</w:t>
            </w:r>
          </w:p>
        </w:tc>
      </w:tr>
    </w:tbl>
    <w:p>
      <w:pPr>
        <w:spacing w:after="80"/>
      </w:pPr>
    </w:p>
    <w:p>
      <w:pPr>
        <w:spacing w:after="0" w:before="0" w:line="360" w:lineRule="auto"/>
        <w:jc w:val="both"/>
      </w:pPr>
      <w:r>
        <w:rPr>
          <w:rFonts w:ascii="Times New Roman" w:hAnsi="Times New Roman"/>
          <w:b w:val="0"/>
          <w:i/>
          <w:sz w:val="22"/>
        </w:rPr>
        <w:t>The execution-validity and semantic-correctness rows above were measured against the pipeline version in place before the three abstention-focused interventions described in Section 5.9, and have not been re-measured under the current configuration; they are reported here as the baseline against which Section 5.9 states its improvement. The abstention-aware metrics in Section 5.9 are current.</w:t>
      </w: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after="200" w:before="0" w:line="360" w:lineRule="auto"/>
        <w:jc w:val="both"/>
      </w:pPr>
      <w:r>
        <w:rPr>
          <w:rFonts w:ascii="Times New Roman" w:hAnsi="Times New Roman"/>
          <w:b w:val="0"/>
          <w:i/>
          <w:sz w:val="22"/>
        </w:rPr>
        <w:t>The results in this section are the earlier baseline pipeline run: the same run referenced in Table 5.2. Re-running true database execution against the current pipeline, after the interventions described in Section 5.9, is outstanding work.</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B2 (Decomposed LLM)</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33 of 107 executed successfully (30.8%)</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Decomposition improved slightly over B1, but many SQL errors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and Scope Handling</w:t>
      </w:r>
    </w:p>
    <w:p>
      <w:pPr>
        <w:spacing w:after="200" w:before="0" w:line="360" w:lineRule="auto"/>
        <w:jc w:val="both"/>
      </w:pPr>
      <w:r>
        <w:rPr>
          <w:rFonts w:ascii="Times New Roman" w:hAnsi="Times New Roman"/>
          <w:b w:val="0"/>
          <w:i w:val="0"/>
          <w:sz w:val="24"/>
        </w:rPr>
        <w:t>Correctness or accuracy must be treated separately from execution validity. A machine-assisted annotation pass was therefore added after the supervisor review. Each row was checked against the expected metric, grouping, time or filter, and required behavior. This annotation is a first pass and should be manually spot-checked before final submission, but it gives the thesis a concrete correctness measurement instead of relying only on SQL execution.</w:t>
      </w:r>
    </w:p>
    <w:p>
      <w:pPr>
        <w:spacing w:before="200" w:after="80"/>
        <w:jc w:val="center"/>
        <w:keepNext/>
      </w:pPr>
      <w:r>
        <w:rPr>
          <w:rFonts w:ascii="Times New Roman" w:hAnsi="Times New Roman"/>
          <w:b/>
          <w:sz w:val="22"/>
        </w:rPr>
        <w:t>Table 5.6: Semantic-correctness annotation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016"/>
        <w:gridCol w:w="2088"/>
        <w:gridCol w:w="201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Overall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Answerable requests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Scope/write handling</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32 of 54 (59.3%)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15 of 54 (27.8%)</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18 of 54 (33.3%)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21 of 54 (38.9%)</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bl>
    <w:p>
      <w:pPr>
        <w:spacing w:after="80"/>
      </w:pPr>
    </w:p>
    <w:p>
      <w:pPr>
        <w:spacing w:after="0" w:before="0" w:line="360" w:lineRule="auto"/>
        <w:jc w:val="both"/>
      </w:pPr>
      <w:r>
        <w:rPr>
          <w:rFonts w:ascii="Times New Roman" w:hAnsi="Times New Roman"/>
          <w:b w:val="0"/>
          <w:i w:val="0"/>
          <w:sz w:val="24"/>
        </w:rPr>
        <w:t>The annotation shows two findings. For answerable requests, AEGIS scored higher than the LLM-to-SQL and template-only baselines. For unsupported, vague, compound, or write-style requests, none of the evaluated systems handled the scope boundary correctly in this first pass. AEGIS still maintained SQL safety, but it often mapped unsupported requests to safe but semantically wrong in-scope queries. This is a correctness and robustness limitation, not a SQL-safety failure.</w:t>
      </w:r>
    </w:p>
    <w:p>
      <w:pPr>
        <w:spacing w:after="200" w:before="0" w:line="360" w:lineRule="auto"/>
        <w:jc w:val="both"/>
      </w:pPr>
      <w:r>
        <w:rPr>
          <w:rFonts w:ascii="Times New Roman" w:hAnsi="Times New Roman"/>
          <w:b w:val="0"/>
          <w:i/>
          <w:sz w:val="22"/>
        </w:rPr>
        <w:t>This annotation is the same 32-of-107 figure reported as translation precision in Section 5.9. It is scored against aegis_correct labels that describe the SQL produced by the pipeline version that existed before the abstention interventions in Section 5.9, so the same count is being re-read rather than re-measured. Section 5.9 marks it accordingly and states which of this chapter's metrics remain quotable.</w:t>
      </w:r>
    </w:p>
    <w:p>
      <w:pPr>
        <w:spacing w:before="320" w:after="160"/>
        <w:jc w:val="left"/>
      </w:pPr>
      <w:r>
        <w:rPr>
          <w:rFonts w:ascii="Times New Roman" w:hAnsi="Times New Roman"/>
          <w:b/>
          <w:sz w:val="28"/>
        </w:rPr>
        <w:t>5.7  Baseline and Runtime Analysis</w:t>
      </w:r>
    </w:p>
    <w:p>
      <w:pPr>
        <w:spacing w:after="200" w:before="0" w:line="360" w:lineRule="auto"/>
        <w:jc w:val="both"/>
      </w:pPr>
      <w:r>
        <w:rPr>
          <w:rFonts w:ascii="Times New Roman" w:hAnsi="Times New Roman"/>
          <w:b w:val="0"/>
          <w:i w:val="0"/>
          <w:sz w:val="24"/>
        </w:rPr>
        <w:t>The completed baselines show different failure modes. B1 and B2 rely on unconstrained LLM-written SQL and therefore suffer from dialect errors, missing tables, hallucinated columns, and unsafe write behavior. B3 removes the LLM and uses keyword templates, so it produces highly executable SQL but often misses the user's intended meaning.</w:t>
      </w:r>
    </w:p>
    <w:p>
      <w:pPr>
        <w:spacing w:before="200" w:after="80"/>
        <w:jc w:val="center"/>
        <w:keepNext/>
      </w:pPr>
      <w:r>
        <w:rPr>
          <w:rFonts w:ascii="Times New Roman" w:hAnsi="Times New Roman"/>
          <w:b/>
          <w:sz w:val="22"/>
        </w:rPr>
        <w:t>Table 5.7: Completed baseline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1800"/>
        <w:gridCol w:w="1800"/>
        <w:gridCol w:w="3240"/>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True execution validity</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Semantic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Main observation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27 of 107 (25.2%)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Lowest execution validity and one unsafe write statement.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33 of 107 (30.8%)</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Two-step prompting improved execution slightly but did not solve schema errors.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104 of 107 (97.2%)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SQL often runs, but keyword intent selection is semantically brittle.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100 of 107 (93.5%)</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Best correctness among evaluated systems while preserving SQL safety.</w:t>
            </w:r>
          </w:p>
        </w:tc>
      </w:tr>
    </w:tbl>
    <w:p>
      <w:pPr>
        <w:spacing w:after="80"/>
      </w:pPr>
    </w:p>
    <w:p>
      <w:pPr>
        <w:spacing w:after="200" w:before="0" w:line="360" w:lineRule="auto"/>
        <w:jc w:val="both"/>
      </w:pPr>
      <w:r>
        <w:rPr>
          <w:rFonts w:ascii="Times New Roman" w:hAnsi="Times New Roman"/>
          <w:b w:val="0"/>
          <w:i/>
          <w:sz w:val="22"/>
        </w:rPr>
        <w:t>As in Section 5.4, the AEGIS execution-validity and semantic-correctness figures above are the earlier baseline pipeline run and are superseded, for the abstention-handling behavior specifically, by the current measurements in Section 5.9.</w:t>
      </w:r>
    </w:p>
    <w:p>
      <w:pPr>
        <w:spacing w:before="200" w:after="80"/>
        <w:jc w:val="center"/>
        <w:keepNext/>
      </w:pPr>
      <w:r>
        <w:rPr>
          <w:rFonts w:ascii="Times New Roman" w:hAnsi="Times New Roman"/>
          <w:b/>
          <w:sz w:val="22"/>
        </w:rPr>
        <w:t>Table 5.8: Runtime evidence from benchmark replay and live LLM gateway.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736"/>
        <w:gridCol w:w="410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Measurement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13.22 ms; median 2.59 ms; p95 72.55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Database execution and deterministic post-LLM stages are fast.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6.88 ms; median 0.74 ms; p95 28.55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SQL execution time is small compared with LLM response time.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pipeline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13.66 ms; median 3.80 ms; p95 59.17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Template-only classification, mapping, compilation, and execution are lightweight.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Live LLM response</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Observed around 12-30 seconds per request in the gateway screenshot</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User-visible runtime is dominated by model response duration.</w:t>
            </w:r>
          </w:p>
        </w:tc>
      </w:tr>
    </w:tbl>
    <w:p>
      <w:pPr>
        <w:spacing w:after="80"/>
      </w:pPr>
    </w:p>
    <w:p>
      <w:pPr>
        <w:spacing w:after="0" w:before="0" w:line="360" w:lineRule="auto"/>
        <w:jc w:val="both"/>
      </w:pPr>
      <w:r>
        <w:rPr>
          <w:rFonts w:ascii="Times New Roman" w:hAnsi="Times New Roman"/>
          <w:b w:val="0"/>
          <w:i w:val="0"/>
          <w:sz w:val="24"/>
        </w:rPr>
        <w:t>The runtime results show why end-to-end latency must be discussed separately from SQL execution time. Once the intent or SQL text exists, database replay takes milliseconds. The visible delay comes mainly from LLM calls. B2 is especially costly because each benchmark request uses two model calls: one for reasoning and one for SQL generation.</w:t>
      </w:r>
    </w:p>
    <w:p>
      <w:pPr>
        <w:spacing w:before="320" w:after="160"/>
        <w:jc w:val="left"/>
      </w:pPr>
      <w:r>
        <w:rPr>
          <w:rFonts w:ascii="Times New Roman" w:hAnsi="Times New Roman"/>
          <w:b/>
          <w:sz w:val="28"/>
        </w:rPr>
        <w:t>5.8  Comparative Discussion and Robustness</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5.9: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pPr>
        <w:spacing w:before="320" w:after="160"/>
        <w:jc w:val="left"/>
      </w:pPr>
      <w:r>
        <w:rPr>
          <w:rFonts w:ascii="Times New Roman" w:hAnsi="Times New Roman"/>
          <w:b/>
          <w:sz w:val="28"/>
        </w:rPr>
        <w:t>5.9  Abstention-Aware Evaluation</w:t>
      </w:r>
    </w:p>
    <w:p>
      <w:pPr>
        <w:spacing w:after="200" w:before="0" w:line="360" w:lineRule="auto"/>
        <w:jc w:val="both"/>
      </w:pPr>
      <w:r>
        <w:rPr>
          <w:rFonts w:ascii="Times New Roman" w:hAnsi="Times New Roman"/>
          <w:b w:val="0"/>
          <w:i w:val="0"/>
          <w:sz w:val="24"/>
        </w:rPr>
        <w:t>Sections 5.4 through 5.7 score every request against a single pass/fail outcome. On this benchmark roughly half of the requests should not be answered at all: they are unsupported, vague, compound, or write-style, and the correct system behavior is to decline or ask for clarification rather than to produce an answer. A single aggregate accuracy figure over a set built this way is misleading in both directions: it counts a correct refusal as a failure, and it counts a confident wrong answer as a success. This section reports the refusal channel on its own terms, over the 55 requests that should be answered and the 52 that should be declined.</w:t>
      </w:r>
    </w:p>
    <w:p>
      <w:pPr>
        <w:spacing w:before="200" w:after="80"/>
        <w:jc w:val="center"/>
        <w:keepNext/>
      </w:pPr>
      <w:r>
        <w:rPr>
          <w:rFonts w:ascii="Times New Roman" w:hAnsi="Times New Roman"/>
          <w:b/>
          <w:sz w:val="22"/>
        </w:rPr>
        <w:t>Table 5.10: Abstention-aware evaluation metrics.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3672"/>
        <w:gridCol w:w="18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Definition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Translatability</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37.4% (40/107)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executable SQL, over all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Translation precision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29.9% (32/107)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the expected result, over labelled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Abstention recall</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100.0% (52/52)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Correctly declined, over requests that should be declined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False abstention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25.5% (14/55)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Wrongly declined, over requests that should be answered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Silent error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11.2% (12/107)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Answered confidently and wrongly, with no error raised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bl>
    <w:p>
      <w:pPr>
        <w:spacing w:after="80"/>
      </w:pPr>
    </w:p>
    <w:p>
      <w:pPr>
        <w:spacing w:after="200" w:before="0" w:line="360" w:lineRule="auto"/>
        <w:jc w:val="both"/>
      </w:pPr>
      <w:r>
        <w:rPr>
          <w:rFonts w:ascii="Times New Roman" w:hAnsi="Times New Roman"/>
          <w:b w:val="0"/>
          <w:i w:val="0"/>
          <w:sz w:val="24"/>
        </w:rPr>
        <w:t xml:space="preserve">Translatability and translation precision follow </w:t>
      </w:r>
      <w:r>
        <w:rPr>
          <w:rFonts w:ascii="Times New Roman" w:hAnsi="Times New Roman"/>
          <w:b w:val="0"/>
          <w:i w:val="0"/>
          <w:sz w:val="24"/>
        </w:rPr>
        <w:t>[4]</w:t>
      </w:r>
      <w:r>
        <w:rPr>
          <w:rFonts w:ascii="Times New Roman" w:hAnsi="Times New Roman"/>
          <w:b w:val="0"/>
          <w:i w:val="0"/>
          <w:sz w:val="24"/>
        </w:rPr>
        <w:t xml:space="preserve"> canonicalisation of these metrics for natural-language database interfaces: translatability asks whether a request produced any executable artefact, and translation precision asks whether that artefact produced the expected result. High translatability with low precision is the signature of a system that always answers regardless of whether the answer is right.</w:t>
      </w:r>
    </w:p>
    <w:p>
      <w:pPr>
        <w:spacing w:after="200" w:before="0" w:line="360" w:lineRule="auto"/>
        <w:jc w:val="both"/>
      </w:pPr>
      <w:r>
        <w:rPr>
          <w:rFonts w:ascii="Times New Roman" w:hAnsi="Times New Roman"/>
          <w:b w:val="0"/>
          <w:i w:val="0"/>
          <w:sz w:val="24"/>
        </w:rPr>
        <w:t xml:space="preserve">Silent error rate matters because an unnoticed wrong answer is more damaging than a visible refusal. </w:t>
      </w:r>
      <w:r>
        <w:rPr>
          <w:rFonts w:ascii="Times New Roman" w:hAnsi="Times New Roman"/>
          <w:b w:val="0"/>
          <w:i w:val="0"/>
          <w:sz w:val="24"/>
        </w:rPr>
        <w:t>[5]</w:t>
      </w:r>
      <w:r>
        <w:rPr>
          <w:rFonts w:ascii="Times New Roman" w:hAnsi="Times New Roman"/>
          <w:b w:val="0"/>
          <w:i w:val="0"/>
          <w:sz w:val="24"/>
        </w:rPr>
        <w:t>, in the NaLIR user study, found that of 32 wrong answers produced without an interactive confirmation step, participants detected only 7 unaided. A governed reporting system that answers confidently and wrongly is therefore not a safe default merely because it avoids refusing; it is a failure mode that the person reading the report has little chance of catching without an independent check.</w:t>
      </w:r>
    </w:p>
    <w:p>
      <w:pPr>
        <w:spacing w:after="200" w:before="0" w:line="360" w:lineRule="auto"/>
        <w:jc w:val="both"/>
      </w:pPr>
      <w:r>
        <w:rPr>
          <w:rFonts w:ascii="Times New Roman" w:hAnsi="Times New Roman"/>
          <w:b w:val="0"/>
          <w:i w:val="0"/>
          <w:sz w:val="24"/>
        </w:rPr>
        <w:t>One further caveat applies to every figure in Table 5.10: each is a single run. An earlier measurement of the same pipeline reported false abstention at 23.6% (13/55) and silent error rate at 13.1% (14/107), against 25.5% and 11.2% here. The totals barely moved, but the underlying sets churned more than the totals suggest — two question ids left the wrongly-declined list while three joined it, and one id moved from wrongly-declined into silent errors while another moved the opposite way. The two runs are not cleanly comparable, because the earlier one was competing with a concurrent copy of itself for a rate-limited model endpoint and its timeouts could themselves have shifted outcomes; the figures reported here come from a clean run with no rate limiting and no failed requests. The honest reading is that a single-run figure on this benchmark carries a wobble of a question or two even at fixed temperature. Reporting a mean over repeated runs with its spread would be the stronger method, and it has not been done.</w:t>
      </w:r>
    </w:p>
    <w:p>
      <w:pPr>
        <w:spacing w:after="200" w:before="0" w:line="360" w:lineRule="auto"/>
        <w:jc w:val="both"/>
      </w:pPr>
      <w:r>
        <w:rPr>
          <w:rFonts w:ascii="Times New Roman" w:hAnsi="Times New Roman"/>
          <w:b w:val="0"/>
          <w:i w:val="0"/>
          <w:sz w:val="24"/>
        </w:rPr>
        <w:t>Abstention recall is reported here only beside false abstention rate, and this pairing is not optional. A system that refuses every request scores 100% on abstention recall alone, which would make the metric worthless on its own. No system in the reference corpus reviewed in Chapter 2 measures the refusal channel this way; reporting the two figures together, rather than the first in isolation, is the methodological contribution of this section.</w:t>
      </w:r>
    </w:p>
    <w:p>
      <w:pPr>
        <w:spacing w:after="0" w:before="0" w:line="360" w:lineRule="auto"/>
        <w:jc w:val="both"/>
      </w:pPr>
      <w:r>
        <w:rPr>
          <w:rFonts w:ascii="Times New Roman" w:hAnsi="Times New Roman"/>
          <w:b w:val="0"/>
          <w:i w:val="0"/>
          <w:sz w:val="24"/>
        </w:rPr>
        <w:t>Translation precision and silent error rate are not quotable as findings in this thesis. Both are scored against the aegis_correct labels in the semantic-correctness annotation file, and those labels describe the SQL produced by the pipeline version that existed before the interventions described below, not the current pipeline. The tell is that translation precision has read exactly 29.9% on every run: it is the same 32-of-107 label count being re-read rather than a fresh measurement of the current system. Both metrics are marked "Not yet valid — requires re-annotation" in Table 5.10 rather than reported as results, and re-annotating them against the current pipeline's SQL is listed as future work in Chapter 6.</w:t>
      </w:r>
    </w:p>
    <w:p>
      <w:pPr>
        <w:spacing w:before="200" w:after="160"/>
        <w:jc w:val="left"/>
      </w:pPr>
      <w:r>
        <w:rPr>
          <w:rFonts w:ascii="Times New Roman" w:hAnsi="Times New Roman"/>
          <w:b/>
          <w:sz w:val="25"/>
        </w:rPr>
        <w:t>5.9.1  The Abstention Improvement Trajectory</w:t>
      </w:r>
    </w:p>
    <w:p>
      <w:pPr>
        <w:spacing w:after="200" w:before="0" w:line="360" w:lineRule="auto"/>
        <w:jc w:val="both"/>
      </w:pPr>
      <w:r>
        <w:rPr>
          <w:rFonts w:ascii="Times New Roman" w:hAnsi="Times New Roman"/>
          <w:b w:val="0"/>
          <w:i w:val="0"/>
          <w:sz w:val="24"/>
        </w:rPr>
        <w:t>False abstention rate is the metric this project moved deliberately, and it is the central result of this section. Across three measured stages, false abstention fell from 61.8% to 40.0% to the current 25.5%, while abstention recall held at 100.0% throughout. No architectural change was required at any step: every improvement came from fixing an implementation defect or extending a configuration, not from redesigning the pipeline.</w:t>
      </w:r>
    </w:p>
    <w:p>
      <w:pPr>
        <w:spacing w:before="200" w:after="80"/>
        <w:jc w:val="center"/>
        <w:keepNext/>
      </w:pPr>
      <w:r>
        <w:rPr>
          <w:rFonts w:ascii="Times New Roman" w:hAnsi="Times New Roman"/>
          <w:b/>
          <w:sz w:val="22"/>
        </w:rPr>
        <w:t>Table 5.11: False-abstention improvement trajectory.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1512"/>
        <w:gridCol w:w="403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False abstention rate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Abstention recall</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Intervention applied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Initial measured run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61.8%</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 (baseline instrumentation)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After validating unmapped terms</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40.0%</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Validated the model's self-reported unmapped terms instead of trusting them</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Current</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25.5%</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Separated time granularity from time filtering; extended the semantic layer from 12 to 17 of the 126 available schema tables</w:t>
            </w:r>
          </w:p>
        </w:tc>
      </w:tr>
    </w:tbl>
    <w:p>
      <w:pPr>
        <w:spacing w:after="80"/>
      </w:pPr>
    </w:p>
    <w:p>
      <w:pPr>
        <w:spacing w:after="0" w:before="0" w:line="360" w:lineRule="auto"/>
        <w:jc w:val="both"/>
      </w:pPr>
      <w:r>
        <w:rPr>
          <w:rFonts w:ascii="Times New Roman" w:hAnsi="Times New Roman"/>
          <w:b w:val="0"/>
          <w:i w:val="0"/>
          <w:sz w:val="24"/>
        </w:rPr>
        <w:t>The interventions were configuration and implementation changes, not architectural ones: no new component was added to the pipeline, and the LLM's role remained restricted to intent extraction throughout. This supports the interpretation that semantic accuracy in this architecture is an implementation and configuration property rather than an architectural one — the ceiling is set by how much of the schema and vocabulary is exposed and how carefully the model's self-reported signals are checked, not by the constraint-based design itself.</w:t>
      </w:r>
    </w:p>
    <w:p>
      <w:pPr>
        <w:spacing w:before="200" w:after="160"/>
        <w:jc w:val="left"/>
      </w:pPr>
      <w:r>
        <w:rPr>
          <w:rFonts w:ascii="Times New Roman" w:hAnsi="Times New Roman"/>
          <w:b/>
          <w:sz w:val="25"/>
        </w:rPr>
        <w:t>5.9.2  Residual Analysis</w:t>
      </w:r>
    </w:p>
    <w:p>
      <w:pPr>
        <w:spacing w:after="0" w:before="0" w:line="360" w:lineRule="auto"/>
        <w:jc w:val="both"/>
      </w:pPr>
      <w:r>
        <w:rPr>
          <w:rFonts w:ascii="Times New Roman" w:hAnsi="Times New Roman"/>
          <w:b w:val="0"/>
          <w:i w:val="0"/>
          <w:sz w:val="24"/>
        </w:rPr>
        <w:t>Part of the remaining 25.5% false abstention rate is label error rather than system error. Several requests labelled "answer" in the annotation file are not, on inspection, answerable against the current semantic layer: a composite "health score" combining sales, stock levels, and refund rates into one number (request 53), abandoned-checkout events (request 96), and first-time-versus-returning customer cohorts as a dimension before that dimension existed in the semantic layer. These labels were assigned when the previous pipeline answered the corresponding requests by nearest-match substitution against an unrelated metric, so the annotation records that a query executed, not that the request was genuinely answerable. Correcting these labels is part of the re-annotation work noted above, and would place the true false-abstention rate somewhat below 25.5%.</w:t>
      </w:r>
    </w:p>
    <w:p>
      <w:pPr>
        <w:spacing w:before="320" w:after="160"/>
        <w:jc w:val="left"/>
      </w:pPr>
      <w:r>
        <w:rPr>
          <w:rFonts w:ascii="Times New Roman" w:hAnsi="Times New Roman"/>
          <w:b/>
          <w:sz w:val="28"/>
        </w:rPr>
        <w:t>5.10  Coverage Against the Platform's Native Report Suite</w:t>
      </w:r>
    </w:p>
    <w:p>
      <w:pPr>
        <w:spacing w:after="200" w:before="0" w:line="360" w:lineRule="auto"/>
        <w:jc w:val="both"/>
      </w:pPr>
      <w:r>
        <w:rPr>
          <w:rFonts w:ascii="Times New Roman" w:hAnsi="Times New Roman"/>
          <w:b w:val="0"/>
          <w:i w:val="0"/>
          <w:sz w:val="24"/>
        </w:rPr>
        <w:t>The 107-request benchmark used in the rest of this chapter was authored for this thesis, which raises an unavoidable question of annotation bias: a benchmark's author can, even unintentionally, phrase requests toward the system's known strengths. A benchmark whose question list is fixed by an outside party avoids this. nopCommerce, the e-commerce platform whose schema underlies the evaluation database, ships a fixed set of standard admin reports as a built-in reporting surface. AEGIS reproduces all 20 of these reports from natural-language requests, each producing compiled SQL and an automatically selected chart type.</w:t>
      </w:r>
    </w:p>
    <w:p>
      <w:pPr>
        <w:spacing w:before="200" w:after="80"/>
        <w:jc w:val="center"/>
        <w:keepNext/>
      </w:pPr>
      <w:r>
        <w:rPr>
          <w:rFonts w:ascii="Times New Roman" w:hAnsi="Times New Roman"/>
          <w:b/>
          <w:sz w:val="22"/>
        </w:rPr>
        <w:t>Table 5.12: Coverage of nopCommerce's standard admin reports (20 of 20).</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
        <w:gridCol w:w="3672"/>
        <w:gridCol w:w="504"/>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by month</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 status breakdown</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today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Incomplete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quantity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amount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category</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Products never purchased</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manufacturer</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Country sales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Average order value</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total</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Shipment count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count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Refund totals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Registered customers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Tax collected</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 stock</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20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Daily revenue trend</w:t>
            </w:r>
          </w:p>
        </w:tc>
      </w:tr>
    </w:tbl>
    <w:p>
      <w:pPr>
        <w:spacing w:after="80"/>
      </w:pPr>
    </w:p>
    <w:p>
      <w:pPr>
        <w:spacing w:after="0" w:before="0" w:line="360" w:lineRule="auto"/>
        <w:jc w:val="both"/>
      </w:pPr>
      <w:r>
        <w:rPr>
          <w:rFonts w:ascii="Times New Roman" w:hAnsi="Times New Roman"/>
          <w:b w:val="0"/>
          <w:i w:val="0"/>
          <w:sz w:val="24"/>
        </w:rPr>
        <w:t>This is a stronger evaluation than the self-authored question set for a specific reason: the report list is defined by the host platform rather than by the thesis author, so there is no annotation bias in which requests were chosen, and reproducing it answers a direct question — can natural language reproduce the platform's own built-in reporting surface? — rather than a question shaped by the evaluator. AEGIS additionally supports parameterised variation of these reports, such as arbitrary date ranges, category filters, or customer segments, that the fixed admin panel screens have no control for.</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The first-pass annotation found that safe SQL can still answer the wrong business question, especially when requests are unsupported or vague.</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Metric currency: </w:t>
      </w:r>
      <w:r>
        <w:rPr>
          <w:rFonts w:ascii="Times New Roman" w:hAnsi="Times New Roman"/>
          <w:sz w:val="24"/>
        </w:rPr>
        <w:t>True database execution validity and the first-pass semantic-correctness annotation (Sections 5.4 and 5.6) were measured against the pipeline version that existed before the abstention-handling interventions in Section 5.9, and have not been re-measured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Re-annotation required: </w:t>
      </w:r>
      <w:r>
        <w:rPr>
          <w:rFonts w:ascii="Times New Roman" w:hAnsi="Times New Roman"/>
          <w:sz w:val="24"/>
        </w:rPr>
        <w:t>Translation precision and silent error rate (Section 5.9) are scored against correctness labels that describe the earlier pipeline's SQL and cannot be reported as current findings until the annotation file is redone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The machine-assisted correctness annotation should be reviewed manually, and future work should add stronger robustness tests and cross-schema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in the baseline pipeline run described in Section 5.4, successfully executed 100 of 107 generated queries against the seeded MySQL database. In contrast, the direct LLM-to-SQL baseline executed 27 of 107 queries successfully and produced one genuine unsafe write statement. A first-pass semantic-correctness annotation also showed stronger answerable-request correctness for AEGIS than for the evaluated baselines, though that annotation is scored against the same earlier pipeline and is not re-measured. These results support the main argument that deterministic compilation and semantic-layer constraints can improve SQL safety in natural-language reporting systems.</w:t>
      </w:r>
    </w:p>
    <w:p>
      <w:pPr>
        <w:spacing w:after="240" w:before="0" w:line="360" w:lineRule="auto"/>
        <w:jc w:val="both"/>
      </w:pPr>
      <w:r>
        <w:rPr>
          <w:rFonts w:ascii="Times New Roman" w:hAnsi="Times New Roman"/>
          <w:b w:val="0"/>
          <w:i w:val="0"/>
          <w:sz w:val="24"/>
        </w:rPr>
        <w:t>The abstention-aware evaluation in Section 5.9 is the thesis's central result on correctness rather than safety. Across three measured stages, false abstention fell from 61.8% to 40.0% to the current 25.5%, while abstention recall held at 100.0% throughout, and no architectural change was required at any step: each improvement came from validating a self-reported model signal, separating time granularity from time filtering, or extending the semantic layer's table coverage. This supports treating semantic accuracy in this architecture as an implementation and configuration property rather than an architectural one. Section 5.10 further shows that AEGIS reproduces all 20 of nopCommerce's own standard admin reports from natural language, a coverage check whose question list is fixed by the host platform rather than by the thesis author.</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 false abstention rate that has not reached zero, and the need for a separately re-annotated semantic-correctness benchmark against the current pipeline.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