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4000(B)</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Batch: 16th</w:t>
      </w:r>
    </w:p>
    <w:p>
      <w:pPr>
        <w:spacing w:after="20" w:before="0" w:line="264" w:lineRule="auto"/>
        <w:jc w:val="center"/>
      </w:pPr>
      <w:r>
        <w:rPr>
          <w:rFonts w:ascii="Times New Roman" w:hAnsi="Times New Roman"/>
          <w:b w:val="0"/>
          <w:i w:val="0"/>
          <w:sz w:val="24"/>
        </w:rPr>
        <w:t>Semester: 8th</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discussion of limitations.</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The final evaluation uses static nopCommerce datasets: a 500-question natural-language benchmark, 16 source-derived Admin analytics oracles, 80 Admin-fidelity phrasings, and focused semantic-coverage checks. On the 500-question live benchmark, AEGIS parsed 498 of 500 prompts, answered and executed 422 of 425 supported requests, and rejected or clarified 74 of 75 realistic boundary requests. Against the Admin analytics oracles, it achieved 16 of 16 execution validity, 16 of 16 shape accuracy, and 15 of 16 result accuracy. These results support the thesis's central claim that AEGIS is a bounded architecture for safe natural-language analytics over a governed semantic layer, not an unlimited text-to-SQL engine.</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3</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7</w:t>
      </w:r>
    </w:p>
    <w:p>
      <w:pPr>
        <w:spacing w:after="160" w:before="80" w:line="360" w:lineRule="auto"/>
        <w:ind w:left="0"/>
        <w:jc w:val="both"/>
        <w:tabs>
          <w:tab w:val="right" w:leader="dot" w:pos="8640"/>
        </w:tabs>
      </w:pPr>
      <w:r>
        <w:rPr>
          <w:rFonts w:ascii="Times New Roman" w:hAnsi="Times New Roman"/>
          <w:b/>
          <w:sz w:val="24"/>
        </w:rPr>
        <w:t>Chapter 3: Methodology</w:t>
        <w:tab/>
        <w:t>8</w:t>
      </w:r>
    </w:p>
    <w:p>
      <w:pPr>
        <w:spacing w:after="80" w:before="0" w:line="360" w:lineRule="auto"/>
        <w:ind w:left="432"/>
        <w:jc w:val="both"/>
        <w:tabs>
          <w:tab w:val="right" w:leader="dot" w:pos="8640"/>
        </w:tabs>
      </w:pPr>
      <w:r>
        <w:rPr>
          <w:rFonts w:ascii="Times New Roman" w:hAnsi="Times New Roman"/>
          <w:b w:val="0"/>
          <w:sz w:val="23"/>
        </w:rPr>
        <w:t>3.1 Research Paradigm</w:t>
        <w:tab/>
        <w:t>8</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9</w:t>
      </w:r>
    </w:p>
    <w:p>
      <w:pPr>
        <w:spacing w:after="80" w:before="0" w:line="360" w:lineRule="auto"/>
        <w:ind w:left="432"/>
        <w:jc w:val="both"/>
        <w:tabs>
          <w:tab w:val="right" w:leader="dot" w:pos="8640"/>
        </w:tabs>
      </w:pPr>
      <w:r>
        <w:rPr>
          <w:rFonts w:ascii="Times New Roman" w:hAnsi="Times New Roman"/>
          <w:b w:val="0"/>
          <w:sz w:val="23"/>
        </w:rPr>
        <w:t>3.3 Design Principles</w:t>
        <w:tab/>
        <w:t>10</w:t>
      </w:r>
    </w:p>
    <w:p>
      <w:pPr>
        <w:spacing w:after="80" w:before="0" w:line="360" w:lineRule="auto"/>
        <w:ind w:left="432"/>
        <w:jc w:val="both"/>
        <w:tabs>
          <w:tab w:val="right" w:leader="dot" w:pos="8640"/>
        </w:tabs>
      </w:pPr>
      <w:r>
        <w:rPr>
          <w:rFonts w:ascii="Times New Roman" w:hAnsi="Times New Roman"/>
          <w:b w:val="0"/>
          <w:sz w:val="23"/>
        </w:rPr>
        <w:t>3.4 Formal Model</w:t>
        <w:tab/>
        <w:t>11</w:t>
      </w:r>
    </w:p>
    <w:p>
      <w:pPr>
        <w:spacing w:after="80" w:before="0" w:line="360" w:lineRule="auto"/>
        <w:ind w:left="432"/>
        <w:jc w:val="both"/>
        <w:tabs>
          <w:tab w:val="right" w:leader="dot" w:pos="8640"/>
        </w:tabs>
      </w:pPr>
      <w:r>
        <w:rPr>
          <w:rFonts w:ascii="Times New Roman" w:hAnsi="Times New Roman"/>
          <w:b w:val="0"/>
          <w:sz w:val="23"/>
        </w:rPr>
        <w:t>3.5 Threat Model</w:t>
        <w:tab/>
        <w:t>11</w:t>
      </w:r>
    </w:p>
    <w:p>
      <w:pPr>
        <w:spacing w:after="80" w:before="0" w:line="360" w:lineRule="auto"/>
        <w:ind w:left="432"/>
        <w:jc w:val="both"/>
        <w:tabs>
          <w:tab w:val="right" w:leader="dot" w:pos="8640"/>
        </w:tabs>
      </w:pPr>
      <w:r>
        <w:rPr>
          <w:rFonts w:ascii="Times New Roman" w:hAnsi="Times New Roman"/>
          <w:b w:val="0"/>
          <w:sz w:val="23"/>
        </w:rPr>
        <w:t>3.6 System Architecture</w:t>
        <w:tab/>
        <w:t>12</w:t>
      </w:r>
    </w:p>
    <w:p>
      <w:pPr>
        <w:spacing w:after="80" w:before="0" w:line="360" w:lineRule="auto"/>
        <w:ind w:left="432"/>
        <w:jc w:val="both"/>
        <w:tabs>
          <w:tab w:val="right" w:leader="dot" w:pos="8640"/>
        </w:tabs>
      </w:pPr>
      <w:r>
        <w:rPr>
          <w:rFonts w:ascii="Times New Roman" w:hAnsi="Times New Roman"/>
          <w:b w:val="0"/>
          <w:sz w:val="23"/>
        </w:rPr>
        <w:t>3.7 Semantic Layer Design</w:t>
        <w:tab/>
        <w:t>14</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15</w:t>
      </w:r>
    </w:p>
    <w:p>
      <w:pPr>
        <w:spacing w:after="80" w:before="0" w:line="360" w:lineRule="auto"/>
        <w:ind w:left="432"/>
        <w:jc w:val="both"/>
        <w:tabs>
          <w:tab w:val="right" w:leader="dot" w:pos="8640"/>
        </w:tabs>
      </w:pPr>
      <w:r>
        <w:rPr>
          <w:rFonts w:ascii="Times New Roman" w:hAnsi="Times New Roman"/>
          <w:b w:val="0"/>
          <w:sz w:val="23"/>
        </w:rPr>
        <w:t>3.9 Safe Query Compiler</w:t>
        <w:tab/>
        <w:t>18</w:t>
      </w:r>
    </w:p>
    <w:p>
      <w:pPr>
        <w:spacing w:after="80" w:before="0" w:line="360" w:lineRule="auto"/>
        <w:ind w:left="432"/>
        <w:jc w:val="both"/>
        <w:tabs>
          <w:tab w:val="right" w:leader="dot" w:pos="8640"/>
        </w:tabs>
      </w:pPr>
      <w:r>
        <w:rPr>
          <w:rFonts w:ascii="Times New Roman" w:hAnsi="Times New Roman"/>
          <w:b w:val="0"/>
          <w:sz w:val="23"/>
        </w:rPr>
        <w:t>3.10 Visualization Selector</w:t>
        <w:tab/>
        <w:t>19</w:t>
      </w:r>
    </w:p>
    <w:p>
      <w:pPr>
        <w:spacing w:after="80" w:before="0" w:line="360" w:lineRule="auto"/>
        <w:ind w:left="432"/>
        <w:jc w:val="both"/>
        <w:tabs>
          <w:tab w:val="right" w:leader="dot" w:pos="8640"/>
        </w:tabs>
      </w:pPr>
      <w:r>
        <w:rPr>
          <w:rFonts w:ascii="Times New Roman" w:hAnsi="Times New Roman"/>
          <w:b w:val="0"/>
          <w:sz w:val="23"/>
        </w:rPr>
        <w:t>3.11 Widget Persistence and Reuse</w:t>
        <w:tab/>
        <w:t>20</w:t>
      </w:r>
    </w:p>
    <w:p>
      <w:pPr>
        <w:spacing w:after="160" w:before="80" w:line="360" w:lineRule="auto"/>
        <w:ind w:left="0"/>
        <w:jc w:val="both"/>
        <w:tabs>
          <w:tab w:val="right" w:leader="dot" w:pos="8640"/>
        </w:tabs>
      </w:pPr>
      <w:r>
        <w:rPr>
          <w:rFonts w:ascii="Times New Roman" w:hAnsi="Times New Roman"/>
          <w:b/>
          <w:sz w:val="24"/>
        </w:rPr>
        <w:t>Chapter 4: Experimental Work</w:t>
        <w:tab/>
        <w:t>21</w:t>
      </w:r>
    </w:p>
    <w:p>
      <w:pPr>
        <w:spacing w:after="80" w:before="0" w:line="360" w:lineRule="auto"/>
        <w:ind w:left="432"/>
        <w:jc w:val="both"/>
        <w:tabs>
          <w:tab w:val="right" w:leader="dot" w:pos="8640"/>
        </w:tabs>
      </w:pPr>
      <w:r>
        <w:rPr>
          <w:rFonts w:ascii="Times New Roman" w:hAnsi="Times New Roman"/>
          <w:b w:val="0"/>
          <w:sz w:val="23"/>
        </w:rPr>
        <w:t>4.1 Implementation</w:t>
        <w:tab/>
        <w:t>21</w:t>
      </w:r>
    </w:p>
    <w:p>
      <w:pPr>
        <w:spacing w:after="80" w:before="0" w:line="360" w:lineRule="auto"/>
        <w:ind w:left="432"/>
        <w:jc w:val="both"/>
        <w:tabs>
          <w:tab w:val="right" w:leader="dot" w:pos="8640"/>
        </w:tabs>
      </w:pPr>
      <w:r>
        <w:rPr>
          <w:rFonts w:ascii="Times New Roman" w:hAnsi="Times New Roman"/>
          <w:b w:val="0"/>
          <w:sz w:val="23"/>
        </w:rPr>
        <w:t>4.2 Experimental Environment</w:t>
        <w:tab/>
        <w:t>22</w:t>
      </w:r>
    </w:p>
    <w:p>
      <w:pPr>
        <w:spacing w:after="80" w:before="0" w:line="360" w:lineRule="auto"/>
        <w:ind w:left="432"/>
        <w:jc w:val="both"/>
        <w:tabs>
          <w:tab w:val="right" w:leader="dot" w:pos="8640"/>
        </w:tabs>
      </w:pPr>
      <w:r>
        <w:rPr>
          <w:rFonts w:ascii="Times New Roman" w:hAnsi="Times New Roman"/>
          <w:b w:val="0"/>
          <w:sz w:val="23"/>
        </w:rPr>
        <w:t>4.3 Benchmark Dataset Construction</w:t>
        <w:tab/>
        <w:t>22</w:t>
      </w:r>
    </w:p>
    <w:p>
      <w:pPr>
        <w:spacing w:after="80" w:before="0" w:line="360" w:lineRule="auto"/>
        <w:ind w:left="432"/>
        <w:jc w:val="both"/>
        <w:tabs>
          <w:tab w:val="right" w:leader="dot" w:pos="8640"/>
        </w:tabs>
      </w:pPr>
      <w:r>
        <w:rPr>
          <w:rFonts w:ascii="Times New Roman" w:hAnsi="Times New Roman"/>
          <w:b w:val="0"/>
          <w:sz w:val="23"/>
        </w:rPr>
        <w:t>4.4 Baseline and Oracle Comparisons</w:t>
        <w:tab/>
        <w:t>23</w:t>
      </w:r>
    </w:p>
    <w:p>
      <w:pPr>
        <w:spacing w:after="80" w:before="0" w:line="360" w:lineRule="auto"/>
        <w:ind w:left="432"/>
        <w:jc w:val="both"/>
        <w:tabs>
          <w:tab w:val="right" w:leader="dot" w:pos="8640"/>
        </w:tabs>
      </w:pPr>
      <w:r>
        <w:rPr>
          <w:rFonts w:ascii="Times New Roman" w:hAnsi="Times New Roman"/>
          <w:b w:val="0"/>
          <w:sz w:val="23"/>
        </w:rPr>
        <w:t>4.5 Evaluation Procedure</w:t>
        <w:tab/>
        <w:t>23</w:t>
      </w:r>
    </w:p>
    <w:p>
      <w:pPr>
        <w:spacing w:after="160" w:before="80" w:line="360" w:lineRule="auto"/>
        <w:ind w:left="0"/>
        <w:jc w:val="both"/>
        <w:tabs>
          <w:tab w:val="right" w:leader="dot" w:pos="8640"/>
        </w:tabs>
      </w:pPr>
      <w:r>
        <w:rPr>
          <w:rFonts w:ascii="Times New Roman" w:hAnsi="Times New Roman"/>
          <w:b/>
          <w:sz w:val="24"/>
        </w:rPr>
        <w:t>Chapter 5: Results and Discussion</w:t>
        <w:tab/>
        <w:t>25</w:t>
      </w:r>
    </w:p>
    <w:p>
      <w:pPr>
        <w:spacing w:after="80" w:before="0" w:line="360" w:lineRule="auto"/>
        <w:ind w:left="432"/>
        <w:jc w:val="both"/>
        <w:tabs>
          <w:tab w:val="right" w:leader="dot" w:pos="8640"/>
        </w:tabs>
      </w:pPr>
      <w:r>
        <w:rPr>
          <w:rFonts w:ascii="Times New Roman" w:hAnsi="Times New Roman"/>
          <w:b w:val="0"/>
          <w:sz w:val="23"/>
        </w:rPr>
        <w:t>5.1 Evaluation Overview</w:t>
        <w:tab/>
        <w:t>25</w:t>
      </w:r>
    </w:p>
    <w:p>
      <w:pPr>
        <w:spacing w:after="80" w:before="0" w:line="360" w:lineRule="auto"/>
        <w:ind w:left="432"/>
        <w:jc w:val="both"/>
        <w:tabs>
          <w:tab w:val="right" w:leader="dot" w:pos="8640"/>
        </w:tabs>
      </w:pPr>
      <w:r>
        <w:rPr>
          <w:rFonts w:ascii="Times New Roman" w:hAnsi="Times New Roman"/>
          <w:b w:val="0"/>
          <w:sz w:val="23"/>
        </w:rPr>
        <w:t>5.2 500-Question Natural-Language Benchmark</w:t>
        <w:tab/>
        <w:t>25</w:t>
      </w:r>
    </w:p>
    <w:p>
      <w:pPr>
        <w:spacing w:after="80" w:before="0" w:line="360" w:lineRule="auto"/>
        <w:ind w:left="432"/>
        <w:jc w:val="both"/>
        <w:tabs>
          <w:tab w:val="right" w:leader="dot" w:pos="8640"/>
        </w:tabs>
      </w:pPr>
      <w:r>
        <w:rPr>
          <w:rFonts w:ascii="Times New Roman" w:hAnsi="Times New Roman"/>
          <w:b w:val="0"/>
          <w:sz w:val="23"/>
        </w:rPr>
        <w:t>5.3 Admin Fidelity Benchmark</w:t>
        <w:tab/>
        <w:t>26</w:t>
      </w:r>
    </w:p>
    <w:p>
      <w:pPr>
        <w:spacing w:after="80" w:before="0" w:line="360" w:lineRule="auto"/>
        <w:ind w:left="432"/>
        <w:jc w:val="both"/>
        <w:tabs>
          <w:tab w:val="right" w:leader="dot" w:pos="8640"/>
        </w:tabs>
      </w:pPr>
      <w:r>
        <w:rPr>
          <w:rFonts w:ascii="Times New Roman" w:hAnsi="Times New Roman"/>
          <w:b w:val="0"/>
          <w:sz w:val="23"/>
        </w:rPr>
        <w:t>5.4 Focused Semantic Coverage</w:t>
        <w:tab/>
        <w:t>26</w:t>
      </w:r>
    </w:p>
    <w:p>
      <w:pPr>
        <w:spacing w:after="80" w:before="0" w:line="360" w:lineRule="auto"/>
        <w:ind w:left="432"/>
        <w:jc w:val="both"/>
        <w:tabs>
          <w:tab w:val="right" w:leader="dot" w:pos="8640"/>
        </w:tabs>
      </w:pPr>
      <w:r>
        <w:rPr>
          <w:rFonts w:ascii="Times New Roman" w:hAnsi="Times New Roman"/>
          <w:b w:val="0"/>
          <w:sz w:val="23"/>
        </w:rPr>
        <w:t>5.5 Safety Evaluation</w:t>
        <w:tab/>
        <w:t>27</w:t>
      </w:r>
    </w:p>
    <w:p>
      <w:pPr>
        <w:spacing w:after="80" w:before="0" w:line="360" w:lineRule="auto"/>
        <w:ind w:left="432"/>
        <w:jc w:val="both"/>
        <w:tabs>
          <w:tab w:val="right" w:leader="dot" w:pos="8640"/>
        </w:tabs>
      </w:pPr>
      <w:r>
        <w:rPr>
          <w:rFonts w:ascii="Times New Roman" w:hAnsi="Times New Roman"/>
          <w:b w:val="0"/>
          <w:sz w:val="23"/>
        </w:rPr>
        <w:t>5.6 Comparison With Direct LLM-to-SQL</w:t>
        <w:tab/>
        <w:t>27</w:t>
      </w:r>
    </w:p>
    <w:p>
      <w:pPr>
        <w:spacing w:after="80" w:before="0" w:line="360" w:lineRule="auto"/>
        <w:ind w:left="432"/>
        <w:jc w:val="both"/>
        <w:tabs>
          <w:tab w:val="right" w:leader="dot" w:pos="8640"/>
        </w:tabs>
      </w:pPr>
      <w:r>
        <w:rPr>
          <w:rFonts w:ascii="Times New Roman" w:hAnsi="Times New Roman"/>
          <w:b w:val="0"/>
          <w:sz w:val="23"/>
        </w:rPr>
        <w:t>5.7 Interpretation</w:t>
        <w:tab/>
        <w:t>28</w:t>
      </w:r>
    </w:p>
    <w:p>
      <w:pPr>
        <w:spacing w:after="160" w:before="80" w:line="360" w:lineRule="auto"/>
        <w:ind w:left="0"/>
        <w:jc w:val="both"/>
        <w:tabs>
          <w:tab w:val="right" w:leader="dot" w:pos="8640"/>
        </w:tabs>
      </w:pPr>
      <w:r>
        <w:rPr>
          <w:rFonts w:ascii="Times New Roman" w:hAnsi="Times New Roman"/>
          <w:b/>
          <w:sz w:val="24"/>
        </w:rPr>
        <w:t>Chapter 6: Limitations and Future Work</w:t>
        <w:tab/>
        <w:t>29</w:t>
      </w:r>
    </w:p>
    <w:p>
      <w:pPr>
        <w:spacing w:after="80" w:before="0" w:line="360" w:lineRule="auto"/>
        <w:ind w:left="432"/>
        <w:jc w:val="both"/>
        <w:tabs>
          <w:tab w:val="right" w:leader="dot" w:pos="8640"/>
        </w:tabs>
      </w:pPr>
      <w:r>
        <w:rPr>
          <w:rFonts w:ascii="Times New Roman" w:hAnsi="Times New Roman"/>
          <w:b w:val="0"/>
          <w:sz w:val="23"/>
        </w:rPr>
        <w:t>6.1 Limitations</w:t>
        <w:tab/>
        <w:t>29</w:t>
      </w:r>
    </w:p>
    <w:p>
      <w:pPr>
        <w:spacing w:after="80" w:before="0" w:line="360" w:lineRule="auto"/>
        <w:ind w:left="432"/>
        <w:jc w:val="both"/>
        <w:tabs>
          <w:tab w:val="right" w:leader="dot" w:pos="8640"/>
        </w:tabs>
      </w:pPr>
      <w:r>
        <w:rPr>
          <w:rFonts w:ascii="Times New Roman" w:hAnsi="Times New Roman"/>
          <w:b w:val="0"/>
          <w:sz w:val="23"/>
        </w:rPr>
        <w:t>6.2 Future Work</w:t>
        <w:tab/>
        <w:t>30</w:t>
      </w:r>
    </w:p>
    <w:p>
      <w:pPr>
        <w:spacing w:after="160" w:before="80" w:line="360" w:lineRule="auto"/>
        <w:ind w:left="0"/>
        <w:jc w:val="both"/>
        <w:tabs>
          <w:tab w:val="right" w:leader="dot" w:pos="8640"/>
        </w:tabs>
      </w:pPr>
      <w:r>
        <w:rPr>
          <w:rFonts w:ascii="Times New Roman" w:hAnsi="Times New Roman"/>
          <w:b/>
          <w:sz w:val="24"/>
        </w:rPr>
        <w:t>Chapter 7: Conclusion</w:t>
        <w:tab/>
        <w:t>30</w:t>
      </w:r>
    </w:p>
    <w:p>
      <w:pPr>
        <w:spacing w:after="160" w:before="80" w:line="360" w:lineRule="auto"/>
        <w:ind w:left="0"/>
        <w:jc w:val="both"/>
        <w:tabs>
          <w:tab w:val="right" w:leader="dot" w:pos="8640"/>
        </w:tabs>
      </w:pPr>
      <w:r>
        <w:rPr>
          <w:rFonts w:ascii="Times New Roman" w:hAnsi="Times New Roman"/>
          <w:b/>
          <w:sz w:val="24"/>
        </w:rPr>
        <w:t>References</w:t>
        <w:tab/>
        <w:t>32</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8</w:t>
      </w:r>
    </w:p>
    <w:p>
      <w:pPr>
        <w:spacing w:after="80" w:before="0" w:line="360" w:lineRule="auto"/>
        <w:jc w:val="both"/>
        <w:tabs>
          <w:tab w:val="right" w:leader="dot" w:pos="8640"/>
        </w:tabs>
      </w:pPr>
      <w:r>
        <w:rPr>
          <w:rFonts w:ascii="Times New Roman" w:hAnsi="Times New Roman"/>
          <w:sz w:val="24"/>
        </w:rPr>
        <w:t>Figure 2: AEGIS architecture pipeline</w:t>
        <w:tab/>
        <w:t>13</w:t>
      </w:r>
    </w:p>
    <w:p>
      <w:pPr>
        <w:spacing w:after="80" w:before="0" w:line="360" w:lineRule="auto"/>
        <w:jc w:val="both"/>
        <w:tabs>
          <w:tab w:val="right" w:leader="dot" w:pos="8640"/>
        </w:tabs>
      </w:pPr>
      <w:r>
        <w:rPr>
          <w:rFonts w:ascii="Times New Roman" w:hAnsi="Times New Roman"/>
          <w:sz w:val="24"/>
        </w:rPr>
        <w:t>Figure 3: Semantic layer modularity</w:t>
        <w:tab/>
        <w:t>14</w:t>
      </w:r>
    </w:p>
    <w:p>
      <w:pPr>
        <w:spacing w:after="80" w:before="0" w:line="360" w:lineRule="auto"/>
        <w:jc w:val="both"/>
        <w:tabs>
          <w:tab w:val="right" w:leader="dot" w:pos="8640"/>
        </w:tabs>
      </w:pPr>
      <w:r>
        <w:rPr>
          <w:rFonts w:ascii="Times New Roman" w:hAnsi="Times New Roman"/>
          <w:sz w:val="24"/>
        </w:rPr>
        <w:t>Figure 4: Vocabulary injection and coverage workflow</w:t>
        <w:tab/>
        <w:t>17</w:t>
      </w:r>
    </w:p>
    <w:p>
      <w:pPr>
        <w:spacing w:after="80" w:before="0" w:line="360" w:lineRule="auto"/>
        <w:jc w:val="both"/>
        <w:tabs>
          <w:tab w:val="right" w:leader="dot" w:pos="8640"/>
        </w:tabs>
      </w:pPr>
      <w:r>
        <w:rPr>
          <w:rFonts w:ascii="Times New Roman" w:hAnsi="Times New Roman"/>
          <w:sz w:val="24"/>
        </w:rPr>
        <w:t>Figure 5: Two-layer SQL safety defence</w:t>
        <w:tab/>
        <w:t>19</w:t>
      </w:r>
    </w:p>
    <w:p>
      <w:pPr>
        <w:spacing w:after="80" w:before="0" w:line="360" w:lineRule="auto"/>
        <w:jc w:val="both"/>
        <w:tabs>
          <w:tab w:val="right" w:leader="dot" w:pos="8640"/>
        </w:tabs>
      </w:pPr>
      <w:r>
        <w:rPr>
          <w:rFonts w:ascii="Times New Roman" w:hAnsi="Times New Roman"/>
          <w:sz w:val="24"/>
        </w:rPr>
        <w:t>Figure 6: Widget lifecycle and refresh model</w:t>
        <w:tab/>
        <w:t>20</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2.1: Comparative summary of related systems</w:t>
        <w:tab/>
        <w:t>7</w:t>
      </w:r>
    </w:p>
    <w:p>
      <w:pPr>
        <w:spacing w:after="80" w:before="0" w:line="360" w:lineRule="auto"/>
        <w:jc w:val="both"/>
        <w:tabs>
          <w:tab w:val="right" w:leader="dot" w:pos="8640"/>
        </w:tabs>
      </w:pPr>
      <w:r>
        <w:rPr>
          <w:rFonts w:ascii="Times New Roman" w:hAnsi="Times New Roman"/>
          <w:sz w:val="24"/>
        </w:rPr>
        <w:t>Table 3.1: AEGIS reporting pattern taxonomy</w:t>
        <w:tab/>
        <w:t>9</w:t>
      </w:r>
    </w:p>
    <w:p>
      <w:pPr>
        <w:spacing w:after="80" w:before="0" w:line="360" w:lineRule="auto"/>
        <w:jc w:val="both"/>
        <w:tabs>
          <w:tab w:val="right" w:leader="dot" w:pos="8640"/>
        </w:tabs>
      </w:pPr>
      <w:r>
        <w:rPr>
          <w:rFonts w:ascii="Times New Roman" w:hAnsi="Times New Roman"/>
          <w:sz w:val="24"/>
        </w:rPr>
        <w:t>Table 3.2: Semantic layer implementation contract</w:t>
        <w:tab/>
        <w:t>15</w:t>
      </w:r>
    </w:p>
    <w:p>
      <w:pPr>
        <w:spacing w:after="80" w:before="0" w:line="360" w:lineRule="auto"/>
        <w:jc w:val="both"/>
        <w:tabs>
          <w:tab w:val="right" w:leader="dot" w:pos="8640"/>
        </w:tabs>
      </w:pPr>
      <w:r>
        <w:rPr>
          <w:rFonts w:ascii="Times New Roman" w:hAnsi="Times New Roman"/>
          <w:sz w:val="24"/>
        </w:rPr>
        <w:t>Table 3.3: AEGIS analytical patterns</w:t>
        <w:tab/>
        <w:t>18</w:t>
      </w:r>
    </w:p>
    <w:p>
      <w:pPr>
        <w:spacing w:after="80" w:before="0" w:line="360" w:lineRule="auto"/>
        <w:jc w:val="both"/>
        <w:tabs>
          <w:tab w:val="right" w:leader="dot" w:pos="8640"/>
        </w:tabs>
      </w:pPr>
      <w:r>
        <w:rPr>
          <w:rFonts w:ascii="Times New Roman" w:hAnsi="Times New Roman"/>
          <w:sz w:val="24"/>
        </w:rPr>
        <w:t>Table 3.4: Visualization selector mapping</w:t>
        <w:tab/>
        <w:t>20</w:t>
      </w:r>
    </w:p>
    <w:p>
      <w:pPr>
        <w:spacing w:after="80" w:before="0" w:line="360" w:lineRule="auto"/>
        <w:jc w:val="both"/>
        <w:tabs>
          <w:tab w:val="right" w:leader="dot" w:pos="8640"/>
        </w:tabs>
      </w:pPr>
      <w:r>
        <w:rPr>
          <w:rFonts w:ascii="Times New Roman" w:hAnsi="Times New Roman"/>
          <w:sz w:val="24"/>
        </w:rPr>
        <w:t>Table 4.1: Prototype module-to-architecture mapping</w:t>
        <w:tab/>
        <w:t>22</w:t>
      </w:r>
    </w:p>
    <w:p>
      <w:pPr>
        <w:spacing w:after="80" w:before="0" w:line="360" w:lineRule="auto"/>
        <w:jc w:val="both"/>
        <w:tabs>
          <w:tab w:val="right" w:leader="dot" w:pos="8640"/>
        </w:tabs>
      </w:pPr>
      <w:r>
        <w:rPr>
          <w:rFonts w:ascii="Times New Roman" w:hAnsi="Times New Roman"/>
          <w:sz w:val="24"/>
        </w:rPr>
        <w:t>Table 4.2: Experimental setup</w:t>
        <w:tab/>
        <w:t>22</w:t>
      </w:r>
    </w:p>
    <w:p>
      <w:pPr>
        <w:spacing w:after="80" w:before="0" w:line="360" w:lineRule="auto"/>
        <w:jc w:val="both"/>
        <w:tabs>
          <w:tab w:val="right" w:leader="dot" w:pos="8640"/>
        </w:tabs>
      </w:pPr>
      <w:r>
        <w:rPr>
          <w:rFonts w:ascii="Times New Roman" w:hAnsi="Times New Roman"/>
          <w:sz w:val="24"/>
        </w:rPr>
        <w:t>Table 4.3: Static evaluation datasets</w:t>
        <w:tab/>
        <w:t>23</w:t>
      </w:r>
    </w:p>
    <w:p>
      <w:pPr>
        <w:spacing w:after="80" w:before="0" w:line="360" w:lineRule="auto"/>
        <w:jc w:val="both"/>
        <w:tabs>
          <w:tab w:val="right" w:leader="dot" w:pos="8640"/>
        </w:tabs>
      </w:pPr>
      <w:r>
        <w:rPr>
          <w:rFonts w:ascii="Times New Roman" w:hAnsi="Times New Roman"/>
          <w:sz w:val="24"/>
        </w:rPr>
        <w:t>Table 5.1: Current evaluation artifacts</w:t>
        <w:tab/>
        <w:t>25</w:t>
      </w:r>
    </w:p>
    <w:p>
      <w:pPr>
        <w:spacing w:after="80" w:before="0" w:line="360" w:lineRule="auto"/>
        <w:jc w:val="both"/>
        <w:tabs>
          <w:tab w:val="right" w:leader="dot" w:pos="8640"/>
        </w:tabs>
      </w:pPr>
      <w:r>
        <w:rPr>
          <w:rFonts w:ascii="Times New Roman" w:hAnsi="Times New Roman"/>
          <w:sz w:val="24"/>
        </w:rPr>
        <w:t>Table 5.2: 500-question live benchmark results</w:t>
        <w:tab/>
        <w:t>26</w:t>
      </w:r>
    </w:p>
    <w:p>
      <w:pPr>
        <w:spacing w:after="80" w:before="0" w:line="360" w:lineRule="auto"/>
        <w:jc w:val="both"/>
        <w:tabs>
          <w:tab w:val="right" w:leader="dot" w:pos="8640"/>
        </w:tabs>
      </w:pPr>
      <w:r>
        <w:rPr>
          <w:rFonts w:ascii="Times New Roman" w:hAnsi="Times New Roman"/>
          <w:sz w:val="24"/>
        </w:rPr>
        <w:t>Table 5.3: Admin analytics oracle benchmark</w:t>
        <w:tab/>
        <w:t>26</w:t>
      </w:r>
    </w:p>
    <w:p>
      <w:pPr>
        <w:spacing w:after="80" w:before="0" w:line="360" w:lineRule="auto"/>
        <w:jc w:val="both"/>
        <w:tabs>
          <w:tab w:val="right" w:leader="dot" w:pos="8640"/>
        </w:tabs>
      </w:pPr>
      <w:r>
        <w:rPr>
          <w:rFonts w:ascii="Times New Roman" w:hAnsi="Times New Roman"/>
          <w:sz w:val="24"/>
        </w:rPr>
        <w:t>Table 5.4: Focused semantic coverage results</w:t>
        <w:tab/>
        <w:t>27</w:t>
      </w:r>
    </w:p>
    <w:p>
      <w:pPr>
        <w:spacing w:after="80" w:before="0" w:line="360" w:lineRule="auto"/>
        <w:jc w:val="both"/>
        <w:tabs>
          <w:tab w:val="right" w:leader="dot" w:pos="8640"/>
        </w:tabs>
      </w:pPr>
      <w:r>
        <w:rPr>
          <w:rFonts w:ascii="Times New Roman" w:hAnsi="Times New Roman"/>
          <w:sz w:val="24"/>
        </w:rPr>
        <w:t>Table 5.5: Safety interpretation</w:t>
        <w:tab/>
        <w:t>27</w:t>
      </w:r>
    </w:p>
    <w:p>
      <w:pPr>
        <w:spacing w:after="80" w:before="0" w:line="360" w:lineRule="auto"/>
        <w:jc w:val="both"/>
        <w:tabs>
          <w:tab w:val="right" w:leader="dot" w:pos="8640"/>
        </w:tabs>
      </w:pPr>
      <w:r>
        <w:rPr>
          <w:rFonts w:ascii="Times New Roman" w:hAnsi="Times New Roman"/>
          <w:sz w:val="24"/>
        </w:rPr>
        <w:t>Table 5.6: Structural comparison</w:t>
        <w:tab/>
        <w:t>28</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a system that lets users describe their reporting needs in plain English and produces dynamic dashboard widgets that can be saved, refreshed, and reused as part of their daily workflow,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The idea is simple: a user should be able to ask "which categories have the highest refund rates this month?" and get a correct, visual answer without writing SQL. Researchers have made good progress here through benchmarks such as Spider [1] and BIRD [2]. But there is still a gap between benchmark SQL generation and production-ready reporting, where answers must respect business definitions, permissions, safety rules, and reusable dashboard presentation.</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primarily about building a smarter model; they are about designing the system properly around the model. AEGIS addresses this by splitting the work into stages. The LLM's only job is to understand what the user is asking and output a structured description of the request. Everything after that, matching to the right business terms, building the SQL, selecting the chart, and saving the widget, is done by fixed rules and pre-approved templates.</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can a model generate SQL from natural language? This thesis asks a different question: how can large language models be used for language understanding while being structurally prevented from generating executable SQL at all?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therefore not improved SQL generation accuracy; it is constrained analytical artifact generation, a design approach that removes SQL generation from the LLM's role entirely and provides safety and semantic fidelity guarantees that no generative model can match unconditionally.</w:t>
      </w:r>
    </w:p>
    <w:p>
      <w:pPr>
        <w:spacing w:after="0" w:before="0" w:line="360" w:lineRule="auto"/>
        <w:jc w:val="both"/>
      </w:pPr>
      <w:r>
        <w:rPr>
          <w:rFonts w:ascii="Times New Roman" w:hAnsi="Times New Roman"/>
          <w:b w:val="0"/>
          <w:i w:val="0"/>
          <w:sz w:val="24"/>
        </w:rPr>
        <w:t>AEGIS does not propose a new LLM. The model is interchangeable across APIs that expose an OpenAI-compatible /v1/chat/completions interface. Because the LLM's only contract with the rest of the system is to produce a typed JSON intent object, model upgrades can improve language understanding without changing the compiler or safety infrastructure. This is model independence by design, not an implementation accident. The evaluation in Chapter 5 used an LLM API exposed through an OpenAI-compatible interface; the SQL compiler and safety layer did not depend on that provider.</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The objective of this thesis is to design and evaluate AEGIS, a constraint-based architecture that lets an LLM understand reporting requests without allowing it to generate executable SQL. Query construction, validation, visualization, and widget persistence are handled by deterministic system components.</w:t>
      </w:r>
    </w:p>
    <w:p>
      <w:pPr>
        <w:spacing w:after="120" w:before="0" w:line="360" w:lineRule="auto"/>
        <w:jc w:val="both"/>
      </w:pPr>
      <w:r>
        <w:rPr>
          <w:rFonts w:ascii="Times New Roman" w:hAnsi="Times New Roman"/>
          <w:b w:val="0"/>
          <w:i w:val="0"/>
          <w:sz w:val="24"/>
        </w:rPr>
        <w:t>The specific objectives and contributions are:</w:t>
      </w:r>
    </w:p>
    <w:p>
      <w:pPr>
        <w:pStyle w:val="ListNumber"/>
        <w:spacing w:after="80" w:line="360" w:lineRule="auto"/>
      </w:pPr>
      <w:r>
        <w:rPr>
          <w:rFonts w:ascii="Times New Roman" w:hAnsi="Times New Roman"/>
          <w:sz w:val="24"/>
        </w:rPr>
        <w:t>A natural-language analytics architecture where the LLM is structurally prevented from writing executable SQL.</w:t>
      </w:r>
    </w:p>
    <w:p>
      <w:pPr>
        <w:pStyle w:val="ListNumber"/>
        <w:spacing w:after="80" w:line="360" w:lineRule="auto"/>
      </w:pPr>
      <w:r>
        <w:rPr>
          <w:rFonts w:ascii="Times New Roman" w:hAnsi="Times New Roman"/>
          <w:sz w:val="24"/>
        </w:rPr>
        <w:t>A closed semantic layer that maps business questions to approved metrics, dimensions, filters, analytical patterns, and join paths.</w:t>
      </w:r>
    </w:p>
    <w:p>
      <w:pPr>
        <w:pStyle w:val="ListNumber"/>
        <w:spacing w:after="80" w:line="360" w:lineRule="auto"/>
      </w:pPr>
      <w:r>
        <w:rPr>
          <w:rFonts w:ascii="Times New Roman" w:hAnsi="Times New Roman"/>
          <w:sz w:val="24"/>
        </w:rPr>
        <w:t>A deterministic query compiler that builds SQL from approved templates instead of model-written SQL.</w:t>
      </w:r>
    </w:p>
    <w:p>
      <w:pPr>
        <w:pStyle w:val="ListNumber"/>
        <w:spacing w:after="80" w:line="360" w:lineRule="auto"/>
      </w:pPr>
      <w:r>
        <w:rPr>
          <w:rFonts w:ascii="Times New Roman" w:hAnsi="Times New Roman"/>
          <w:sz w:val="24"/>
        </w:rPr>
        <w:t>A two-layer SQL safety mechanism combining structural prevention with post-compilation validation.</w:t>
      </w:r>
    </w:p>
    <w:p>
      <w:pPr>
        <w:pStyle w:val="ListNumber"/>
        <w:spacing w:after="80" w:line="360" w:lineRule="auto"/>
      </w:pPr>
      <w:r>
        <w:rPr>
          <w:rFonts w:ascii="Times New Roman" w:hAnsi="Times New Roman"/>
          <w:sz w:val="24"/>
        </w:rPr>
        <w:t>A widget-oriented workflow that turns natural-language answers into reusable dashboard artifacts.</w:t>
      </w:r>
    </w:p>
    <w:p>
      <w:pPr>
        <w:pStyle w:val="ListNumber"/>
        <w:spacing w:after="80" w:line="360" w:lineRule="auto"/>
      </w:pPr>
      <w:r>
        <w:rPr>
          <w:rFonts w:ascii="Times New Roman" w:hAnsi="Times New Roman"/>
          <w:sz w:val="24"/>
        </w:rPr>
        <w:t>A static nopCommerce evaluation corpus consisting of a 500-question natural-language benchmark, Admin analytics oracles, Admin-fidelity phrasings, and focused semantic-coverage checks.</w:t>
      </w:r>
    </w:p>
    <w:p>
      <w:pPr>
        <w:pStyle w:val="ListNumber"/>
        <w:spacing w:after="80" w:line="360" w:lineRule="auto"/>
      </w:pPr>
      <w:r>
        <w:rPr>
          <w:rFonts w:ascii="Times New Roman" w:hAnsi="Times New Roman"/>
          <w:sz w:val="24"/>
        </w:rPr>
        <w:t>An empirical evaluation showing broad supported-request coverage, strong boundary rejection, and a visible remaining Admin fidelity gap rather than a suspicious claim of perfect performance.</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The literature review focuses on the work most directly comparable to AEGIS. It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permission-controlled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2.1: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Production</w:t>
            </w:r>
          </w:p>
        </w:tc>
      </w:tr>
    </w:tbl>
    <w:p>
      <w:pPr>
        <w:spacing w:after="80"/>
      </w:pP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permission-controlled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bounded vocabulary,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a Design Science Research paradigm because the main contribution is a built and evaluated artifact: the AEGIS system. The paradigm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structure: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Static nopCommerce datasets evaluate supported-request coverage, boundary rejection, Admin fidelity, execution validity, and remaining implementation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p>
      <w:pPr>
        <w:spacing w:before="160" w:after="80"/>
        <w:jc w:val="center"/>
        <w:keepNext/>
      </w:pPr>
      <w:r>
        <w:drawing>
          <wp:inline xmlns:a="http://schemas.openxmlformats.org/drawingml/2006/main" xmlns:pic="http://schemas.openxmlformats.org/drawingml/2006/picture">
            <wp:extent cx="5715000" cy="2264876"/>
            <wp:docPr id="3" name="Picture 3"/>
            <wp:cNvGraphicFramePr>
              <a:graphicFrameLocks noChangeAspect="1"/>
            </wp:cNvGraphicFramePr>
            <a:graphic>
              <a:graphicData uri="http://schemas.openxmlformats.org/drawingml/2006/picture">
                <pic:pic>
                  <pic:nvPicPr>
                    <pic:cNvPr id="0" name="mermaid-figure-01-dsr-workflow.png"/>
                    <pic:cNvPicPr/>
                  </pic:nvPicPr>
                  <pic:blipFill>
                    <a:blip r:embed="rId12"/>
                    <a:stretch>
                      <a:fillRect/>
                    </a:stretch>
                  </pic:blipFill>
                  <pic:spPr>
                    <a:xfrm>
                      <a:off x="0" y="0"/>
                      <a:ext cx="5715000" cy="2264876"/>
                    </a:xfrm>
                    <a:prstGeom prst="rect"/>
                  </pic:spPr>
                </pic:pic>
              </a:graphicData>
            </a:graphic>
          </wp:inline>
        </w:drawing>
      </w:r>
    </w:p>
    <w:p>
      <w:pPr>
        <w:spacing w:before="8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3.3) was derived from a design-time review of representative e-commerce and administrative reporting requests while designing AEGIS. The purpose of this review was to identify recurring business-question shapes that the system should support, such as KPI summaries, rankings, trends, comparisons, exception reports, and reusable tabular views.</w:t>
      </w:r>
    </w:p>
    <w:p>
      <w:pPr>
        <w:spacing w:after="200" w:before="0" w:line="360" w:lineRule="auto"/>
        <w:jc w:val="both"/>
      </w:pPr>
      <w:r>
        <w:rPr>
          <w:rFonts w:ascii="Times New Roman" w:hAnsi="Times New Roman"/>
          <w:b w:val="0"/>
          <w:i w:val="0"/>
          <w:sz w:val="24"/>
        </w:rPr>
        <w:t>Table 3.1 summarizes the reporting patterns used by the AEGIS compiler and shows how they appear in ordinary e-commerce analytics. The taxonomy is a design artifact used to structure the semantic layer and compiler templates, not an independently validated user study.</w:t>
      </w:r>
    </w:p>
    <w:p>
      <w:pPr>
        <w:spacing w:before="200" w:after="80"/>
        <w:jc w:val="center"/>
        <w:keepNext/>
      </w:pPr>
      <w:r>
        <w:rPr>
          <w:rFonts w:ascii="Times New Roman" w:hAnsi="Times New Roman"/>
          <w:b/>
          <w:sz w:val="22"/>
        </w:rPr>
        <w:t>Table 3.1: AEGIS reporting pattern taxonomy.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3168"/>
        <w:gridCol w:w="352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Single-number business summary</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Total revenue this month</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Top or bottom entities by metric</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Top products by revenue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Rows that meet an operational condition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over time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compared across groups or periods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order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Grouped business overview</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Orders by payment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Population split by lifecycle stage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New versus returning customers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Stepwise business process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Checkout progression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Relationship between two measures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Discount versus order value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Breakdown by business dimension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country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Detailed record listing</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Latest orders</w:t>
            </w:r>
          </w:p>
        </w:tc>
      </w:tr>
    </w:tbl>
    <w:p>
      <w:pPr>
        <w:spacing w:after="80"/>
      </w:pPr>
    </w:p>
    <w:p>
      <w:pPr>
        <w:spacing w:after="0" w:before="0" w:line="360" w:lineRule="auto"/>
        <w:jc w:val="both"/>
      </w:pPr>
      <w:r>
        <w:rPr>
          <w:rFonts w:ascii="Times New Roman" w:hAnsi="Times New Roman"/>
          <w:b w:val="0"/>
          <w:i w:val="0"/>
          <w:sz w:val="24"/>
        </w:rPr>
        <w:t>The classification shaped the methodology in three ways. First, it made the compiler finite: each supported request must fit an approved analytical pattern. Second, it encouraged business terminology rather than database column names, which supports the need for an explicit semantic layer. Third, many reporting needs are reusable with only a changed time window, filter, or segment, which supports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the AEGIS architecture:</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an additional safety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Explicitly documenting out-of-scope threats is itself a contribution: prior NL-to-SQL work rarely specifies the boundary of its safety claims, which makes meaningful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Coverage Validation: </w:t>
      </w:r>
      <w:r>
        <w:rPr>
          <w:rFonts w:ascii="Times New Roman" w:hAnsi="Times New Roman"/>
          <w:sz w:val="24"/>
        </w:rPr>
        <w:t>The server checks that both the metric term and the dimension term exist in the semantic layer vocabulary before anything else runs. Unknown identifiers are rejected here, with a structured message listing the available identifiers, rather than being passed to the compiler.</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based on the authenticated user's session. This runs after the LLM has already finished, so no natural-language content can influence it.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w:t>
      </w:r>
      <w:r>
        <w:rPr>
          <w:rFonts w:ascii="Times New Roman" w:hAnsi="Times New Roman"/>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p>
      <w:pPr>
        <w:spacing w:before="160" w:after="80"/>
        <w:jc w:val="center"/>
        <w:keepNext/>
      </w:pPr>
      <w:r>
        <w:drawing>
          <wp:inline xmlns:a="http://schemas.openxmlformats.org/drawingml/2006/main" xmlns:pic="http://schemas.openxmlformats.org/drawingml/2006/picture">
            <wp:extent cx="5806440" cy="3088383"/>
            <wp:docPr id="4" name="Picture 4"/>
            <wp:cNvGraphicFramePr>
              <a:graphicFrameLocks noChangeAspect="1"/>
            </wp:cNvGraphicFramePr>
            <a:graphic>
              <a:graphicData uri="http://schemas.openxmlformats.org/drawingml/2006/picture">
                <pic:pic>
                  <pic:nvPicPr>
                    <pic:cNvPr id="0" name="mermaid-figure-03-architecture-pipeline.png"/>
                    <pic:cNvPicPr/>
                  </pic:nvPicPr>
                  <pic:blipFill>
                    <a:blip r:embed="rId13"/>
                    <a:stretch>
                      <a:fillRect/>
                    </a:stretch>
                  </pic:blipFill>
                  <pic:spPr>
                    <a:xfrm>
                      <a:off x="0" y="0"/>
                      <a:ext cx="5806440" cy="3088383"/>
                    </a:xfrm>
                    <a:prstGeom prst="rect"/>
                  </pic:spPr>
                </pic:pic>
              </a:graphicData>
            </a:graphic>
          </wp:inline>
        </w:drawing>
      </w:r>
    </w:p>
    <w:p>
      <w:pPr>
        <w:spacing w:before="80" w:after="280"/>
        <w:jc w:val="center"/>
      </w:pPr>
      <w:r>
        <w:rPr>
          <w:rFonts w:ascii="Times New Roman" w:hAnsi="Times New Roman"/>
          <w:b/>
          <w:sz w:val="21"/>
        </w:rPr>
        <w:t>Figure 2: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dimensions, joins, predicates, and permissions are allowed to exist. The semantic layer is also the main per-deployment implementation surface: to support another system, the developer defines that system's governed business vocabulary and join paths while preserving the same AEGIS architecture.</w:t>
      </w:r>
    </w:p>
    <w:p>
      <w:pPr>
        <w:spacing w:after="200" w:before="0" w:line="360" w:lineRule="auto"/>
        <w:jc w:val="both"/>
      </w:pPr>
      <w:r>
        <w:rPr>
          <w:rFonts w:ascii="Times New Roman" w:hAnsi="Times New Roman"/>
          <w:b w:val="0"/>
          <w:i w:val="0"/>
          <w:sz w:val="24"/>
        </w:rPr>
        <w:t>This presentation follows the style used by related systems: Veezoo describes a Knowledge Graph, parser, query processor, and visualization engine [6]; G-SQL describes JSON schema serialization and rule-guided clause construction [9]; and NL4DV exposes a JSON analytic specification for attributes, tasks, and visualization choices [11]. AEGIS therefore defines the semantic layer as an explicit implementation contract rather than as a general idea.</w:t>
      </w:r>
    </w:p>
    <w:p>
      <w:pPr>
        <w:spacing w:before="160" w:after="80"/>
        <w:jc w:val="center"/>
        <w:keepNext/>
      </w:pPr>
      <w:r>
        <w:drawing>
          <wp:inline xmlns:a="http://schemas.openxmlformats.org/drawingml/2006/main" xmlns:pic="http://schemas.openxmlformats.org/drawingml/2006/picture">
            <wp:extent cx="5715000" cy="4481434"/>
            <wp:docPr id="5" name="Picture 5"/>
            <wp:cNvGraphicFramePr>
              <a:graphicFrameLocks noChangeAspect="1"/>
            </wp:cNvGraphicFramePr>
            <a:graphic>
              <a:graphicData uri="http://schemas.openxmlformats.org/drawingml/2006/picture">
                <pic:pic>
                  <pic:nvPicPr>
                    <pic:cNvPr id="0" name="mermaid-figure-04-semantic-layer-modularity.png"/>
                    <pic:cNvPicPr/>
                  </pic:nvPicPr>
                  <pic:blipFill>
                    <a:blip r:embed="rId14"/>
                    <a:stretch>
                      <a:fillRect/>
                    </a:stretch>
                  </pic:blipFill>
                  <pic:spPr>
                    <a:xfrm>
                      <a:off x="0" y="0"/>
                      <a:ext cx="5715000" cy="4481434"/>
                    </a:xfrm>
                    <a:prstGeom prst="rect"/>
                  </pic:spPr>
                </pic:pic>
              </a:graphicData>
            </a:graphic>
          </wp:inline>
        </w:drawing>
      </w:r>
    </w:p>
    <w:p>
      <w:pPr>
        <w:spacing w:before="80" w:after="280"/>
        <w:jc w:val="center"/>
      </w:pPr>
      <w:r>
        <w:rPr>
          <w:rFonts w:ascii="Times New Roman" w:hAnsi="Times New Roman"/>
          <w:b/>
          <w:sz w:val="21"/>
        </w:rPr>
        <w:t>Figure 3: Semantic layer modularity - composable blocks vs. free-form SQL generation</w:t>
      </w:r>
    </w:p>
    <w:p>
      <w:pPr>
        <w:spacing w:before="200" w:after="80"/>
        <w:jc w:val="center"/>
        <w:keepNext/>
      </w:pPr>
      <w:r>
        <w:rPr>
          <w:rFonts w:ascii="Times New Roman" w:hAnsi="Times New Roman"/>
          <w:b/>
          <w:sz w:val="22"/>
        </w:rPr>
        <w:t>Table 3.2: Semantic layer implementation contract.</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3672"/>
        <w:gridCol w:w="345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Required fields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nopCommerce example</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description, sql_expr, binding_table, required_joins, time_anchor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-&gt; SUM(COALESCE(o.OrderTotal,0)), bound to Order</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Grain rule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item_grain_equivalent when an order-level metric is grouped by item data</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by product uses line_item_revenue instead of duplicating order totals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sql_expr, binding_table, datatype, entity, group_expr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category_name -&gt; c.Name, reached through Product_Category_Mapping and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parameter field, datatype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payment_status -&gt; o.PaymentStatusId = :payment_status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Time anchor</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metric-specific date column for period filters</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customer_count uses cu.CreatedOnUtc; order_count uses o.CreatedOnUtc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source table, target table, ON clause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-&gt; OrderItem -&gt; Product -&gt;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Mandatory 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always-on table rule appended by the compiler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Product, and Customer include Deleted = 0</w:t>
            </w:r>
          </w:p>
        </w:tc>
      </w:tr>
    </w:tbl>
    <w:p>
      <w:pPr>
        <w:spacing w:after="80"/>
      </w:pPr>
    </w:p>
    <w:p>
      <w:pPr>
        <w:spacing w:after="80" w:before="0" w:line="360" w:lineRule="auto"/>
        <w:jc w:val="both"/>
      </w:pPr>
      <w:r>
        <w:rPr>
          <w:rFonts w:ascii="Times New Roman" w:hAnsi="Times New Roman"/>
          <w:b w:val="0"/>
          <w:i w:val="0"/>
          <w:sz w:val="24"/>
        </w:rPr>
        <w:t>A compact example of the implementation contract is shown below:</w:t>
      </w:r>
    </w:p>
    <w:p>
      <w:pPr>
        <w:spacing w:before="120" w:after="120" w:line="276" w:lineRule="auto"/>
        <w:ind w:left="576"/>
      </w:pPr>
      <w:r>
        <w:rPr>
          <w:rFonts w:ascii="Times New Roman" w:hAnsi="Times New Roman"/>
          <w:sz w:val="19"/>
        </w:rPr>
        <w:t>Metric(</w:t>
      </w:r>
      <w:r>
        <w:rPr>
          <w:rFonts w:ascii="Times New Roman" w:hAnsi="Times New Roman"/>
          <w:sz w:val="19"/>
        </w:rPr>
        <w:br/>
        <w:t xml:space="preserve">  id="revenue",</w:t>
      </w:r>
      <w:r>
        <w:rPr>
          <w:rFonts w:ascii="Times New Roman" w:hAnsi="Times New Roman"/>
          <w:sz w:val="19"/>
        </w:rPr>
        <w:br/>
        <w:t xml:space="preserve">  sql_expr="SUM(COALESCE(o.OrderTotal, 0))",</w:t>
      </w:r>
      <w:r>
        <w:rPr>
          <w:rFonts w:ascii="Times New Roman" w:hAnsi="Times New Roman"/>
          <w:sz w:val="19"/>
        </w:rPr>
        <w:br/>
        <w:t xml:space="preserve">  binding_table="Order",</w:t>
      </w:r>
      <w:r>
        <w:rPr>
          <w:rFonts w:ascii="Times New Roman" w:hAnsi="Times New Roman"/>
          <w:sz w:val="19"/>
        </w:rPr>
        <w:br/>
        <w:t xml:space="preserve">  time_anchor="o.CreatedOnUtc",</w:t>
      </w:r>
      <w:r>
        <w:rPr>
          <w:rFonts w:ascii="Times New Roman" w:hAnsi="Times New Roman"/>
          <w:sz w:val="19"/>
        </w:rPr>
        <w:br/>
        <w:t xml:space="preserve">  item_grain_equivalent="line_item_revenue")</w:t>
      </w:r>
      <w:r>
        <w:rPr>
          <w:rFonts w:ascii="Times New Roman" w:hAnsi="Times New Roman"/>
          <w:sz w:val="19"/>
        </w:rPr>
        <w:br/>
      </w:r>
      <w:r>
        <w:rPr>
          <w:rFonts w:ascii="Times New Roman" w:hAnsi="Times New Roman"/>
          <w:sz w:val="19"/>
        </w:rPr>
        <w:br/>
        <w:t>Dimension(</w:t>
      </w:r>
      <w:r>
        <w:rPr>
          <w:rFonts w:ascii="Times New Roman" w:hAnsi="Times New Roman"/>
          <w:sz w:val="19"/>
        </w:rPr>
        <w:br/>
        <w:t xml:space="preserve">  id="category_name",</w:t>
      </w:r>
      <w:r>
        <w:rPr>
          <w:rFonts w:ascii="Times New Roman" w:hAnsi="Times New Roman"/>
          <w:sz w:val="19"/>
        </w:rPr>
        <w:br/>
        <w:t xml:space="preserve">  sql_expr="c.Name",</w:t>
      </w:r>
      <w:r>
        <w:rPr>
          <w:rFonts w:ascii="Times New Roman" w:hAnsi="Times New Roman"/>
          <w:sz w:val="19"/>
        </w:rPr>
        <w:br/>
        <w:t xml:space="preserve">  binding_table="Category",</w:t>
      </w:r>
      <w:r>
        <w:rPr>
          <w:rFonts w:ascii="Times New Roman" w:hAnsi="Times New Roman"/>
          <w:sz w:val="19"/>
        </w:rPr>
        <w:br/>
        <w:t xml:space="preserve">  required_joins=["Product_Category_Mapping", "Category"])</w:t>
      </w:r>
    </w:p>
    <w:p>
      <w:pPr>
        <w:spacing w:after="0" w:before="0" w:line="360" w:lineRule="auto"/>
        <w:jc w:val="both"/>
      </w:pPr>
      <w:r>
        <w:rPr>
          <w:rFonts w:ascii="Times New Roman" w:hAnsi="Times New Roman"/>
          <w:b w:val="0"/>
          <w:i w:val="0"/>
          <w:sz w:val="24"/>
        </w:rPr>
        <w:t>In the nopCommerce prototype, the semantic layer defines the governed metrics, dimensions, predicates, and join paths needed for the evaluated e-commerce analytics scope. The full nopCommerce schema is larger than this exposed vocabulary. Tables and fields that are not represented in the semantic layer cannot be requested through AEGIS, which is how the architecture keeps the answerable space useful but finite.</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The central technique that makes Stage 1 reliable is vocabulary injection. At startup, AEGIS builds the system prompt by listing every approved metric and dimension name, with a plain-English description, directly from the semantic layer (approximately 1,100 tokens for 15 metrics and 34 dimensions). The LLM sees exactly which identifiers are valid and maps any user phrasing to the correct identifier without a manually maintained synonym list. This has three advantages over a synonym dictionary: zero maintenance, since adding a metric automatically updates the vocabulary the model sees; broad coverage of arbitrary user phrasing, since the model performs the mapping rather than a fixed lookup table; and token efficiency, since the full vocabulary for 15 metrics and 34 dimensions fits in roughly 1,100 tokens.</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any downstream validation occurs, which is why Stage 1 can rely on a typed IntentObject rather than free-form text: malformed or off-schema output is rejected at the API boundary, before Stage 2 coverage validation ever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p>
      <w:pPr>
        <w:spacing w:before="160" w:after="80"/>
        <w:jc w:val="center"/>
        <w:keepNext/>
      </w:pPr>
      <w:r>
        <w:drawing>
          <wp:inline xmlns:a="http://schemas.openxmlformats.org/drawingml/2006/main" xmlns:pic="http://schemas.openxmlformats.org/drawingml/2006/picture">
            <wp:extent cx="4983480" cy="5734130"/>
            <wp:docPr id="6" name="Picture 6"/>
            <wp:cNvGraphicFramePr>
              <a:graphicFrameLocks noChangeAspect="1"/>
            </wp:cNvGraphicFramePr>
            <a:graphic>
              <a:graphicData uri="http://schemas.openxmlformats.org/drawingml/2006/picture">
                <pic:pic>
                  <pic:nvPicPr>
                    <pic:cNvPr id="0" name="mermaid-figure-05-vocabulary-injection.png"/>
                    <pic:cNvPicPr/>
                  </pic:nvPicPr>
                  <pic:blipFill>
                    <a:blip r:embed="rId15"/>
                    <a:stretch>
                      <a:fillRect/>
                    </a:stretch>
                  </pic:blipFill>
                  <pic:spPr>
                    <a:xfrm>
                      <a:off x="0" y="0"/>
                      <a:ext cx="4983480" cy="5734130"/>
                    </a:xfrm>
                    <a:prstGeom prst="rect"/>
                  </pic:spPr>
                </pic:pic>
              </a:graphicData>
            </a:graphic>
          </wp:inline>
        </w:drawing>
      </w:r>
    </w:p>
    <w:p>
      <w:pPr>
        <w:spacing w:before="80" w:after="280"/>
        <w:jc w:val="center"/>
      </w:pPr>
      <w:r>
        <w:rPr>
          <w:rFonts w:ascii="Times New Roman" w:hAnsi="Times New Roman"/>
          <w:b/>
          <w:sz w:val="21"/>
        </w:rPr>
        <w:t>Figure 4: Vocabulary injection and original-question coverage workflow</w:t>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instantiates SQL from a library of parameterized templates, one per analytics pattern. Its role is not to be creative; its role is to prove that a grounded plan can be rendered using only semantic-layer objects.</w:t>
      </w:r>
    </w:p>
    <w:p>
      <w:pPr>
        <w:spacing w:after="80" w:before="0" w:line="360" w:lineRule="auto"/>
        <w:jc w:val="both"/>
      </w:pPr>
      <w:r>
        <w:rPr>
          <w:rFonts w:ascii="Times New Roman" w:hAnsi="Times New Roman"/>
          <w:b w:val="0"/>
          <w:i w:val="0"/>
          <w:sz w:val="24"/>
        </w:rPr>
        <w:t>The compiler procedure is deterministic:</w:t>
      </w:r>
    </w:p>
    <w:p>
      <w:pPr>
        <w:spacing w:before="120" w:after="120" w:line="276" w:lineRule="auto"/>
        <w:ind w:left="576"/>
      </w:pPr>
      <w:r>
        <w:rPr>
          <w:rFonts w:ascii="Times New Roman" w:hAnsi="Times New Roman"/>
          <w:sz w:val="19"/>
        </w:rPr>
        <w:t>Input: AnalysisPlan(pattern, metric, dimension, filters, time_range)</w:t>
      </w:r>
      <w:r>
        <w:rPr>
          <w:rFonts w:ascii="Times New Roman" w:hAnsi="Times New Roman"/>
          <w:sz w:val="19"/>
        </w:rPr>
        <w:br/>
        <w:t>1. collect required tables from metric, dimension, and declared required_joins</w:t>
      </w:r>
      <w:r>
        <w:rPr>
          <w:rFonts w:ascii="Times New Roman" w:hAnsi="Times New Roman"/>
          <w:sz w:val="19"/>
        </w:rPr>
        <w:br/>
        <w:t>2. replace order-grain metrics with declared item-grain equivalents when needed</w:t>
      </w:r>
      <w:r>
        <w:rPr>
          <w:rFonts w:ascii="Times New Roman" w:hAnsi="Times New Roman"/>
          <w:sz w:val="19"/>
        </w:rPr>
        <w:br/>
        <w:t>3. resolve the minimal join path with BFS over the semantic join graph</w:t>
      </w:r>
      <w:r>
        <w:rPr>
          <w:rFonts w:ascii="Times New Roman" w:hAnsi="Times New Roman"/>
          <w:sz w:val="19"/>
        </w:rPr>
        <w:br/>
        <w:t>4. assemble SELECT from approved sql_expr values only</w:t>
      </w:r>
      <w:r>
        <w:rPr>
          <w:rFonts w:ascii="Times New Roman" w:hAnsi="Times New Roman"/>
          <w:sz w:val="19"/>
        </w:rPr>
        <w:br/>
        <w:t>5. assemble WHERE from normalized time_range and governed predicates</w:t>
      </w:r>
      <w:r>
        <w:rPr>
          <w:rFonts w:ascii="Times New Roman" w:hAnsi="Times New Roman"/>
          <w:sz w:val="19"/>
        </w:rPr>
        <w:br/>
        <w:t>6. append mandatory table predicates such as Deleted = 0</w:t>
      </w:r>
      <w:r>
        <w:rPr>
          <w:rFonts w:ascii="Times New Roman" w:hAnsi="Times New Roman"/>
          <w:sz w:val="19"/>
        </w:rPr>
        <w:br/>
        <w:t>7. add GROUP BY, ORDER BY, and LIMIT according to the analytical pattern</w:t>
      </w:r>
      <w:r>
        <w:rPr>
          <w:rFonts w:ascii="Times New Roman" w:hAnsi="Times New Roman"/>
          <w:sz w:val="19"/>
        </w:rPr>
        <w:br/>
        <w:t>8. reject the final SQL if it contains forbidden constructs</w:t>
      </w:r>
      <w:r>
        <w:rPr>
          <w:rFonts w:ascii="Times New Roman" w:hAnsi="Times New Roman"/>
          <w:sz w:val="19"/>
        </w:rPr>
        <w:br/>
        <w:t>Output: read-only SQL string, bound parameters, rationale log</w:t>
      </w:r>
    </w:p>
    <w:p>
      <w:pPr>
        <w:spacing w:after="200" w:before="0" w:line="360" w:lineRule="auto"/>
        <w:jc w:val="both"/>
      </w:pPr>
      <w:r>
        <w:rPr>
          <w:rFonts w:ascii="Times New Roman" w:hAnsi="Times New Roman"/>
          <w:b w:val="0"/>
          <w:i w:val="0"/>
          <w:sz w:val="24"/>
        </w:rPr>
        <w:t>The important implementation detail is that user text never enters a SQL identifier position. Identifiers come from Metric and Dimension objects; literal values are carried as parameters; and join clauses come from the join graph. If any slot cannot be grounded, the resolver returns reject or clarify rather than allowing the compiler to guess.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Two safety layers apply in sequence. Layer 1 is a parameterized query engine that separates SQL structure from user-supplied inputs, so no user text is ever concatenated into the SQL string. Layer 2 is a post-compilation safety scanner that rejects any assembled query containing a forbidden construct: non-SELECT statements, UNION, EXCEPT or INTERSECT, EXEC, or references to system tables. If any forbidden pattern is detected, the compiler raises a SecurityError rather than returning a partially safe query.</w:t>
      </w:r>
    </w:p>
    <w:p>
      <w:pPr>
        <w:spacing w:before="160" w:after="80"/>
        <w:jc w:val="center"/>
        <w:keepNext/>
      </w:pPr>
      <w:r>
        <w:drawing>
          <wp:inline xmlns:a="http://schemas.openxmlformats.org/drawingml/2006/main" xmlns:pic="http://schemas.openxmlformats.org/drawingml/2006/picture">
            <wp:extent cx="4892040" cy="6762954"/>
            <wp:docPr id="7" name="Picture 7"/>
            <wp:cNvGraphicFramePr>
              <a:graphicFrameLocks noChangeAspect="1"/>
            </wp:cNvGraphicFramePr>
            <a:graphic>
              <a:graphicData uri="http://schemas.openxmlformats.org/drawingml/2006/picture">
                <pic:pic>
                  <pic:nvPicPr>
                    <pic:cNvPr id="0" name="mermaid-figure-07-sql-safety-defense.png"/>
                    <pic:cNvPicPr/>
                  </pic:nvPicPr>
                  <pic:blipFill>
                    <a:blip r:embed="rId16"/>
                    <a:stretch>
                      <a:fillRect/>
                    </a:stretch>
                  </pic:blipFill>
                  <pic:spPr>
                    <a:xfrm>
                      <a:off x="0" y="0"/>
                      <a:ext cx="4892040" cy="6762954"/>
                    </a:xfrm>
                    <a:prstGeom prst="rect"/>
                  </pic:spPr>
                </pic:pic>
              </a:graphicData>
            </a:graphic>
          </wp:inline>
        </w:drawing>
      </w:r>
    </w:p>
    <w:p>
      <w:pPr>
        <w:spacing w:before="80" w:after="280"/>
        <w:jc w:val="center"/>
      </w:pPr>
      <w:r>
        <w:rPr>
          <w:rFonts w:ascii="Times New Roman" w:hAnsi="Times New Roman"/>
          <w:b/>
          <w:sz w:val="21"/>
        </w:rPr>
        <w:t>Figure 5: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p>
      <w:pPr>
        <w:spacing w:before="160" w:after="80"/>
        <w:jc w:val="center"/>
        <w:keepNext/>
      </w:pPr>
      <w:r>
        <w:drawing>
          <wp:inline xmlns:a="http://schemas.openxmlformats.org/drawingml/2006/main" xmlns:pic="http://schemas.openxmlformats.org/drawingml/2006/picture">
            <wp:extent cx="5715000" cy="840649"/>
            <wp:docPr id="8" name="Picture 8"/>
            <wp:cNvGraphicFramePr>
              <a:graphicFrameLocks noChangeAspect="1"/>
            </wp:cNvGraphicFramePr>
            <a:graphic>
              <a:graphicData uri="http://schemas.openxmlformats.org/drawingml/2006/picture">
                <pic:pic>
                  <pic:nvPicPr>
                    <pic:cNvPr id="0" name="mermaid-figure-08-widget-lifecycle.png"/>
                    <pic:cNvPicPr/>
                  </pic:nvPicPr>
                  <pic:blipFill>
                    <a:blip r:embed="rId17"/>
                    <a:stretch>
                      <a:fillRect/>
                    </a:stretch>
                  </pic:blipFill>
                  <pic:spPr>
                    <a:xfrm>
                      <a:off x="0" y="0"/>
                      <a:ext cx="5715000" cy="840649"/>
                    </a:xfrm>
                    <a:prstGeom prst="rect"/>
                  </pic:spPr>
                </pic:pic>
              </a:graphicData>
            </a:graphic>
          </wp:inline>
        </w:drawing>
      </w:r>
    </w:p>
    <w:p>
      <w:pPr>
        <w:spacing w:before="80" w:after="280"/>
        <w:jc w:val="center"/>
      </w:pPr>
      <w:r>
        <w:rPr>
          <w:rFonts w:ascii="Times New Roman" w:hAnsi="Times New Roman"/>
          <w:b/>
          <w:sz w:val="21"/>
        </w:rPr>
        <w:t>Figure 6: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and a Python FastAPI backend, targeting a nopCommerce 4.70-style e-commerce schema. The prototype follows the architecture from Chapter 3: the model extracts intent, the semantic layer supplies governed business definitions, and deterministic compiler templates produce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An LLM API exposed through an OpenAI-compatible /v1/chat/completions interface with structured JSON output enforcement. The prompt injects approved metric and dimension identifiers at request time. The compiler and safety layer are provider-independent because they consume only the typed intent object, not model-written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define governed metrics, dimensions, predicates, time anchors, join paths, grain rules, and mandatory platform filters.</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build read-only SQL from approved analytical patterns. The compiler logs the selected pattern, resolved tables, join path, metric expression, dimension expression, and safety result.</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chart selection maps analytical patterns and result shapes to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The prototype stores widget metadata locally with plan-hash deduplication. The interface is designed so production storage can be moved to a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Coverage validator: </w:t>
      </w:r>
      <w:r>
        <w:rPr>
          <w:rFonts w:ascii="Times New Roman" w:hAnsi="Times New Roman"/>
          <w:sz w:val="24"/>
        </w:rPr>
        <w:t>Coverage analysis checks the original user question against the semantic layer so unsupported concepts can be rejected or clarified instead of silently mapped to the nearest available metric.</w:t>
      </w:r>
    </w:p>
    <w:p>
      <w:pPr>
        <w:spacing w:before="200" w:after="80"/>
        <w:jc w:val="center"/>
        <w:keepNext/>
      </w:pPr>
      <w:r>
        <w:rPr>
          <w:rFonts w:ascii="Times New Roman" w:hAnsi="Times New Roman"/>
          <w:b/>
          <w:sz w:val="22"/>
        </w:rPr>
        <w:t>Table 4.1: Prototype module-to-architecture mapping.</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88"/>
        <w:gridCol w:w="2376"/>
        <w:gridCol w:w="446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Architecture 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Implementation module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Main technical responsibility</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extraction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intent_parser.py, models.py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OpenAI-compatible structured JSON output into IntentObject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Grounding</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grounding.py,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Ranked semantic-layer binding with resolved, ambiguous, unsupported, or absent outcomes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Coverage</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coverage.py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Original-question inspection for unsupported e-commerce concepts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Semantic layer</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semantic_layer.py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Metrics, dimensions, predicates, time anchors, join graph, and mandatory filters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Compilation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compiler.py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Pattern templates, BFS join-path resolution, parameter binding, and SQL safety scan</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Visualization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visualization.py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Rule-based chart selection from pattern and result shape</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Persistence</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widget_engine.py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Plan hashing, widget storage, refresh metadata, and reuse</w:t>
            </w:r>
          </w:p>
        </w:tc>
      </w:tr>
    </w:tbl>
    <w:p>
      <w:pPr>
        <w:spacing w:after="80"/>
      </w:pPr>
    </w:p>
    <w:p>
      <w:pPr>
        <w:spacing w:after="0" w:before="0" w:line="360" w:lineRule="auto"/>
        <w:jc w:val="both"/>
      </w:pPr>
      <w:r>
        <w:rPr>
          <w:rFonts w:ascii="Times New Roman" w:hAnsi="Times New Roman"/>
          <w:b w:val="0"/>
          <w:i w:val="0"/>
          <w:sz w:val="24"/>
        </w:rPr>
        <w:t>This module map is included to make the prototype auditable: the thesis architecture is not only a conceptual pipeline, and each stage has a corresponding implementation boundary.</w:t>
      </w:r>
    </w:p>
    <w:p>
      <w:pPr>
        <w:spacing w:before="320" w:after="160"/>
        <w:jc w:val="left"/>
      </w:pPr>
      <w:r>
        <w:rPr>
          <w:rFonts w:ascii="Times New Roman" w:hAnsi="Times New Roman"/>
          <w:b/>
          <w:sz w:val="28"/>
        </w:rPr>
        <w:t>4.2  Experimental Environment</w:t>
      </w:r>
    </w:p>
    <w:p>
      <w:pPr>
        <w:spacing w:before="200" w:after="80"/>
        <w:jc w:val="center"/>
        <w:keepNext/>
      </w:pPr>
      <w:r>
        <w:rPr>
          <w:rFonts w:ascii="Times New Roman" w:hAnsi="Times New Roman"/>
          <w:b/>
          <w:sz w:val="22"/>
        </w:rPr>
        <w:t>Table 4.2: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Local/Laragon or Docker-compatible MySQL evaluation database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Application 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nopCommerce 4.70-style e-commerce schema</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customers, products, categories, manufacturers, payments, shipping, refunds, stores, countries, and search terms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interface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OpenAI-compatible /v1/chat/completions API</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Single-domain prototype evaluation over nopCommerce analytics</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leaderboard study. Its goal is to test whether the AEGIS architecture provides safe, governed natural-language analytics for a realistic e-commerce schema. General text-to-SQL benchmarks such as Spider and BIRD are valuable for SQL generation research, but they do not measure reusable dashboard widgets, semantic layer governance, or refusal of unsupported business questions.</w:t>
      </w:r>
    </w:p>
    <w:p>
      <w:pPr>
        <w:spacing w:before="200" w:after="80"/>
        <w:jc w:val="center"/>
        <w:keepNext/>
      </w:pPr>
      <w:r>
        <w:rPr>
          <w:rFonts w:ascii="Times New Roman" w:hAnsi="Times New Roman"/>
          <w:b/>
          <w:sz w:val="22"/>
        </w:rPr>
        <w:t>Table 4.3: Static evaluation datasets.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1584"/>
        <w:gridCol w:w="496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Dataset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Size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Natural-language benchmark</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500 questions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Tests broad nopCommerce semantic-layer coverage and realistic boundary refusal.</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Admin analytics oracles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16 tasks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Checks fidelity against source-derived nopCommerce Admin reporting logic.</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Admin-fidelity phrasings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80 prompts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Tests five natural phrasings for each Admin oracle task.</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Semantic coverage suite</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25 checks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Tests representative supported combinations and focused boundary cases.</w:t>
            </w:r>
          </w:p>
        </w:tc>
      </w:tr>
    </w:tbl>
    <w:p>
      <w:pPr>
        <w:spacing w:after="80"/>
      </w:pPr>
    </w:p>
    <w:p>
      <w:pPr>
        <w:spacing w:after="0" w:before="0" w:line="360" w:lineRule="auto"/>
        <w:jc w:val="both"/>
      </w:pPr>
      <w:r>
        <w:rPr>
          <w:rFonts w:ascii="Times New Roman" w:hAnsi="Times New Roman"/>
          <w:b w:val="0"/>
          <w:i w:val="0"/>
          <w:sz w:val="24"/>
        </w:rPr>
        <w:t>All benchmark datasets are static repository artifacts. They are not regenerated during evaluation, because a thesis dataset must be inspectable and stable. The reported result files are also stored with the repository so a reader can compare the manuscript tables with the underlying evidence.</w:t>
      </w:r>
    </w:p>
    <w:p>
      <w:pPr>
        <w:spacing w:before="320" w:after="160"/>
        <w:jc w:val="left"/>
      </w:pPr>
      <w:r>
        <w:rPr>
          <w:rFonts w:ascii="Times New Roman" w:hAnsi="Times New Roman"/>
          <w:b/>
          <w:sz w:val="28"/>
        </w:rPr>
        <w:t>4.4  Baseline and Oracle Comparisons</w:t>
      </w:r>
    </w:p>
    <w:p>
      <w:pPr>
        <w:spacing w:after="200" w:before="0" w:line="360" w:lineRule="auto"/>
        <w:jc w:val="both"/>
      </w:pPr>
      <w:r>
        <w:rPr>
          <w:rFonts w:ascii="Times New Roman" w:hAnsi="Times New Roman"/>
          <w:b w:val="0"/>
          <w:i w:val="0"/>
          <w:sz w:val="24"/>
        </w:rPr>
        <w:t>The evaluation uses two kinds of comparison. First, the thesis discusses the structural contrast between AEGIS and direct LLM-to-SQL systems, where the model is allowed to generate SQL text. Second, the Admin fidelity benchmark compares AEGIS output with source-derived nopCommerce Admin analytics oracles. The second comparison is the stronger evidence for result accuracy because it checks returned business values rather than only whether SQL text was emitted.</w:t>
      </w:r>
    </w:p>
    <w:p>
      <w:pPr>
        <w:spacing w:after="80" w:line="360" w:lineRule="auto"/>
        <w:ind w:left="461" w:hanging="259"/>
      </w:pPr>
      <w:r>
        <w:rPr>
          <w:rFonts w:ascii="Times New Roman" w:hAnsi="Times New Roman"/>
          <w:sz w:val="24"/>
        </w:rPr>
        <w:t>•</w:t>
        <w:tab/>
      </w:r>
      <w:r>
        <w:rPr>
          <w:rFonts w:ascii="Times New Roman" w:hAnsi="Times New Roman"/>
          <w:b/>
          <w:sz w:val="24"/>
        </w:rPr>
        <w:t xml:space="preserve">Direct LLM-to-SQL: </w:t>
      </w:r>
      <w:r>
        <w:rPr>
          <w:rFonts w:ascii="Times New Roman" w:hAnsi="Times New Roman"/>
          <w:sz w:val="24"/>
        </w:rPr>
        <w:t>The model is prompted to generate SQL directly from a database schema. This baseline has broad expressive freedom but weak governance because joins, filters, and business definitions are inferred per request.</w:t>
      </w:r>
    </w:p>
    <w:p>
      <w:pPr>
        <w:spacing w:after="80" w:line="360" w:lineRule="auto"/>
        <w:ind w:left="461" w:hanging="259"/>
      </w:pPr>
      <w:r>
        <w:rPr>
          <w:rFonts w:ascii="Times New Roman" w:hAnsi="Times New Roman"/>
          <w:sz w:val="24"/>
        </w:rPr>
        <w:t>•</w:t>
        <w:tab/>
      </w:r>
      <w:r>
        <w:rPr>
          <w:rFonts w:ascii="Times New Roman" w:hAnsi="Times New Roman"/>
          <w:b/>
          <w:sz w:val="24"/>
        </w:rPr>
        <w:t xml:space="preserve">Admin oracle comparison: </w:t>
      </w:r>
      <w:r>
        <w:rPr>
          <w:rFonts w:ascii="Times New Roman" w:hAnsi="Times New Roman"/>
          <w:sz w:val="24"/>
        </w:rPr>
        <w:t>Expected outputs are extracted from nopCommerce Admin analytics logic. AEGIS can use different SQL text, but the returned result shape and values must match the oracle.</w:t>
      </w:r>
    </w:p>
    <w:p>
      <w:r>
        <w:br w:type="page"/>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static benchmark data, verifier scripts, and recorded result artifacts:</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reliably does the LLM parser produce typed reporting intents on the 500-question natural-language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answer supported semantic-layer questions while rejecting or clarifying realistic unsupported e-commerce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the compiled SQL execute successfully against the evaluation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Do AEGIS outputs match the shape and values of source-derived nopCommerce Admin analytics oracles?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RQ5: </w:t>
      </w:r>
      <w:r>
        <w:rPr>
          <w:rFonts w:ascii="Times New Roman" w:hAnsi="Times New Roman"/>
          <w:sz w:val="24"/>
        </w:rPr>
        <w:t>What implementation gaps remain after the current semantic-layer and compiler updates?</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This chapter reports the current AEGIS prototype evaluation using static nopCommerce datasets committed with the repository. The evaluation separates four questions that are often mixed together: whether the system can parse a natural-language request, whether the request is covered by the semantic layer, whether the compiled SQL executes, and whether the returned result matches the expected business answer.</w:t>
      </w:r>
    </w:p>
    <w:p>
      <w:pPr>
        <w:spacing w:after="0" w:before="0" w:line="360" w:lineRule="auto"/>
        <w:jc w:val="both"/>
      </w:pPr>
      <w:r>
        <w:rPr>
          <w:rFonts w:ascii="Times New Roman" w:hAnsi="Times New Roman"/>
          <w:b w:val="0"/>
          <w:i w:val="0"/>
          <w:sz w:val="24"/>
        </w:rPr>
        <w:t>The results should not be read as a claim that AEGIS is a perfect analytics system. A perfect score on every table would be suspicious for a prototype. Instead, the evaluation shows where the architecture is strong, where the current nopCommerce implementation is already useful, and where a visible implementation gap remains.</w:t>
      </w:r>
    </w:p>
    <w:p>
      <w:pPr>
        <w:spacing w:before="320" w:after="160"/>
        <w:jc w:val="left"/>
      </w:pPr>
      <w:r>
        <w:rPr>
          <w:rFonts w:ascii="Times New Roman" w:hAnsi="Times New Roman"/>
          <w:b/>
          <w:sz w:val="28"/>
        </w:rPr>
        <w:t>5.1  Evaluation Overview</w:t>
      </w:r>
    </w:p>
    <w:p>
      <w:pPr>
        <w:spacing w:before="200" w:after="80"/>
        <w:jc w:val="center"/>
        <w:keepNext/>
      </w:pPr>
      <w:r>
        <w:rPr>
          <w:rFonts w:ascii="Times New Roman" w:hAnsi="Times New Roman"/>
          <w:b/>
          <w:sz w:val="22"/>
        </w:rPr>
        <w:t>Table 5.1: Current evaluation artifacts.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453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Artifact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500-question natural-language dataset</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Tests broad user-facing e-commerce questions over the implemented semantic layer.</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425 supported requests and 75 realistic boundary requests.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Admin analytics oracles</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Compares AEGIS outputs with source-derived nopCommerce Admin reporting logic.</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16 oracle tasks.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Admin-fidelity phrasings</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Checks whether the same Admin task can be requested in multiple natural phrasings.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80 prompts, five per oracle task.</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Focused semantic coverage suite</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Checks representative metric, dimension, trend, ranking, exception, and boundary cases.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20 supported and 5 boundary checks.</w:t>
            </w:r>
          </w:p>
        </w:tc>
      </w:tr>
    </w:tbl>
    <w:p>
      <w:pPr>
        <w:spacing w:after="80"/>
      </w:pPr>
    </w:p>
    <w:p>
      <w:pPr>
        <w:spacing w:after="0" w:before="0" w:line="360" w:lineRule="auto"/>
        <w:jc w:val="both"/>
      </w:pPr>
      <w:r>
        <w:rPr>
          <w:rFonts w:ascii="Times New Roman" w:hAnsi="Times New Roman"/>
          <w:b w:val="0"/>
          <w:i w:val="0"/>
          <w:sz w:val="24"/>
        </w:rPr>
        <w:t>These datasets are static research artifacts, not generated at evaluation time. This matters because a thesis result must be reproducible: another reader should be able to inspect the exact questions, oracle definitions, scripts, and result files used for the reported claims.</w:t>
      </w:r>
    </w:p>
    <w:p>
      <w:pPr>
        <w:spacing w:before="320" w:after="160"/>
        <w:jc w:val="left"/>
      </w:pPr>
      <w:r>
        <w:rPr>
          <w:rFonts w:ascii="Times New Roman" w:hAnsi="Times New Roman"/>
          <w:b/>
          <w:sz w:val="28"/>
        </w:rPr>
        <w:t>5.2  500-Question Natural-Language Benchmark</w:t>
      </w:r>
    </w:p>
    <w:p>
      <w:pPr>
        <w:spacing w:after="200" w:before="0" w:line="360" w:lineRule="auto"/>
        <w:jc w:val="both"/>
      </w:pPr>
      <w:r>
        <w:rPr>
          <w:rFonts w:ascii="Times New Roman" w:hAnsi="Times New Roman"/>
          <w:b w:val="0"/>
          <w:i w:val="0"/>
          <w:sz w:val="24"/>
        </w:rPr>
        <w:t>The main breadth benchmark contains natural-language questions that a store owner or administrator might ask about orders, revenue, customers, products, refunds, inventory, stores, countries, payment status, shipping, and search terms. The dataset intentionally includes unsupported questions as well, because a governed analytics system must know when not to answer.</w:t>
      </w:r>
    </w:p>
    <w:p>
      <w:pPr>
        <w:spacing w:before="200" w:after="80"/>
        <w:jc w:val="center"/>
        <w:keepNext/>
      </w:pPr>
      <w:r>
        <w:rPr>
          <w:rFonts w:ascii="Times New Roman" w:hAnsi="Times New Roman"/>
          <w:b/>
          <w:sz w:val="22"/>
        </w:rPr>
        <w:t>Table 5.2: 500-question live benchmark results.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800"/>
        <w:gridCol w:w="489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Parser success</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498/500 (99.6%)</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LLM API usually returned a valid typed intent.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intent exact match</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345/425 (81.2%)</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Many prompts were parsed exactly; remaining supported prompts often still compiled to a valid answer.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answer rate</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AEGIS answered almost all requests that were inside the semantic layer.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answered supported requests also executed successfully.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Boundary rejection accuracy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74/75 (98.7%)</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Most realistic e-commerce questions outside the semantic layer were rejected or clarified.</w:t>
            </w:r>
          </w:p>
        </w:tc>
      </w:tr>
    </w:tbl>
    <w:p>
      <w:pPr>
        <w:spacing w:after="80"/>
      </w:pPr>
    </w:p>
    <w:p>
      <w:pPr>
        <w:spacing w:after="0" w:before="0" w:line="360" w:lineRule="auto"/>
        <w:jc w:val="both"/>
      </w:pPr>
      <w:r>
        <w:rPr>
          <w:rFonts w:ascii="Times New Roman" w:hAnsi="Times New Roman"/>
          <w:b w:val="0"/>
          <w:i w:val="0"/>
          <w:sz w:val="24"/>
        </w:rPr>
        <w:t>This result supports the bounded-system claim. AEGIS is not trying to answer infinite arbitrary SQL questions. It is trying to answer a large, useful set of questions made available by the semantic layer and to avoid silently inventing answers for unavailable concepts.</w:t>
      </w:r>
    </w:p>
    <w:p>
      <w:pPr>
        <w:spacing w:before="320" w:after="160"/>
        <w:jc w:val="left"/>
      </w:pPr>
      <w:r>
        <w:rPr>
          <w:rFonts w:ascii="Times New Roman" w:hAnsi="Times New Roman"/>
          <w:b/>
          <w:sz w:val="28"/>
        </w:rPr>
        <w:t>5.3  Admin Fidelity Benchmark</w:t>
      </w:r>
    </w:p>
    <w:p>
      <w:pPr>
        <w:spacing w:after="200" w:before="0" w:line="360" w:lineRule="auto"/>
        <w:jc w:val="both"/>
      </w:pPr>
      <w:r>
        <w:rPr>
          <w:rFonts w:ascii="Times New Roman" w:hAnsi="Times New Roman"/>
          <w:b w:val="0"/>
          <w:i w:val="0"/>
          <w:sz w:val="24"/>
        </w:rPr>
        <w:t>The Admin fidelity benchmark is stricter than asking whether AEGIS can produce some chartable SQL. It extracts reporting expectations from nopCommerce Admin analytics and compares the returned shape and values against those source-derived oracles. Exact SQL text is not required; the important question is whether the answer has the correct business meaning.</w:t>
      </w:r>
    </w:p>
    <w:p>
      <w:pPr>
        <w:spacing w:before="200" w:after="80"/>
        <w:jc w:val="center"/>
        <w:keepNext/>
      </w:pPr>
      <w:r>
        <w:rPr>
          <w:rFonts w:ascii="Times New Roman" w:hAnsi="Times New Roman"/>
          <w:b/>
          <w:sz w:val="22"/>
        </w:rPr>
        <w:t>Table 5.3: Admin analytics oracle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944"/>
        <w:gridCol w:w="4752"/>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Execution validity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16/16 (100.0%)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Every Admin oracle task produced executable SQL.</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Shape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16/16 (100.0%)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Every output used the expected row/column structure.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Result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15/16 (93.8%)</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One dashboard order-average matrix still differs from nopCommerce.</w:t>
            </w:r>
          </w:p>
        </w:tc>
      </w:tr>
    </w:tbl>
    <w:p>
      <w:pPr>
        <w:spacing w:after="80"/>
      </w:pPr>
    </w:p>
    <w:p>
      <w:pPr>
        <w:spacing w:after="0" w:before="0" w:line="360" w:lineRule="auto"/>
        <w:jc w:val="both"/>
      </w:pPr>
      <w:r>
        <w:rPr>
          <w:rFonts w:ascii="Times New Roman" w:hAnsi="Times New Roman"/>
          <w:b w:val="0"/>
          <w:i w:val="0"/>
          <w:sz w:val="24"/>
        </w:rPr>
        <w:t>The remaining mismatch is useful evidence rather than an embarrassment. It shows that the benchmark is capable of finding a real gap. The gap should be fixed by adding a general multi-period matrix-summary primitive to the compiler, not by hardcoding a nopCommerce report shortcut.</w:t>
      </w:r>
    </w:p>
    <w:p>
      <w:pPr>
        <w:spacing w:before="320" w:after="160"/>
        <w:jc w:val="left"/>
      </w:pPr>
      <w:r>
        <w:rPr>
          <w:rFonts w:ascii="Times New Roman" w:hAnsi="Times New Roman"/>
          <w:b/>
          <w:sz w:val="28"/>
        </w:rPr>
        <w:t>5.4  Focused Semantic Coverage</w:t>
      </w:r>
    </w:p>
    <w:p>
      <w:pPr>
        <w:spacing w:before="200" w:after="80"/>
        <w:jc w:val="center"/>
        <w:keepNext/>
      </w:pPr>
      <w:r>
        <w:rPr>
          <w:rFonts w:ascii="Times New Roman" w:hAnsi="Times New Roman"/>
          <w:b/>
          <w:sz w:val="22"/>
        </w:rPr>
        <w:t>Table 5.4: Focused semantic coverage results.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1944"/>
        <w:gridCol w:w="446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20/20 (100.0%)</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Representative supported requests executed.</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Supported shape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20/20 (100.0%)</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Outputs matched the expected widget form.</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Supported result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20/20 (100.0%)</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Focused supported cases matched expected values.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Boundary rejection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5/5 (100.0%)</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Focused unsupported cases were rejected.</w:t>
            </w:r>
          </w:p>
        </w:tc>
      </w:tr>
    </w:tbl>
    <w:p>
      <w:pPr>
        <w:spacing w:after="80"/>
      </w:pPr>
    </w:p>
    <w:p>
      <w:pPr>
        <w:spacing w:after="0" w:before="0" w:line="360" w:lineRule="auto"/>
        <w:jc w:val="both"/>
      </w:pPr>
      <w:r>
        <w:rPr>
          <w:rFonts w:ascii="Times New Roman" w:hAnsi="Times New Roman"/>
          <w:b w:val="0"/>
          <w:i w:val="0"/>
          <w:sz w:val="24"/>
        </w:rPr>
        <w:t>This small suite is not presented as proof of perfection. It is a regression and coverage check over representative semantic-layer combinations. The broader 500-question benchmark and the Admin oracle mismatch are what keep the evaluation honest.</w:t>
      </w:r>
    </w:p>
    <w:p>
      <w:pPr>
        <w:spacing w:before="320" w:after="160"/>
        <w:jc w:val="left"/>
      </w:pPr>
      <w:r>
        <w:rPr>
          <w:rFonts w:ascii="Times New Roman" w:hAnsi="Times New Roman"/>
          <w:b/>
          <w:sz w:val="28"/>
        </w:rPr>
        <w:t>5.5  Safety Evaluation</w:t>
      </w:r>
    </w:p>
    <w:p>
      <w:pPr>
        <w:spacing w:after="200" w:before="0" w:line="360" w:lineRule="auto"/>
        <w:jc w:val="both"/>
      </w:pPr>
      <w:r>
        <w:rPr>
          <w:rFonts w:ascii="Times New Roman" w:hAnsi="Times New Roman"/>
          <w:b w:val="0"/>
          <w:i w:val="0"/>
          <w:sz w:val="24"/>
        </w:rPr>
        <w:t>The central architectural safety property is that the language model does not write SQL. It returns a typed intent object. SQL is then produced by deterministic templates over approved semantic-layer definitions and checked before execution. Therefore, prompt text from the user is not interpolated into executable SQL.</w:t>
      </w:r>
    </w:p>
    <w:p>
      <w:pPr>
        <w:spacing w:before="200" w:after="80"/>
        <w:jc w:val="center"/>
        <w:keepNext/>
      </w:pPr>
      <w:r>
        <w:rPr>
          <w:rFonts w:ascii="Times New Roman" w:hAnsi="Times New Roman"/>
          <w:b/>
          <w:sz w:val="22"/>
        </w:rPr>
        <w:t>Table 5.5: Safety interpretation.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3672"/>
        <w:gridCol w:w="2880"/>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Risk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 control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Remaining boundary</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asks for a write operation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Intent schema and compiler templates do not include write primitives.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system must still explain refusal clearly to the user.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uses unsupported business terms</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Coverage analysis checks the original user question against the semantic layer.</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Coverage is finite and depends on deployment 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misunderstands the request</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Compiled SQL remains structurally safe.</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answer may still be semantically wrong if intent extraction is wrong.</w:t>
            </w:r>
          </w:p>
        </w:tc>
      </w:tr>
    </w:tbl>
    <w:p>
      <w:pPr>
        <w:spacing w:after="80"/>
      </w:pPr>
    </w:p>
    <w:p>
      <w:pPr>
        <w:spacing w:before="320" w:after="160"/>
        <w:jc w:val="left"/>
      </w:pPr>
      <w:r>
        <w:rPr>
          <w:rFonts w:ascii="Times New Roman" w:hAnsi="Times New Roman"/>
          <w:b/>
          <w:sz w:val="28"/>
        </w:rPr>
        <w:t>5.6  Comparison With Direct LLM-to-SQL</w:t>
      </w:r>
    </w:p>
    <w:p>
      <w:pPr>
        <w:spacing w:after="200" w:before="0" w:line="360" w:lineRule="auto"/>
        <w:jc w:val="both"/>
      </w:pPr>
      <w:r>
        <w:rPr>
          <w:rFonts w:ascii="Times New Roman" w:hAnsi="Times New Roman"/>
          <w:b w:val="0"/>
          <w:i w:val="0"/>
          <w:sz w:val="24"/>
        </w:rPr>
        <w:t>A direct LLM-to-SQL baseline can appear attractive because it can always try to write a SELECT statement. However, allowing the model to author SQL moves business definitions, join choices, security behavior, and dialect correctness into a probabilistic component. AEGIS deliberately gives up unlimited query flexibility in exchange for governed definitions, deterministic compilation, and an explicit refusal path.</w:t>
      </w:r>
    </w:p>
    <w:p>
      <w:pPr>
        <w:spacing w:before="200" w:after="80"/>
        <w:jc w:val="center"/>
        <w:keepNext/>
      </w:pPr>
      <w:r>
        <w:rPr>
          <w:rFonts w:ascii="Times New Roman" w:hAnsi="Times New Roman"/>
          <w:b/>
          <w:sz w:val="22"/>
        </w:rPr>
        <w:t>Table 5.6: Structural comparison.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44"/>
        <w:gridCol w:w="3240"/>
        <w:gridCol w:w="374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Model writes SQL text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Compiler expands approved templates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Business definitions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prompt/schema names</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Declared in semantic layer</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Unsupported requests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Often answered by nearest plausible SQL</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Rejected or clarified when outside coverage</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Dashboard output</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Usually one-off query result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Saved, refreshable widget artifact</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Safety basis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Prompt instruction and filtering</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No model-authored SQL execution path</w:t>
            </w:r>
          </w:p>
        </w:tc>
      </w:tr>
    </w:tbl>
    <w:p>
      <w:pPr>
        <w:spacing w:after="80"/>
      </w:pPr>
    </w:p>
    <w:p>
      <w:pPr>
        <w:spacing w:before="320" w:after="160"/>
        <w:jc w:val="left"/>
      </w:pPr>
      <w:r>
        <w:rPr>
          <w:rFonts w:ascii="Times New Roman" w:hAnsi="Times New Roman"/>
          <w:b/>
          <w:sz w:val="28"/>
        </w:rPr>
        <w:t>5.7  Interpretation</w:t>
      </w:r>
    </w:p>
    <w:p>
      <w:pPr>
        <w:spacing w:after="200" w:before="0" w:line="360" w:lineRule="auto"/>
        <w:jc w:val="both"/>
      </w:pPr>
      <w:r>
        <w:rPr>
          <w:rFonts w:ascii="Times New Roman" w:hAnsi="Times New Roman"/>
          <w:b w:val="0"/>
          <w:i w:val="0"/>
          <w:sz w:val="24"/>
        </w:rPr>
        <w:t>The evaluation supports three conclusions. First, a semantic-layer architecture can cover a broad set of natural e-commerce analytics questions without exposing users to raw SQL. Second, refusal is part of correctness: a system that answers an unsupported question with a plausible but wrong query is less trustworthy than one that declines. Third, the remaining Admin fidelity gap is an implementation gap in the current compiler, not evidence that the architecture must be replaced.</w:t>
      </w:r>
    </w:p>
    <w:p>
      <w:pPr>
        <w:spacing w:after="0" w:before="0" w:line="360" w:lineRule="auto"/>
        <w:jc w:val="both"/>
      </w:pPr>
      <w:r>
        <w:rPr>
          <w:rFonts w:ascii="Times New Roman" w:hAnsi="Times New Roman"/>
          <w:b w:val="0"/>
          <w:i w:val="0"/>
          <w:sz w:val="24"/>
        </w:rPr>
        <w:t xml:space="preserve">This interpretation is consistent with mixed-initiative NLIDB work such as </w:t>
      </w:r>
      <w:r>
        <w:rPr>
          <w:rFonts w:ascii="Times New Roman" w:hAnsi="Times New Roman"/>
          <w:b w:val="0"/>
          <w:i w:val="0"/>
          <w:sz w:val="24"/>
        </w:rPr>
        <w:t>[5]</w:t>
      </w:r>
      <w:r>
        <w:rPr>
          <w:rFonts w:ascii="Times New Roman" w:hAnsi="Times New Roman"/>
          <w:b w:val="0"/>
          <w:i w:val="0"/>
          <w:sz w:val="24"/>
        </w:rPr>
        <w:t>, which showed that users do not reliably detect wrong system answers without help. In a reporting context, a visible refusal or clarification is therefore often safer than a confident wrong chart.</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200" w:before="0" w:line="360" w:lineRule="auto"/>
        <w:jc w:val="both"/>
      </w:pPr>
      <w:r>
        <w:rPr>
          <w:rFonts w:ascii="Times New Roman" w:hAnsi="Times New Roman"/>
          <w:b w:val="0"/>
          <w:i w:val="0"/>
          <w:sz w:val="24"/>
        </w:rPr>
        <w:t>AEGIS is intentionally bounded. Its safety and auditability come from the fact that all answerable concepts must be declared in the semantic layer and all executable SQL must be produced by deterministic compiler templates. The limitations below should therefore be read as explicit boundaries of the current nopCommerce prototype, not as reasons to bypass the architecture with free-form SQL generation.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Single-domain evaluation: </w:t>
      </w:r>
      <w:r>
        <w:rPr>
          <w:rFonts w:ascii="Times New Roman" w:hAnsi="Times New Roman"/>
          <w:sz w:val="24"/>
        </w:rPr>
        <w:t>The final evaluation is over one e-commerce deployment, nopCommerce. The results show that the architecture works in this domain, but they do not prove cross-domain generality.</w:t>
      </w:r>
    </w:p>
    <w:p>
      <w:pPr>
        <w:spacing w:after="80" w:line="360" w:lineRule="auto"/>
        <w:ind w:left="461" w:hanging="259"/>
      </w:pPr>
      <w:r>
        <w:rPr>
          <w:rFonts w:ascii="Times New Roman" w:hAnsi="Times New Roman"/>
          <w:sz w:val="24"/>
        </w:rPr>
        <w:t>•</w:t>
        <w:tab/>
      </w:r>
      <w:r>
        <w:rPr>
          <w:rFonts w:ascii="Times New Roman" w:hAnsi="Times New Roman"/>
          <w:b/>
          <w:sz w:val="24"/>
        </w:rPr>
        <w:t xml:space="preserve">Author-generated natural-language data: </w:t>
      </w:r>
      <w:r>
        <w:rPr>
          <w:rFonts w:ascii="Times New Roman" w:hAnsi="Times New Roman"/>
          <w:sz w:val="24"/>
        </w:rPr>
        <w:t>The 500-question dataset is static and checkable, but it is still author-generated. A stronger study would collect questions from store owners or administrators and annotate them with at least two reviewers.</w:t>
      </w:r>
    </w:p>
    <w:p>
      <w:pPr>
        <w:spacing w:after="80" w:line="360" w:lineRule="auto"/>
        <w:ind w:left="461" w:hanging="259"/>
      </w:pPr>
      <w:r>
        <w:rPr>
          <w:rFonts w:ascii="Times New Roman" w:hAnsi="Times New Roman"/>
          <w:sz w:val="24"/>
        </w:rPr>
        <w:t>•</w:t>
        <w:tab/>
      </w:r>
      <w:r>
        <w:rPr>
          <w:rFonts w:ascii="Times New Roman" w:hAnsi="Times New Roman"/>
          <w:b/>
          <w:sz w:val="24"/>
        </w:rPr>
        <w:t xml:space="preserve">Finite semantic coverage: </w:t>
      </w:r>
      <w:r>
        <w:rPr>
          <w:rFonts w:ascii="Times New Roman" w:hAnsi="Times New Roman"/>
          <w:sz w:val="24"/>
        </w:rPr>
        <w:t>Boundary questions about web telemetry, marketing attribution, support tickets, review-text sentiment, forecasting, churn prediction, supplier performance, fraud scoring, delivery SLA analysis, and product affinity are deliberately outside the current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Remaining Admin fidelity gap: </w:t>
      </w:r>
      <w:r>
        <w:rPr>
          <w:rFonts w:ascii="Times New Roman" w:hAnsi="Times New Roman"/>
          <w:sz w:val="24"/>
        </w:rPr>
        <w:t>The Admin oracle benchmark reaches 15/16 result accuracy. The remaining dashboard mismatch requires a general multi-period matrix-summary primitive, not a hardcoded report-name preset.</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dependence for intent extraction: </w:t>
      </w:r>
      <w:r>
        <w:rPr>
          <w:rFonts w:ascii="Times New Roman" w:hAnsi="Times New Roman"/>
          <w:sz w:val="24"/>
        </w:rPr>
        <w:t>The compiler and safety layer are deterministic, but natural-language intent extraction still depends on the configured LLM API. Future work should compare multiple OpenAI-compatible models on the same static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database target: </w:t>
      </w:r>
      <w:r>
        <w:rPr>
          <w:rFonts w:ascii="Times New Roman" w:hAnsi="Times New Roman"/>
          <w:sz w:val="24"/>
        </w:rPr>
        <w:t>The evaluated prototype targets nopCommerce on MySQL. This is an implementation and evaluation-scope choice, not an architectural limitation; other databases require dialect-specific compiler templates and safety rules.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persistence: </w:t>
      </w:r>
      <w:r>
        <w:rPr>
          <w:rFonts w:ascii="Times New Roman" w:hAnsi="Times New Roman"/>
          <w:sz w:val="24"/>
        </w:rPr>
        <w:t>The prototype stores widget metadata in simple local persistence. A production deployment should move the widget registry to a transactional database with migrations, ownership policies, and administrative audit views.</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Matrix summaries: </w:t>
      </w:r>
      <w:r>
        <w:rPr>
          <w:rFonts w:ascii="Times New Roman" w:hAnsi="Times New Roman"/>
          <w:sz w:val="24"/>
        </w:rPr>
        <w:t>Add the general matrix-summary primitive needed for the remaining Admin fidelity mismatch, while keeping the compiler template-based and avoiding report-specific presets.</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Repeat the static-dataset process on a second schema such as WooCommerce or a non-commerce operational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Build a guided interface so analysts can define metrics, dimensions, predicates, join paths, and display labels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Human dataset study: </w:t>
      </w:r>
      <w:r>
        <w:rPr>
          <w:rFonts w:ascii="Times New Roman" w:hAnsi="Times New Roman"/>
          <w:sz w:val="24"/>
        </w:rPr>
        <w:t>Collect real user questions and perform independent answerability and oracle annotation, including inter-annotator agreement.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Model comparison: </w:t>
      </w:r>
      <w:r>
        <w:rPr>
          <w:rFonts w:ascii="Times New Roman" w:hAnsi="Times New Roman"/>
          <w:sz w:val="24"/>
        </w:rPr>
        <w:t>Compare parser accuracy, refusal behavior, and execution validity across several OpenAI-compatible LLM APIs while keeping the compiler and semantic layer fixed.</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final evaluation used static nopCommerce datasets rather than an ad hoc one-time question set. On the 500-question live benchmark, AEGIS parsed 498 of 500 prompts, answered and executed 422 of 425 supported requests, and rejected or clarified 74 of 75 realistic boundary requests. Against 16 source-derived Admin analytics oracles, it achieved 16 of 16 execution validity, 16 of 16 shape accuracy, and 15 of 16 result accuracy. The focused semantic-coverage suite further confirmed representative supported and boundary cases.</w:t>
      </w:r>
    </w:p>
    <w:p>
      <w:pPr>
        <w:spacing w:after="240" w:before="0" w:line="360" w:lineRule="auto"/>
        <w:jc w:val="both"/>
      </w:pPr>
      <w:r>
        <w:rPr>
          <w:rFonts w:ascii="Times New Roman" w:hAnsi="Times New Roman"/>
          <w:b w:val="0"/>
          <w:i w:val="0"/>
          <w:sz w:val="24"/>
        </w:rPr>
        <w:t>These results should be read with the right scope. AEGIS is not an infinite natural-language-to-SQL engine, and the thesis does not claim perfect accuracy. Its contribution is a bounded reporting architecture: if the semantic layer defines a business concept, the system can map natural language to a safe, refreshable analytical widget; if the concept is outside the layer, the correct behavior is to reject or clarify rather than invent an answer.</w:t>
      </w:r>
    </w:p>
    <w:p>
      <w:pPr>
        <w:spacing w:after="0" w:before="0" w:line="360" w:lineRule="auto"/>
        <w:jc w:val="both"/>
      </w:pPr>
      <w:r>
        <w:rPr>
          <w:rFonts w:ascii="Times New Roman" w:hAnsi="Times New Roman"/>
          <w:b w:val="0"/>
          <w:i w:val="0"/>
          <w:sz w:val="24"/>
        </w:rPr>
        <w:t>The remaining Admin mismatch strengthens the evaluation because it shows that the benchmark can expose real implementation gaps. Fixing that gap should extend the general compiler with a reusable matrix-summary primitive, not add a nopCommerce-specific shortcut. Within this scope, AEGIS demonstrates a practical path toward safer, more auditable natural-language analytics in institutional dashboard systems.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enhance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