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limitations section.</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8</w:t>
      </w:r>
    </w:p>
    <w:p>
      <w:pPr>
        <w:spacing w:after="80" w:before="0" w:line="360" w:lineRule="auto"/>
        <w:ind w:left="432"/>
        <w:jc w:val="both"/>
        <w:tabs>
          <w:tab w:val="right" w:leader="dot" w:pos="8640"/>
        </w:tabs>
      </w:pPr>
      <w:r>
        <w:rPr>
          <w:rFonts w:ascii="Times New Roman" w:hAnsi="Times New Roman"/>
          <w:b w:val="0"/>
          <w:sz w:val="23"/>
        </w:rPr>
        <w:t>2.6 Research Gap Analysis</w:t>
        <w:tab/>
        <w:t>9</w:t>
      </w:r>
    </w:p>
    <w:p>
      <w:pPr>
        <w:spacing w:after="160" w:before="80" w:line="360" w:lineRule="auto"/>
        <w:ind w:left="0"/>
        <w:jc w:val="both"/>
        <w:tabs>
          <w:tab w:val="right" w:leader="dot" w:pos="8640"/>
        </w:tabs>
      </w:pPr>
      <w:r>
        <w:rPr>
          <w:rFonts w:ascii="Times New Roman" w:hAnsi="Times New Roman"/>
          <w:b/>
          <w:sz w:val="24"/>
        </w:rPr>
        <w:t>Chapter 3: Methodology</w:t>
        <w:tab/>
        <w:t>10</w:t>
      </w:r>
    </w:p>
    <w:p>
      <w:pPr>
        <w:spacing w:after="80" w:before="0" w:line="360" w:lineRule="auto"/>
        <w:ind w:left="432"/>
        <w:jc w:val="both"/>
        <w:tabs>
          <w:tab w:val="right" w:leader="dot" w:pos="8640"/>
        </w:tabs>
      </w:pPr>
      <w:r>
        <w:rPr>
          <w:rFonts w:ascii="Times New Roman" w:hAnsi="Times New Roman"/>
          <w:b w:val="0"/>
          <w:sz w:val="23"/>
        </w:rPr>
        <w:t>3.1 Research Paradigm</w:t>
        <w:tab/>
        <w:t>10</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10</w:t>
      </w:r>
    </w:p>
    <w:p>
      <w:pPr>
        <w:spacing w:after="80" w:before="0" w:line="360" w:lineRule="auto"/>
        <w:ind w:left="432"/>
        <w:jc w:val="both"/>
        <w:tabs>
          <w:tab w:val="right" w:leader="dot" w:pos="8640"/>
        </w:tabs>
      </w:pPr>
      <w:r>
        <w:rPr>
          <w:rFonts w:ascii="Times New Roman" w:hAnsi="Times New Roman"/>
          <w:b w:val="0"/>
          <w:sz w:val="23"/>
        </w:rPr>
        <w:t>3.3 Design Principles</w:t>
        <w:tab/>
        <w:t>12</w:t>
      </w:r>
    </w:p>
    <w:p>
      <w:pPr>
        <w:spacing w:after="80" w:before="0" w:line="360" w:lineRule="auto"/>
        <w:ind w:left="432"/>
        <w:jc w:val="both"/>
        <w:tabs>
          <w:tab w:val="right" w:leader="dot" w:pos="8640"/>
        </w:tabs>
      </w:pPr>
      <w:r>
        <w:rPr>
          <w:rFonts w:ascii="Times New Roman" w:hAnsi="Times New Roman"/>
          <w:b w:val="0"/>
          <w:sz w:val="23"/>
        </w:rPr>
        <w:t>3.4 Formal Model</w:t>
        <w:tab/>
        <w:t>12</w:t>
      </w:r>
    </w:p>
    <w:p>
      <w:pPr>
        <w:spacing w:after="80" w:before="0" w:line="360" w:lineRule="auto"/>
        <w:ind w:left="432"/>
        <w:jc w:val="both"/>
        <w:tabs>
          <w:tab w:val="right" w:leader="dot" w:pos="8640"/>
        </w:tabs>
      </w:pPr>
      <w:r>
        <w:rPr>
          <w:rFonts w:ascii="Times New Roman" w:hAnsi="Times New Roman"/>
          <w:b w:val="0"/>
          <w:sz w:val="23"/>
        </w:rPr>
        <w:t>3.5 Threat Model</w:t>
        <w:tab/>
        <w:t>12</w:t>
      </w:r>
    </w:p>
    <w:p>
      <w:pPr>
        <w:spacing w:after="80" w:before="0" w:line="360" w:lineRule="auto"/>
        <w:ind w:left="432"/>
        <w:jc w:val="both"/>
        <w:tabs>
          <w:tab w:val="right" w:leader="dot" w:pos="8640"/>
        </w:tabs>
      </w:pPr>
      <w:r>
        <w:rPr>
          <w:rFonts w:ascii="Times New Roman" w:hAnsi="Times New Roman"/>
          <w:b w:val="0"/>
          <w:sz w:val="23"/>
        </w:rPr>
        <w:t>3.6 System Architecture</w:t>
        <w:tab/>
        <w:t>15</w:t>
      </w:r>
    </w:p>
    <w:p>
      <w:pPr>
        <w:spacing w:after="80" w:before="0" w:line="360" w:lineRule="auto"/>
        <w:ind w:left="432"/>
        <w:jc w:val="both"/>
        <w:tabs>
          <w:tab w:val="right" w:leader="dot" w:pos="8640"/>
        </w:tabs>
      </w:pPr>
      <w:r>
        <w:rPr>
          <w:rFonts w:ascii="Times New Roman" w:hAnsi="Times New Roman"/>
          <w:b w:val="0"/>
          <w:sz w:val="23"/>
        </w:rPr>
        <w:t>3.7 Semantic Layer Design</w:t>
        <w:tab/>
        <w:t>16</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17</w:t>
      </w:r>
    </w:p>
    <w:p>
      <w:pPr>
        <w:spacing w:after="80" w:before="0" w:line="360" w:lineRule="auto"/>
        <w:ind w:left="432"/>
        <w:jc w:val="both"/>
        <w:tabs>
          <w:tab w:val="right" w:leader="dot" w:pos="8640"/>
        </w:tabs>
      </w:pPr>
      <w:r>
        <w:rPr>
          <w:rFonts w:ascii="Times New Roman" w:hAnsi="Times New Roman"/>
          <w:b w:val="0"/>
          <w:sz w:val="23"/>
        </w:rPr>
        <w:t>3.9 Safe Query Compiler</w:t>
        <w:tab/>
        <w:t>19</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23</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33</w:t>
      </w:r>
    </w:p>
    <w:p>
      <w:pPr>
        <w:spacing w:after="160" w:before="80" w:line="360" w:lineRule="auto"/>
        <w:ind w:left="0"/>
        <w:jc w:val="both"/>
        <w:tabs>
          <w:tab w:val="right" w:leader="dot" w:pos="8640"/>
        </w:tabs>
      </w:pPr>
      <w:r>
        <w:rPr>
          <w:rFonts w:ascii="Times New Roman" w:hAnsi="Times New Roman"/>
          <w:b/>
          <w:sz w:val="24"/>
        </w:rPr>
        <w:t>References</w:t>
        <w:tab/>
        <w:t>34</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10</w:t>
      </w:r>
    </w:p>
    <w:p>
      <w:pPr>
        <w:spacing w:after="80" w:before="0" w:line="360" w:lineRule="auto"/>
        <w:jc w:val="both"/>
        <w:tabs>
          <w:tab w:val="right" w:leader="dot" w:pos="8640"/>
        </w:tabs>
      </w:pPr>
      <w:r>
        <w:rPr>
          <w:rFonts w:ascii="Times New Roman" w:hAnsi="Times New Roman"/>
          <w:sz w:val="24"/>
        </w:rPr>
        <w:t>Figure 2: Benchmark pattern classification</w:t>
        <w:tab/>
        <w:t>11</w:t>
      </w:r>
    </w:p>
    <w:p>
      <w:pPr>
        <w:spacing w:after="80" w:before="0" w:line="360" w:lineRule="auto"/>
        <w:jc w:val="both"/>
        <w:tabs>
          <w:tab w:val="right" w:leader="dot" w:pos="8640"/>
        </w:tabs>
      </w:pPr>
      <w:r>
        <w:rPr>
          <w:rFonts w:ascii="Times New Roman" w:hAnsi="Times New Roman"/>
          <w:sz w:val="24"/>
        </w:rPr>
        <w:t>Figure 3: AEGIS architecture pipeline</w:t>
        <w:tab/>
        <w:t>16</w:t>
      </w:r>
    </w:p>
    <w:p>
      <w:pPr>
        <w:spacing w:after="80" w:before="0" w:line="360" w:lineRule="auto"/>
        <w:jc w:val="both"/>
        <w:tabs>
          <w:tab w:val="right" w:leader="dot" w:pos="8640"/>
        </w:tabs>
      </w:pPr>
      <w:r>
        <w:rPr>
          <w:rFonts w:ascii="Times New Roman" w:hAnsi="Times New Roman"/>
          <w:sz w:val="24"/>
        </w:rPr>
        <w:t>Figure 4: Semantic layer modularity</w:t>
        <w:tab/>
        <w:t>16</w:t>
      </w:r>
    </w:p>
    <w:p>
      <w:pPr>
        <w:spacing w:after="80" w:before="0" w:line="360" w:lineRule="auto"/>
        <w:jc w:val="both"/>
        <w:tabs>
          <w:tab w:val="right" w:leader="dot" w:pos="8640"/>
        </w:tabs>
      </w:pPr>
      <w:r>
        <w:rPr>
          <w:rFonts w:ascii="Times New Roman" w:hAnsi="Times New Roman"/>
          <w:sz w:val="24"/>
        </w:rPr>
        <w:t>Figure 5: Vocabulary injection workflow</w:t>
        <w:tab/>
        <w:t>18</w:t>
      </w:r>
    </w:p>
    <w:p>
      <w:pPr>
        <w:spacing w:after="80" w:before="0" w:line="360" w:lineRule="auto"/>
        <w:jc w:val="both"/>
        <w:tabs>
          <w:tab w:val="right" w:leader="dot" w:pos="8640"/>
        </w:tabs>
      </w:pPr>
      <w:r>
        <w:rPr>
          <w:rFonts w:ascii="Times New Roman" w:hAnsi="Times New Roman"/>
          <w:sz w:val="24"/>
        </w:rPr>
        <w:t>Figure 6: AEGIS analytical patterns</w:t>
        <w:tab/>
        <w:t>19</w:t>
      </w:r>
    </w:p>
    <w:p>
      <w:pPr>
        <w:spacing w:after="80" w:before="0" w:line="360" w:lineRule="auto"/>
        <w:jc w:val="both"/>
        <w:tabs>
          <w:tab w:val="right" w:leader="dot" w:pos="8640"/>
        </w:tabs>
      </w:pPr>
      <w:r>
        <w:rPr>
          <w:rFonts w:ascii="Times New Roman" w:hAnsi="Times New Roman"/>
          <w:sz w:val="24"/>
        </w:rPr>
        <w:t>Figure 7: Two-layer SQL safety defence</w:t>
        <w:tab/>
        <w:t>20</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8</w:t>
      </w:r>
    </w:p>
    <w:p>
      <w:pPr>
        <w:spacing w:after="80" w:before="0" w:line="360" w:lineRule="auto"/>
        <w:jc w:val="both"/>
        <w:tabs>
          <w:tab w:val="right" w:leader="dot" w:pos="8640"/>
        </w:tabs>
      </w:pPr>
      <w:r>
        <w:rPr>
          <w:rFonts w:ascii="Times New Roman" w:hAnsi="Times New Roman"/>
          <w:sz w:val="24"/>
        </w:rPr>
        <w:t>Table 3.1: Benchmark pattern classification</w:t>
        <w:tab/>
        <w:t>11</w:t>
      </w:r>
    </w:p>
    <w:p>
      <w:pPr>
        <w:spacing w:after="80" w:before="0" w:line="360" w:lineRule="auto"/>
        <w:jc w:val="both"/>
        <w:tabs>
          <w:tab w:val="right" w:leader="dot" w:pos="8640"/>
        </w:tabs>
      </w:pPr>
      <w:r>
        <w:rPr>
          <w:rFonts w:ascii="Times New Roman" w:hAnsi="Times New Roman"/>
          <w:sz w:val="24"/>
        </w:rPr>
        <w:t>Table 3.2: Semantic layer object model</w:t>
        <w:tab/>
        <w:t>17</w:t>
      </w:r>
    </w:p>
    <w:p>
      <w:pPr>
        <w:spacing w:after="80" w:before="0" w:line="360" w:lineRule="auto"/>
        <w:jc w:val="both"/>
        <w:tabs>
          <w:tab w:val="right" w:leader="dot" w:pos="8640"/>
        </w:tabs>
      </w:pPr>
      <w:r>
        <w:rPr>
          <w:rFonts w:ascii="Times New Roman" w:hAnsi="Times New Roman"/>
          <w:sz w:val="24"/>
        </w:rPr>
        <w:t>Table 3.3: AEGIS analytical patterns</w:t>
        <w:tab/>
        <w:t>19</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This chapter reviews the work most directly comparable to AEGIS. The discussion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r>
        <w:br w:type="page"/>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r>
        <w:br w:type="page"/>
      </w: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rigor: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tbl>
      <w:tblPr>
        <w:tblW w:type="auto" w:w="0"/>
        <w:jc w:val="center"/>
        <w:tblLayout w:type="fixed"/>
        <w:tblLook w:firstColumn="1" w:firstRow="1" w:lastColumn="0" w:lastRow="0" w:noHBand="0" w:noVBand="1" w:val="04A0"/>
      </w:tblPr>
      <w:tblGrid>
        <w:gridCol w:w="9072"/>
      </w:tblGrid>
      <w:tr>
        <w:trPr>
          <w:trHeight w:val="2880"/>
          <w:trHeight w:val="2880"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1 NOT YET INSERTED ]</w:t>
            </w:r>
          </w:p>
          <w:p>
            <w:pPr>
              <w:spacing w:after="160"/>
              <w:jc w:val="center"/>
            </w:pPr>
            <w:r>
              <w:rPr>
                <w:rFonts w:ascii="Times New Roman" w:hAnsi="Times New Roman"/>
                <w:b/>
                <w:color w:val="333333"/>
                <w:sz w:val="22"/>
              </w:rPr>
              <w:t>Design Science Research workflow for AEGIS</w:t>
            </w:r>
          </w:p>
        </w:tc>
      </w:tr>
    </w:tbl>
    <w:p>
      <w:pPr>
        <w:spacing w:before="12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version of this chapter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2 NOT YET INSERTED ]</w:t>
            </w:r>
          </w:p>
          <w:p>
            <w:pPr>
              <w:spacing w:after="160"/>
              <w:jc w:val="center"/>
            </w:pPr>
            <w:r>
              <w:rPr>
                <w:rFonts w:ascii="Times New Roman" w:hAnsi="Times New Roman"/>
                <w:b/>
                <w:color w:val="333333"/>
                <w:sz w:val="22"/>
              </w:rPr>
              <w:t>Pattern classification of the answerable analytical benchmark subset</w:t>
            </w:r>
          </w:p>
        </w:tc>
      </w:tr>
    </w:tbl>
    <w:p>
      <w:pPr>
        <w:spacing w:before="12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rest of this chapter.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every architectural decision in this chapter:</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tbl>
      <w:tblPr>
        <w:tblW w:type="auto" w:w="0"/>
        <w:jc w:val="center"/>
        <w:tblLayout w:type="fixed"/>
        <w:tblLook w:firstColumn="1" w:firstRow="1" w:lastColumn="0" w:lastRow="0" w:noHBand="0" w:noVBand="1" w:val="04A0"/>
      </w:tblPr>
      <w:tblGrid>
        <w:gridCol w:w="9072"/>
      </w:tblGrid>
      <w:tr>
        <w:trPr>
          <w:trHeight w:val="3168"/>
          <w:trHeight w:val="3168"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3 NOT YET INSERTED ]</w:t>
            </w:r>
          </w:p>
          <w:p>
            <w:pPr>
              <w:spacing w:after="160"/>
              <w:jc w:val="center"/>
            </w:pPr>
            <w:r>
              <w:rPr>
                <w:rFonts w:ascii="Times New Roman" w:hAnsi="Times New Roman"/>
                <w:b/>
                <w:color w:val="333333"/>
                <w:sz w:val="22"/>
              </w:rPr>
              <w:t>AEGIS architecture pipeline (User Request to Dashboard Widget)</w:t>
            </w:r>
          </w:p>
        </w:tc>
      </w:tr>
    </w:tbl>
    <w:p>
      <w:pPr>
        <w:spacing w:before="12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4 NOT YET INSERTED ]</w:t>
            </w:r>
          </w:p>
          <w:p>
            <w:pPr>
              <w:spacing w:after="160"/>
              <w:jc w:val="center"/>
            </w:pPr>
            <w:r>
              <w:rPr>
                <w:rFonts w:ascii="Times New Roman" w:hAnsi="Times New Roman"/>
                <w:b/>
                <w:color w:val="333333"/>
                <w:sz w:val="22"/>
              </w:rPr>
              <w:t>Semantic layer modularity - composable blocks vs. free-form SQL generation</w:t>
            </w:r>
          </w:p>
        </w:tc>
      </w:tr>
    </w:tbl>
    <w:p>
      <w:pPr>
        <w:spacing w:before="12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5 NOT YET INSERTED ]</w:t>
            </w:r>
          </w:p>
          <w:p>
            <w:pPr>
              <w:spacing w:after="160"/>
              <w:jc w:val="center"/>
            </w:pPr>
            <w:r>
              <w:rPr>
                <w:rFonts w:ascii="Times New Roman" w:hAnsi="Times New Roman"/>
                <w:b/>
                <w:color w:val="333333"/>
                <w:sz w:val="22"/>
              </w:rPr>
              <w:t>Vocabulary injection workflow</w:t>
            </w:r>
          </w:p>
        </w:tc>
      </w:tr>
    </w:tbl>
    <w:p>
      <w:pPr>
        <w:spacing w:before="12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6 NOT YET INSERTED ]</w:t>
            </w:r>
          </w:p>
          <w:p>
            <w:pPr>
              <w:spacing w:after="160"/>
              <w:jc w:val="center"/>
            </w:pPr>
            <w:r>
              <w:rPr>
                <w:rFonts w:ascii="Times New Roman" w:hAnsi="Times New Roman"/>
                <w:b/>
                <w:color w:val="333333"/>
                <w:sz w:val="22"/>
              </w:rPr>
              <w:t>Taxonomy of the eleven AEGIS analytical patterns</w:t>
            </w:r>
          </w:p>
        </w:tc>
      </w:tr>
    </w:tbl>
    <w:p>
      <w:pPr>
        <w:spacing w:before="12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7 NOT YET INSERTED ]</w:t>
            </w:r>
          </w:p>
          <w:p>
            <w:pPr>
              <w:spacing w:after="160"/>
              <w:jc w:val="center"/>
            </w:pPr>
            <w:r>
              <w:rPr>
                <w:rFonts w:ascii="Times New Roman" w:hAnsi="Times New Roman"/>
                <w:b/>
                <w:color w:val="333333"/>
                <w:sz w:val="22"/>
              </w:rPr>
              <w:t>Two-layer SQL safety defence</w:t>
            </w:r>
          </w:p>
        </w:tc>
      </w:tr>
    </w:tbl>
    <w:p>
      <w:pPr>
        <w:spacing w:before="12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8 NOT YET INSERTED ]</w:t>
            </w:r>
          </w:p>
          <w:p>
            <w:pPr>
              <w:spacing w:after="160"/>
              <w:jc w:val="center"/>
            </w:pPr>
            <w:r>
              <w:rPr>
                <w:rFonts w:ascii="Times New Roman" w:hAnsi="Times New Roman"/>
                <w:b/>
                <w:color w:val="333333"/>
                <w:sz w:val="22"/>
              </w:rPr>
              <w:t>Widget lifecycle and refresh model</w:t>
            </w:r>
          </w:p>
        </w:tc>
      </w:tr>
    </w:tbl>
    <w:p>
      <w:pPr>
        <w:spacing w:before="12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this chapter and in the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production nopCommerce schema described above.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this chapter reports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tbl>
      <w:tblPr>
        <w:tblW w:type="auto" w:w="0"/>
        <w:jc w:val="center"/>
        <w:tblLayout w:type="fixed"/>
        <w:tblLook w:firstColumn="1" w:firstRow="1" w:lastColumn="0" w:lastRow="0" w:noHBand="0" w:noVBand="1" w:val="04A0"/>
      </w:tblPr>
      <w:tblGrid>
        <w:gridCol w:w="9072"/>
      </w:tblGrid>
      <w:tr>
        <w:trPr>
          <w:trHeight w:val="3744"/>
          <w:trHeight w:val="3744" w:hRule="atLeast"/>
        </w:trPr>
        <w:tc>
          <w:tcPr>
            <w:tcW w:type="dxa" w:w="9072"/>
            <w:tcBorders>
              <w:top w:val="dashed" w:sz="10" w:space="0" w:color="888888"/>
              <w:left w:val="dashed" w:sz="10" w:space="0" w:color="888888"/>
              <w:bottom w:val="dashed" w:sz="10" w:space="0" w:color="888888"/>
              <w:right w:val="dashed" w:sz="10" w:space="0" w:color="888888"/>
            </w:tcBorders>
            <w:shd w:val="clear" w:fill="F7F7F7"/>
          </w:tcPr>
          <w:p>
            <w:pPr>
              <w:spacing w:before="280" w:after="120"/>
              <w:jc w:val="center"/>
            </w:pPr>
            <w:r/>
            <w:r>
              <w:rPr>
                <w:rFonts w:ascii="Times New Roman" w:hAnsi="Times New Roman"/>
                <w:b/>
                <w:color w:val="993300"/>
                <w:sz w:val="21"/>
              </w:rPr>
              <w:t>[ PLACEHOLDER - FIGURE 9 NOT YET INSERTED ]</w:t>
            </w:r>
          </w:p>
          <w:p>
            <w:pPr>
              <w:spacing w:after="160"/>
              <w:jc w:val="center"/>
            </w:pPr>
            <w:r>
              <w:rPr>
                <w:rFonts w:ascii="Times New Roman" w:hAnsi="Times New Roman"/>
                <w:b/>
                <w:color w:val="333333"/>
                <w:sz w:val="22"/>
              </w:rPr>
              <w:t>Verified safety and execution-validity comparison</w:t>
            </w:r>
          </w:p>
        </w:tc>
      </w:tr>
    </w:tbl>
    <w:p>
      <w:pPr>
        <w:spacing w:before="12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i/>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i/>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i/>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