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4000(A)</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Semester, Year: 4th Year - 7th Semester</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limitations section.</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A prototype evaluation over a 107-query mixed natural-language benchmark on a seeded nopCommerce-style database shows that AEGIS produced no unsafe SQL statements and achieved 100 successful true database executions out of 107, while a direct LLM-to-SQL baseline achieved 27 successful executions out of 107 and produced one genuine unsafe write statement. These results support the thesis's central claim that SQL safety can be made a structural property of the architecture. The evaluation also shows a remaining limitation: safe and executable SQL is not always semantically correct, so correctness and scope-handling require a separate annotated benchmark in future work.</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List of Figures</w:t>
        <w:tab/>
        <w:t>vii</w:t>
      </w:r>
    </w:p>
    <w:p>
      <w:pPr>
        <w:spacing w:after="160" w:before="80" w:line="360" w:lineRule="auto"/>
        <w:ind w:left="0"/>
        <w:jc w:val="both"/>
        <w:tabs>
          <w:tab w:val="right" w:leader="dot" w:pos="8640"/>
        </w:tabs>
      </w:pPr>
      <w:r>
        <w:rPr>
          <w:rFonts w:ascii="Times New Roman" w:hAnsi="Times New Roman"/>
          <w:b/>
          <w:sz w:val="24"/>
        </w:rPr>
        <w:t>List of Tables</w:t>
        <w:tab/>
        <w:t>viii</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80" w:before="0" w:line="360" w:lineRule="auto"/>
        <w:ind w:left="432"/>
        <w:jc w:val="both"/>
        <w:tabs>
          <w:tab w:val="right" w:leader="dot" w:pos="8640"/>
        </w:tabs>
      </w:pPr>
      <w:r>
        <w:rPr>
          <w:rFonts w:ascii="Times New Roman" w:hAnsi="Times New Roman"/>
          <w:b w:val="0"/>
          <w:sz w:val="23"/>
        </w:rPr>
        <w:t>1.5 Organization of the Thesis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5</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5</w:t>
      </w:r>
    </w:p>
    <w:p>
      <w:pPr>
        <w:spacing w:after="80" w:before="0" w:line="360" w:lineRule="auto"/>
        <w:ind w:left="432"/>
        <w:jc w:val="both"/>
        <w:tabs>
          <w:tab w:val="right" w:leader="dot" w:pos="8640"/>
        </w:tabs>
      </w:pPr>
      <w:r>
        <w:rPr>
          <w:rFonts w:ascii="Times New Roman" w:hAnsi="Times New Roman"/>
          <w:b w:val="0"/>
          <w:sz w:val="23"/>
        </w:rPr>
        <w:t>2.2 Neural and LLM-Based Text-to-SQL</w:t>
        <w:tab/>
        <w:t>5</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6</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7</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9</w:t>
      </w:r>
    </w:p>
    <w:p>
      <w:pPr>
        <w:spacing w:after="160" w:before="80" w:line="360" w:lineRule="auto"/>
        <w:ind w:left="0"/>
        <w:jc w:val="both"/>
        <w:tabs>
          <w:tab w:val="right" w:leader="dot" w:pos="8640"/>
        </w:tabs>
      </w:pPr>
      <w:r>
        <w:rPr>
          <w:rFonts w:ascii="Times New Roman" w:hAnsi="Times New Roman"/>
          <w:b/>
          <w:sz w:val="24"/>
        </w:rPr>
        <w:t>Chapter 3: Methodology</w:t>
        <w:tab/>
        <w:t>10</w:t>
      </w:r>
    </w:p>
    <w:p>
      <w:pPr>
        <w:spacing w:after="80" w:before="0" w:line="360" w:lineRule="auto"/>
        <w:ind w:left="432"/>
        <w:jc w:val="both"/>
        <w:tabs>
          <w:tab w:val="right" w:leader="dot" w:pos="8640"/>
        </w:tabs>
      </w:pPr>
      <w:r>
        <w:rPr>
          <w:rFonts w:ascii="Times New Roman" w:hAnsi="Times New Roman"/>
          <w:b w:val="0"/>
          <w:sz w:val="23"/>
        </w:rPr>
        <w:t>3.1 Research Paradigm</w:t>
        <w:tab/>
        <w:t>10</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10</w:t>
      </w:r>
    </w:p>
    <w:p>
      <w:pPr>
        <w:spacing w:after="80" w:before="0" w:line="360" w:lineRule="auto"/>
        <w:ind w:left="432"/>
        <w:jc w:val="both"/>
        <w:tabs>
          <w:tab w:val="right" w:leader="dot" w:pos="8640"/>
        </w:tabs>
      </w:pPr>
      <w:r>
        <w:rPr>
          <w:rFonts w:ascii="Times New Roman" w:hAnsi="Times New Roman"/>
          <w:b w:val="0"/>
          <w:sz w:val="23"/>
        </w:rPr>
        <w:t>3.3 Design Principles</w:t>
        <w:tab/>
        <w:t>13</w:t>
      </w:r>
    </w:p>
    <w:p>
      <w:pPr>
        <w:spacing w:after="80" w:before="0" w:line="360" w:lineRule="auto"/>
        <w:ind w:left="432"/>
        <w:jc w:val="both"/>
        <w:tabs>
          <w:tab w:val="right" w:leader="dot" w:pos="8640"/>
        </w:tabs>
      </w:pPr>
      <w:r>
        <w:rPr>
          <w:rFonts w:ascii="Times New Roman" w:hAnsi="Times New Roman"/>
          <w:b w:val="0"/>
          <w:sz w:val="23"/>
        </w:rPr>
        <w:t>3.4 Formal Model</w:t>
        <w:tab/>
        <w:t>13</w:t>
      </w:r>
    </w:p>
    <w:p>
      <w:pPr>
        <w:spacing w:after="80" w:before="0" w:line="360" w:lineRule="auto"/>
        <w:ind w:left="432"/>
        <w:jc w:val="both"/>
        <w:tabs>
          <w:tab w:val="right" w:leader="dot" w:pos="8640"/>
        </w:tabs>
      </w:pPr>
      <w:r>
        <w:rPr>
          <w:rFonts w:ascii="Times New Roman" w:hAnsi="Times New Roman"/>
          <w:b w:val="0"/>
          <w:sz w:val="23"/>
        </w:rPr>
        <w:t>3.5 Threat Model</w:t>
        <w:tab/>
        <w:t>14</w:t>
      </w:r>
    </w:p>
    <w:p>
      <w:pPr>
        <w:spacing w:after="80" w:before="0" w:line="360" w:lineRule="auto"/>
        <w:ind w:left="432"/>
        <w:jc w:val="both"/>
        <w:tabs>
          <w:tab w:val="right" w:leader="dot" w:pos="8640"/>
        </w:tabs>
      </w:pPr>
      <w:r>
        <w:rPr>
          <w:rFonts w:ascii="Times New Roman" w:hAnsi="Times New Roman"/>
          <w:b w:val="0"/>
          <w:sz w:val="23"/>
        </w:rPr>
        <w:t>3.6 System Architecture</w:t>
        <w:tab/>
        <w:t>17</w:t>
      </w:r>
    </w:p>
    <w:p>
      <w:pPr>
        <w:spacing w:after="80" w:before="0" w:line="360" w:lineRule="auto"/>
        <w:ind w:left="432"/>
        <w:jc w:val="both"/>
        <w:tabs>
          <w:tab w:val="right" w:leader="dot" w:pos="8640"/>
        </w:tabs>
      </w:pPr>
      <w:r>
        <w:rPr>
          <w:rFonts w:ascii="Times New Roman" w:hAnsi="Times New Roman"/>
          <w:b w:val="0"/>
          <w:sz w:val="23"/>
        </w:rPr>
        <w:t>3.7 Semantic Layer Design</w:t>
        <w:tab/>
        <w:t>18</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19</w:t>
      </w:r>
    </w:p>
    <w:p>
      <w:pPr>
        <w:spacing w:after="80" w:before="0" w:line="360" w:lineRule="auto"/>
        <w:ind w:left="432"/>
        <w:jc w:val="both"/>
        <w:tabs>
          <w:tab w:val="right" w:leader="dot" w:pos="8640"/>
        </w:tabs>
      </w:pPr>
      <w:r>
        <w:rPr>
          <w:rFonts w:ascii="Times New Roman" w:hAnsi="Times New Roman"/>
          <w:b w:val="0"/>
          <w:sz w:val="23"/>
        </w:rPr>
        <w:t>3.9 Safe Query Compiler</w:t>
        <w:tab/>
        <w:t>21</w:t>
      </w:r>
    </w:p>
    <w:p>
      <w:pPr>
        <w:spacing w:after="80" w:before="0" w:line="360" w:lineRule="auto"/>
        <w:ind w:left="432"/>
        <w:jc w:val="both"/>
        <w:tabs>
          <w:tab w:val="right" w:leader="dot" w:pos="8640"/>
        </w:tabs>
      </w:pPr>
      <w:r>
        <w:rPr>
          <w:rFonts w:ascii="Times New Roman" w:hAnsi="Times New Roman"/>
          <w:b w:val="0"/>
          <w:sz w:val="23"/>
        </w:rPr>
        <w:t>3.10 Visualization Selector</w:t>
        <w:tab/>
        <w:t>22</w:t>
      </w:r>
    </w:p>
    <w:p>
      <w:pPr>
        <w:spacing w:after="80" w:before="0" w:line="360" w:lineRule="auto"/>
        <w:ind w:left="432"/>
        <w:jc w:val="both"/>
        <w:tabs>
          <w:tab w:val="right" w:leader="dot" w:pos="8640"/>
        </w:tabs>
      </w:pPr>
      <w:r>
        <w:rPr>
          <w:rFonts w:ascii="Times New Roman" w:hAnsi="Times New Roman"/>
          <w:b w:val="0"/>
          <w:sz w:val="23"/>
        </w:rPr>
        <w:t>3.11 Widget Persistence and Reuse</w:t>
        <w:tab/>
        <w:t>23</w:t>
      </w:r>
    </w:p>
    <w:p>
      <w:pPr>
        <w:spacing w:after="160" w:before="80" w:line="360" w:lineRule="auto"/>
        <w:ind w:left="0"/>
        <w:jc w:val="both"/>
        <w:tabs>
          <w:tab w:val="right" w:leader="dot" w:pos="8640"/>
        </w:tabs>
      </w:pPr>
      <w:r>
        <w:rPr>
          <w:rFonts w:ascii="Times New Roman" w:hAnsi="Times New Roman"/>
          <w:b/>
          <w:sz w:val="24"/>
        </w:rPr>
        <w:t>Chapter 4: Experimental Work</w:t>
        <w:tab/>
        <w:t>24</w:t>
      </w:r>
    </w:p>
    <w:p>
      <w:pPr>
        <w:spacing w:after="80" w:before="0" w:line="360" w:lineRule="auto"/>
        <w:ind w:left="432"/>
        <w:jc w:val="both"/>
        <w:tabs>
          <w:tab w:val="right" w:leader="dot" w:pos="8640"/>
        </w:tabs>
      </w:pPr>
      <w:r>
        <w:rPr>
          <w:rFonts w:ascii="Times New Roman" w:hAnsi="Times New Roman"/>
          <w:b w:val="0"/>
          <w:sz w:val="23"/>
        </w:rPr>
        <w:t>4.1 Implementation</w:t>
        <w:tab/>
        <w:t>24</w:t>
      </w:r>
    </w:p>
    <w:p>
      <w:pPr>
        <w:spacing w:after="80" w:before="0" w:line="360" w:lineRule="auto"/>
        <w:ind w:left="432"/>
        <w:jc w:val="both"/>
        <w:tabs>
          <w:tab w:val="right" w:leader="dot" w:pos="8640"/>
        </w:tabs>
      </w:pPr>
      <w:r>
        <w:rPr>
          <w:rFonts w:ascii="Times New Roman" w:hAnsi="Times New Roman"/>
          <w:b w:val="0"/>
          <w:sz w:val="23"/>
        </w:rPr>
        <w:t>4.2 Experimental Environment</w:t>
        <w:tab/>
        <w:t>24</w:t>
      </w:r>
    </w:p>
    <w:p>
      <w:pPr>
        <w:spacing w:after="80" w:before="0" w:line="360" w:lineRule="auto"/>
        <w:ind w:left="432"/>
        <w:jc w:val="both"/>
        <w:tabs>
          <w:tab w:val="right" w:leader="dot" w:pos="8640"/>
        </w:tabs>
      </w:pPr>
      <w:r>
        <w:rPr>
          <w:rFonts w:ascii="Times New Roman" w:hAnsi="Times New Roman"/>
          <w:b w:val="0"/>
          <w:sz w:val="23"/>
        </w:rPr>
        <w:t>4.3 Benchmark Dataset Construction</w:t>
        <w:tab/>
        <w:t>25</w:t>
      </w:r>
    </w:p>
    <w:p>
      <w:pPr>
        <w:spacing w:after="80" w:before="0" w:line="360" w:lineRule="auto"/>
        <w:ind w:left="432"/>
        <w:jc w:val="both"/>
        <w:tabs>
          <w:tab w:val="right" w:leader="dot" w:pos="8640"/>
        </w:tabs>
      </w:pPr>
      <w:r>
        <w:rPr>
          <w:rFonts w:ascii="Times New Roman" w:hAnsi="Times New Roman"/>
          <w:b w:val="0"/>
          <w:sz w:val="23"/>
        </w:rPr>
        <w:t>4.4 Baseline Systems</w:t>
        <w:tab/>
        <w:t>26</w:t>
      </w:r>
    </w:p>
    <w:p>
      <w:pPr>
        <w:spacing w:after="80" w:before="0" w:line="360" w:lineRule="auto"/>
        <w:ind w:left="432"/>
        <w:jc w:val="both"/>
        <w:tabs>
          <w:tab w:val="right" w:leader="dot" w:pos="8640"/>
        </w:tabs>
      </w:pPr>
      <w:r>
        <w:rPr>
          <w:rFonts w:ascii="Times New Roman" w:hAnsi="Times New Roman"/>
          <w:b w:val="0"/>
          <w:sz w:val="23"/>
        </w:rPr>
        <w:t>4.5 Evaluation Procedure</w:t>
        <w:tab/>
        <w:t>26</w:t>
      </w:r>
    </w:p>
    <w:p>
      <w:pPr>
        <w:spacing w:after="160" w:before="80" w:line="360" w:lineRule="auto"/>
        <w:ind w:left="0"/>
        <w:jc w:val="both"/>
        <w:tabs>
          <w:tab w:val="right" w:leader="dot" w:pos="8640"/>
        </w:tabs>
      </w:pPr>
      <w:r>
        <w:rPr>
          <w:rFonts w:ascii="Times New Roman" w:hAnsi="Times New Roman"/>
          <w:b/>
          <w:sz w:val="24"/>
        </w:rPr>
        <w:t>Chapter 5: Results and Discussion</w:t>
        <w:tab/>
        <w:t>28</w:t>
      </w:r>
    </w:p>
    <w:p>
      <w:pPr>
        <w:spacing w:after="80" w:before="0" w:line="360" w:lineRule="auto"/>
        <w:ind w:left="432"/>
        <w:jc w:val="both"/>
        <w:tabs>
          <w:tab w:val="right" w:leader="dot" w:pos="8640"/>
        </w:tabs>
      </w:pPr>
      <w:r>
        <w:rPr>
          <w:rFonts w:ascii="Times New Roman" w:hAnsi="Times New Roman"/>
          <w:b w:val="0"/>
          <w:sz w:val="23"/>
        </w:rPr>
        <w:t>5.1 Benchmark Run and Verified Metrics</w:t>
        <w:tab/>
        <w:t>28</w:t>
      </w:r>
    </w:p>
    <w:p>
      <w:pPr>
        <w:spacing w:after="80" w:before="0" w:line="360" w:lineRule="auto"/>
        <w:ind w:left="432"/>
        <w:jc w:val="both"/>
        <w:tabs>
          <w:tab w:val="right" w:leader="dot" w:pos="8640"/>
        </w:tabs>
      </w:pPr>
      <w:r>
        <w:rPr>
          <w:rFonts w:ascii="Times New Roman" w:hAnsi="Times New Roman"/>
          <w:b w:val="0"/>
          <w:sz w:val="23"/>
        </w:rPr>
        <w:t>5.2 SQL Safety and True Database Execution Validity</w:t>
        <w:tab/>
        <w:t>29</w:t>
      </w:r>
    </w:p>
    <w:p>
      <w:pPr>
        <w:spacing w:after="80" w:before="0" w:line="360" w:lineRule="auto"/>
        <w:ind w:left="432"/>
        <w:jc w:val="both"/>
        <w:tabs>
          <w:tab w:val="right" w:leader="dot" w:pos="8640"/>
        </w:tabs>
      </w:pPr>
      <w:r>
        <w:rPr>
          <w:rFonts w:ascii="Times New Roman" w:hAnsi="Times New Roman"/>
          <w:b w:val="0"/>
          <w:sz w:val="23"/>
        </w:rPr>
        <w:t>5.3 Execution Failure Analysis</w:t>
        <w:tab/>
        <w:t>30</w:t>
      </w:r>
    </w:p>
    <w:p>
      <w:pPr>
        <w:spacing w:after="80" w:before="0" w:line="360" w:lineRule="auto"/>
        <w:ind w:left="432"/>
        <w:jc w:val="both"/>
        <w:tabs>
          <w:tab w:val="right" w:leader="dot" w:pos="8640"/>
        </w:tabs>
      </w:pPr>
      <w:r>
        <w:rPr>
          <w:rFonts w:ascii="Times New Roman" w:hAnsi="Times New Roman"/>
          <w:b w:val="0"/>
          <w:sz w:val="23"/>
        </w:rPr>
        <w:t>5.4 Semantic Correctness and Accuracy</w:t>
        <w:tab/>
        <w:t>31</w:t>
      </w:r>
    </w:p>
    <w:p>
      <w:pPr>
        <w:spacing w:after="80" w:before="0" w:line="360" w:lineRule="auto"/>
        <w:ind w:left="432"/>
        <w:jc w:val="both"/>
        <w:tabs>
          <w:tab w:val="right" w:leader="dot" w:pos="8640"/>
        </w:tabs>
      </w:pPr>
      <w:r>
        <w:rPr>
          <w:rFonts w:ascii="Times New Roman" w:hAnsi="Times New Roman"/>
          <w:b w:val="0"/>
          <w:sz w:val="23"/>
        </w:rPr>
        <w:t>5.5 B3 Template-Only Baseline</w:t>
        <w:tab/>
        <w:t>32</w:t>
      </w:r>
    </w:p>
    <w:p>
      <w:pPr>
        <w:spacing w:after="80" w:before="0" w:line="360" w:lineRule="auto"/>
        <w:ind w:left="432"/>
        <w:jc w:val="both"/>
        <w:tabs>
          <w:tab w:val="right" w:leader="dot" w:pos="8640"/>
        </w:tabs>
      </w:pPr>
      <w:r>
        <w:rPr>
          <w:rFonts w:ascii="Times New Roman" w:hAnsi="Times New Roman"/>
          <w:b w:val="0"/>
          <w:sz w:val="23"/>
        </w:rPr>
        <w:t>5.6 Discussion</w:t>
        <w:tab/>
        <w:t>32</w:t>
      </w:r>
    </w:p>
    <w:p>
      <w:pPr>
        <w:spacing w:after="160" w:before="80" w:line="360" w:lineRule="auto"/>
        <w:ind w:left="0"/>
        <w:jc w:val="both"/>
        <w:tabs>
          <w:tab w:val="right" w:leader="dot" w:pos="8640"/>
        </w:tabs>
      </w:pPr>
      <w:r>
        <w:rPr>
          <w:rFonts w:ascii="Times New Roman" w:hAnsi="Times New Roman"/>
          <w:b/>
          <w:sz w:val="24"/>
        </w:rPr>
        <w:t>Chapter 6: Limitations and Future Work</w:t>
        <w:tab/>
        <w:t>34</w:t>
      </w:r>
    </w:p>
    <w:p>
      <w:pPr>
        <w:spacing w:after="160" w:before="80" w:line="360" w:lineRule="auto"/>
        <w:ind w:left="0"/>
        <w:jc w:val="both"/>
        <w:tabs>
          <w:tab w:val="right" w:leader="dot" w:pos="8640"/>
        </w:tabs>
      </w:pPr>
      <w:r>
        <w:rPr>
          <w:rFonts w:ascii="Times New Roman" w:hAnsi="Times New Roman"/>
          <w:b/>
          <w:sz w:val="24"/>
        </w:rPr>
        <w:t>Chapter 7: Conclusion</w:t>
        <w:tab/>
        <w:t>37</w:t>
      </w:r>
    </w:p>
    <w:p>
      <w:pPr>
        <w:spacing w:after="160" w:before="80" w:line="360" w:lineRule="auto"/>
        <w:ind w:left="0"/>
        <w:jc w:val="both"/>
        <w:tabs>
          <w:tab w:val="right" w:leader="dot" w:pos="8640"/>
        </w:tabs>
      </w:pPr>
      <w:r>
        <w:rPr>
          <w:rFonts w:ascii="Times New Roman" w:hAnsi="Times New Roman"/>
          <w:b/>
          <w:sz w:val="24"/>
        </w:rPr>
        <w:t>References</w:t>
        <w:tab/>
        <w:t>39</w:t>
      </w:r>
    </w:p>
    <w:p>
      <w:r>
        <w:br w:type="page"/>
      </w:r>
    </w:p>
    <w:p>
      <w:pPr>
        <w:spacing w:after="400" w:before="0" w:line="360" w:lineRule="auto"/>
        <w:jc w:val="center"/>
      </w:pPr>
      <w:r>
        <w:rPr>
          <w:rFonts w:ascii="Times New Roman" w:hAnsi="Times New Roman"/>
          <w:b/>
          <w:i w:val="0"/>
          <w:sz w:val="30"/>
        </w:rPr>
        <w:t>List of Figures</w:t>
      </w:r>
    </w:p>
    <w:p>
      <w:pPr>
        <w:spacing w:after="160" w:before="0" w:line="360" w:lineRule="auto"/>
        <w:jc w:val="both"/>
      </w:pPr>
      <w:r>
        <w:rPr>
          <w:rFonts w:ascii="Times New Roman" w:hAnsi="Times New Roman"/>
          <w:b w:val="0"/>
          <w:i w:val="0"/>
          <w:sz w:val="24"/>
        </w:rPr>
        <w:t>Figure 1: AEGIS architecture pipeline (User Request to Dashboard Widget)</w:t>
      </w:r>
    </w:p>
    <w:p>
      <w:pPr>
        <w:spacing w:after="160" w:before="0" w:line="360" w:lineRule="auto"/>
        <w:jc w:val="both"/>
      </w:pPr>
      <w:r>
        <w:rPr>
          <w:rFonts w:ascii="Times New Roman" w:hAnsi="Times New Roman"/>
          <w:b w:val="0"/>
          <w:i w:val="0"/>
          <w:sz w:val="24"/>
        </w:rPr>
        <w:t>Figure 2: Semantic layer modularity - composable blocks vs. free-form SQL generation</w:t>
      </w:r>
    </w:p>
    <w:p>
      <w:pPr>
        <w:spacing w:after="160" w:before="0" w:line="360" w:lineRule="auto"/>
        <w:jc w:val="both"/>
      </w:pPr>
      <w:r>
        <w:rPr>
          <w:rFonts w:ascii="Times New Roman" w:hAnsi="Times New Roman"/>
          <w:b w:val="0"/>
          <w:i w:val="0"/>
          <w:sz w:val="24"/>
        </w:rPr>
        <w:t>Figure 3: Vocabulary injection workflow</w:t>
      </w:r>
    </w:p>
    <w:p>
      <w:pPr>
        <w:spacing w:after="160" w:before="0" w:line="360" w:lineRule="auto"/>
        <w:jc w:val="both"/>
      </w:pPr>
      <w:r>
        <w:rPr>
          <w:rFonts w:ascii="Times New Roman" w:hAnsi="Times New Roman"/>
          <w:b w:val="0"/>
          <w:i w:val="0"/>
          <w:sz w:val="24"/>
        </w:rPr>
        <w:t>Figure 4: Taxonomy of the eleven AEGIS analytical primitives</w:t>
      </w:r>
    </w:p>
    <w:p>
      <w:pPr>
        <w:spacing w:after="160" w:before="0" w:line="360" w:lineRule="auto"/>
        <w:jc w:val="both"/>
      </w:pPr>
      <w:r>
        <w:rPr>
          <w:rFonts w:ascii="Times New Roman" w:hAnsi="Times New Roman"/>
          <w:b w:val="0"/>
          <w:i w:val="0"/>
          <w:sz w:val="24"/>
        </w:rPr>
        <w:t>Figure 5: Pattern classification of the answerable analytical benchmark subset</w:t>
      </w:r>
    </w:p>
    <w:p>
      <w:pPr>
        <w:spacing w:after="160" w:before="0" w:line="360" w:lineRule="auto"/>
        <w:jc w:val="both"/>
      </w:pPr>
      <w:r>
        <w:rPr>
          <w:rFonts w:ascii="Times New Roman" w:hAnsi="Times New Roman"/>
          <w:b w:val="0"/>
          <w:i w:val="0"/>
          <w:sz w:val="24"/>
        </w:rPr>
        <w:t>Figure 6: Two-layer SQL safety defence</w:t>
      </w:r>
    </w:p>
    <w:p>
      <w:pPr>
        <w:spacing w:after="160" w:before="0" w:line="360" w:lineRule="auto"/>
        <w:jc w:val="both"/>
      </w:pPr>
      <w:r>
        <w:rPr>
          <w:rFonts w:ascii="Times New Roman" w:hAnsi="Times New Roman"/>
          <w:b w:val="0"/>
          <w:i w:val="0"/>
          <w:sz w:val="24"/>
        </w:rPr>
        <w:t>Figure 7: Widget lifecycle and refresh model</w:t>
      </w:r>
    </w:p>
    <w:p>
      <w:pPr>
        <w:spacing w:after="160" w:before="0" w:line="360" w:lineRule="auto"/>
        <w:jc w:val="both"/>
      </w:pPr>
      <w:r>
        <w:rPr>
          <w:rFonts w:ascii="Times New Roman" w:hAnsi="Times New Roman"/>
          <w:b w:val="0"/>
          <w:i w:val="0"/>
          <w:sz w:val="24"/>
        </w:rPr>
        <w:t>Figure 8: Verified safety and execution-validity comparison</w:t>
      </w:r>
    </w:p>
    <w:p>
      <w:r>
        <w:br w:type="page"/>
      </w:r>
    </w:p>
    <w:p>
      <w:pPr>
        <w:spacing w:after="400" w:before="0" w:line="360" w:lineRule="auto"/>
        <w:jc w:val="center"/>
      </w:pPr>
      <w:r>
        <w:rPr>
          <w:rFonts w:ascii="Times New Roman" w:hAnsi="Times New Roman"/>
          <w:b/>
          <w:i w:val="0"/>
          <w:sz w:val="30"/>
        </w:rPr>
        <w:t>List of Tables</w:t>
      </w:r>
    </w:p>
    <w:p>
      <w:pPr>
        <w:spacing w:after="160" w:before="0" w:line="360" w:lineRule="auto"/>
        <w:jc w:val="both"/>
      </w:pPr>
      <w:r>
        <w:rPr>
          <w:rFonts w:ascii="Times New Roman" w:hAnsi="Times New Roman"/>
          <w:b w:val="0"/>
          <w:i w:val="0"/>
          <w:sz w:val="24"/>
        </w:rPr>
        <w:t>Table 1: Semantic layer object model (metric, dimension, filter, time rule, join path, pattern, permission)</w:t>
      </w:r>
    </w:p>
    <w:p>
      <w:pPr>
        <w:spacing w:after="160" w:before="0" w:line="360" w:lineRule="auto"/>
        <w:jc w:val="both"/>
      </w:pPr>
      <w:r>
        <w:rPr>
          <w:rFonts w:ascii="Times New Roman" w:hAnsi="Times New Roman"/>
          <w:b w:val="0"/>
          <w:i w:val="0"/>
          <w:sz w:val="24"/>
        </w:rPr>
        <w:t>Table 2: The eleven AEGIS analytical patterns with required slots and default visualizations</w:t>
      </w:r>
    </w:p>
    <w:p>
      <w:pPr>
        <w:spacing w:after="160" w:before="0" w:line="360" w:lineRule="auto"/>
        <w:jc w:val="both"/>
      </w:pPr>
      <w:r>
        <w:rPr>
          <w:rFonts w:ascii="Times New Roman" w:hAnsi="Times New Roman"/>
          <w:b w:val="0"/>
          <w:i w:val="0"/>
          <w:sz w:val="24"/>
        </w:rPr>
        <w:t>Table 3: Visualization selector mapping (intent, result shape, chosen chart)</w:t>
      </w:r>
    </w:p>
    <w:p>
      <w:pPr>
        <w:spacing w:after="160" w:before="0" w:line="360" w:lineRule="auto"/>
        <w:jc w:val="both"/>
      </w:pPr>
      <w:r>
        <w:rPr>
          <w:rFonts w:ascii="Times New Roman" w:hAnsi="Times New Roman"/>
          <w:b w:val="0"/>
          <w:i w:val="0"/>
          <w:sz w:val="24"/>
        </w:rPr>
        <w:t>Table 4: Comparative summary of related NL-to-database and NL-to-visualization systems</w:t>
      </w:r>
    </w:p>
    <w:p>
      <w:pPr>
        <w:spacing w:after="160" w:before="0" w:line="360" w:lineRule="auto"/>
        <w:jc w:val="both"/>
      </w:pPr>
      <w:r>
        <w:rPr>
          <w:rFonts w:ascii="Times New Roman" w:hAnsi="Times New Roman"/>
          <w:b w:val="0"/>
          <w:i w:val="0"/>
          <w:sz w:val="24"/>
        </w:rPr>
        <w:t>Table 5: Verified benchmark status</w:t>
      </w:r>
    </w:p>
    <w:p>
      <w:pPr>
        <w:spacing w:after="160" w:before="0" w:line="360" w:lineRule="auto"/>
        <w:jc w:val="both"/>
      </w:pPr>
      <w:r>
        <w:rPr>
          <w:rFonts w:ascii="Times New Roman" w:hAnsi="Times New Roman"/>
          <w:b w:val="0"/>
          <w:i w:val="0"/>
          <w:sz w:val="24"/>
        </w:rPr>
        <w:t>Table 6: SQL safety and true execution validity on the 107-query benchmark</w:t>
      </w:r>
    </w:p>
    <w:p>
      <w:pPr>
        <w:spacing w:after="160" w:before="0" w:line="360" w:lineRule="auto"/>
        <w:jc w:val="both"/>
      </w:pPr>
      <w:r>
        <w:rPr>
          <w:rFonts w:ascii="Times New Roman" w:hAnsi="Times New Roman"/>
          <w:b w:val="0"/>
          <w:i w:val="0"/>
          <w:sz w:val="24"/>
        </w:rPr>
        <w:t>Table 7: AEGIS true-execution failures diagnosed from MySQL execution</w:t>
      </w:r>
    </w:p>
    <w:p>
      <w:pPr>
        <w:spacing w:after="160" w:before="0" w:line="360" w:lineRule="auto"/>
        <w:jc w:val="both"/>
      </w:pPr>
      <w:r>
        <w:rPr>
          <w:rFonts w:ascii="Times New Roman" w:hAnsi="Times New Roman"/>
          <w:b w:val="0"/>
          <w:i w:val="0"/>
          <w:sz w:val="24"/>
        </w:rPr>
        <w:t>Table 8: Distinguishing the evaluation metrics</w:t>
      </w:r>
    </w:p>
    <w:p>
      <w:pPr>
        <w:spacing w:after="160" w:before="0" w:line="360" w:lineRule="auto"/>
        <w:jc w:val="both"/>
      </w:pPr>
      <w:r>
        <w:rPr>
          <w:rFonts w:ascii="Times New Roman" w:hAnsi="Times New Roman"/>
          <w:b w:val="0"/>
          <w:i w:val="0"/>
          <w:sz w:val="24"/>
        </w:rPr>
        <w:t>Table 9: B3 execution-validity summary</w:t>
      </w:r>
    </w:p>
    <w:p>
      <w:pPr>
        <w:spacing w:after="160" w:before="0" w:line="360" w:lineRule="auto"/>
        <w:jc w:val="both"/>
      </w:pPr>
      <w:r>
        <w:rPr>
          <w:rFonts w:ascii="Times New Roman" w:hAnsi="Times New Roman"/>
          <w:b w:val="0"/>
          <w:i w:val="0"/>
          <w:sz w:val="24"/>
        </w:rPr>
        <w:t>Table 10: Structural comparison of AEGIS vs. direct LLM-to-SQL</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â€œwhich categories have the highest refund rates this month?â€ and get a correct, visual answer without writing SQL. Researchers have made good progress here. Neural text-to-SQL systems now exceed 90% accuracy on the Spider benchmark [1], and large language models can produce reasonable-looking SQL with minimal setup [2]. But there is still a gap between benchmark results and production-ready deployment.</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120" w:before="0" w:line="360" w:lineRule="auto"/>
        <w:jc w:val="both"/>
      </w:pPr>
      <w:r>
        <w:rPr>
          <w:rFonts w:ascii="Times New Roman" w:hAnsi="Times New Roman"/>
          <w:b/>
          <w:i w:val="0"/>
          <w:sz w:val="24"/>
        </w:rPr>
        <w:t xml:space="preserve">Safety. </w:t>
      </w:r>
      <w:r>
        <w:rPr>
          <w:rFonts w:ascii="Times New Roman" w:hAnsi="Times New Roman"/>
          <w:b w:val="0"/>
          <w:i w:val="0"/>
          <w:sz w:val="24"/>
        </w:rPr>
        <w:t>Many modern natural-language-to-SQL systems rely on models that directly generate SQL tokens, which creates challenges for enforcing institutional access-control and security policies. An LLM generating SQL freely can produce queries that expose private data or use incorrect table joins, and detecting this after the fact is fundamentally harder than preventing it by construction.</w:t>
      </w:r>
    </w:p>
    <w:p>
      <w:pPr>
        <w:spacing w:after="120" w:before="0" w:line="360" w:lineRule="auto"/>
        <w:jc w:val="both"/>
      </w:pPr>
      <w:r>
        <w:rPr>
          <w:rFonts w:ascii="Times New Roman" w:hAnsi="Times New Roman"/>
          <w:b/>
          <w:i w:val="0"/>
          <w:sz w:val="24"/>
        </w:rPr>
        <w:t xml:space="preserve">Vocabulary mismatch. </w:t>
      </w:r>
      <w:r>
        <w:rPr>
          <w:rFonts w:ascii="Times New Roman" w:hAnsi="Times New Roman"/>
          <w:b w:val="0"/>
          <w:i w:val="0"/>
          <w:sz w:val="24"/>
        </w:rPr>
        <w:t>Benchmarks use actual column names in the questions, but real users speak in business terms (â€œrefund rateâ€ instead of SUM(o.RefundedAmount)). Matching these requires business knowledge that models do not always get right, and a wrong mapping can silently produce a plausible but incorrect report.</w:t>
      </w:r>
    </w:p>
    <w:p>
      <w:pPr>
        <w:spacing w:after="120" w:before="0" w:line="360" w:lineRule="auto"/>
        <w:jc w:val="both"/>
      </w:pPr>
      <w:r>
        <w:rPr>
          <w:rFonts w:ascii="Times New Roman" w:hAnsi="Times New Roman"/>
          <w:b/>
          <w:i w:val="0"/>
          <w:sz w:val="24"/>
        </w:rPr>
        <w:t xml:space="preserve">No widget generation. </w:t>
      </w:r>
      <w:r>
        <w:rPr>
          <w:rFonts w:ascii="Times New Roman" w:hAnsi="Times New Roman"/>
          <w:b w:val="0"/>
          <w:i w:val="0"/>
          <w:sz w:val="24"/>
        </w:rPr>
        <w:t>Existing systems answer one question at a time and discard the result. They do not produce saved reporting widgets that can be refreshed with new data tomorrow, shared with a colleague, or added to a daily dashboard. Every time someone needs the same report, they start from scratch, which directly contradicts the observation that reporting requests are often recurring rather than one-off.</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This thesis makes the following contributions:</w:t>
      </w:r>
    </w:p>
    <w:p>
      <w:pPr>
        <w:pStyle w:val="ListNumber"/>
        <w:spacing w:after="80" w:line="360" w:lineRule="auto"/>
      </w:pPr>
      <w:r>
        <w:rPr>
          <w:rFonts w:ascii="Times New Roman" w:hAnsi="Times New Roman"/>
          <w:sz w:val="24"/>
        </w:rPr>
        <w:t>A design-time review of representative e-commerce and business-intelligence reporting requests, resulting in eleven common reporting patterns checked against the published benchmark questions.</w:t>
      </w:r>
    </w:p>
    <w:p>
      <w:pPr>
        <w:pStyle w:val="ListNumber"/>
        <w:spacing w:after="80" w:line="360" w:lineRule="auto"/>
      </w:pPr>
      <w:r>
        <w:rPr>
          <w:rFonts w:ascii="Times New Roman" w:hAnsi="Times New Roman"/>
          <w:sz w:val="24"/>
        </w:rPr>
        <w:t>A system design in which all possible queries are limited to pre-approved templates and a defined semantic layer, which prevents SQL injection and unauthorized data access by construction.</w:t>
      </w:r>
    </w:p>
    <w:p>
      <w:pPr>
        <w:pStyle w:val="ListNumber"/>
        <w:spacing w:after="80" w:line="360" w:lineRule="auto"/>
      </w:pPr>
      <w:r>
        <w:rPr>
          <w:rFonts w:ascii="Times New Roman" w:hAnsi="Times New Roman"/>
          <w:sz w:val="24"/>
        </w:rPr>
        <w:t>The AEGIS system itself, including the semantic layer design, a vocabulary injection prompting strategy, a safe SQL builder with two-layer defence, a rule-based chart selector, and a widget storage system with scheduled refresh.</w:t>
      </w:r>
    </w:p>
    <w:p>
      <w:pPr>
        <w:pStyle w:val="ListNumber"/>
        <w:spacing w:after="80" w:line="360" w:lineRule="auto"/>
      </w:pPr>
      <w:r>
        <w:rPr>
          <w:rFonts w:ascii="Times New Roman" w:hAnsi="Times New Roman"/>
          <w:sz w:val="24"/>
        </w:rPr>
        <w:t>A vocabulary injection method that places approved metric and dimension names directly into the LLM prompt, reducing dependence on a manually written synonym list.</w:t>
      </w:r>
    </w:p>
    <w:p>
      <w:pPr>
        <w:pStyle w:val="ListNumber"/>
        <w:spacing w:after="80" w:line="360" w:lineRule="auto"/>
      </w:pPr>
      <w:r>
        <w:rPr>
          <w:rFonts w:ascii="Times New Roman" w:hAnsi="Times New Roman"/>
          <w:sz w:val="24"/>
        </w:rPr>
        <w:t>A verified benchmark over 107 mixed natural-language requests, separating SQL safety, true database execution validity, and semantic correctness rather than treating them as one accuracy number.</w:t>
      </w:r>
    </w:p>
    <w:p>
      <w:pPr>
        <w:pStyle w:val="ListNumber"/>
        <w:spacing w:after="80" w:line="360" w:lineRule="auto"/>
      </w:pPr>
      <w:r>
        <w:rPr>
          <w:rFonts w:ascii="Times New Roman" w:hAnsi="Times New Roman"/>
          <w:sz w:val="24"/>
        </w:rPr>
        <w:t>A planned cross-schema generalizability evaluation that will test whether the same compiler and safety architecture can be reused on a second e-commerce schema by rebuilding only the semantic layer.</w:t>
      </w:r>
    </w:p>
    <w:p>
      <w:pPr>
        <w:spacing w:before="320" w:after="160"/>
        <w:jc w:val="left"/>
      </w:pPr>
      <w:r>
        <w:rPr>
          <w:rFonts w:ascii="Times New Roman" w:hAnsi="Times New Roman"/>
          <w:b/>
          <w:sz w:val="28"/>
        </w:rPr>
        <w:t>1.5  Organization of the Thesis</w:t>
      </w:r>
    </w:p>
    <w:p>
      <w:pPr>
        <w:spacing w:after="0" w:before="0" w:line="360" w:lineRule="auto"/>
        <w:jc w:val="both"/>
      </w:pPr>
      <w:r>
        <w:rPr>
          <w:rFonts w:ascii="Times New Roman" w:hAnsi="Times New Roman"/>
          <w:b w:val="0"/>
          <w:i w:val="0"/>
          <w:sz w:val="24"/>
        </w:rPr>
        <w:t>The remainder of this thesis moves from related work and research gaps to methodology, experimental setup, evaluation, limitations, future work, and conclusion. The structure first establishes the prior research context, then explains the AEGIS design and implementation, then reports the verified benchmark results and discusses their implications.</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This chapter reviews the sources most directly comparable to AEGIS, grouped by theme: natural language interfaces to databases, neural and LLM-based text-to-SQL, natural language for visualization and dashboards, and applied conversational business intelligence. Closely related sources are discussed together rather than one at a time where they make the same architectural point. Sources only loosely adjacent to AEGIS's technical contribution (general business-adoption surveys, dashboard policy literature, evaluation-methodology papers unrelated to safety) are outside this review's scope.</w:t>
      </w:r>
    </w:p>
    <w:p>
      <w:pPr>
        <w:spacing w:before="320" w:after="160"/>
        <w:jc w:val="left"/>
      </w:pPr>
      <w:r>
        <w:rPr>
          <w:rFonts w:ascii="Times New Roman" w:hAnsi="Times New Roman"/>
          <w:b/>
          <w:sz w:val="28"/>
        </w:rPr>
        <w:t>2.1  Natural Language Interfaces to Databases</w:t>
      </w:r>
    </w:p>
    <w:p>
      <w:pPr>
        <w:spacing w:after="160" w:before="0" w:line="360" w:lineRule="auto"/>
        <w:jc w:val="both"/>
      </w:pPr>
      <w:r>
        <w:rPr>
          <w:rFonts w:ascii="Times New Roman" w:hAnsi="Times New Roman"/>
          <w:b w:val="0"/>
          <w:i w:val="0"/>
          <w:sz w:val="24"/>
        </w:rPr>
        <w:t>Two systematic surveys frame this literature [3]. The earlier survey benchmarks 24 NLIDBs against ten questions of increasing complexity across four architectural classes (keyword, pattern, parsing, grammar-based); grammar-based systems achieve the broadest coverage but require users to learn a constrained vocabulary [4]. The more recent review is the only one to name SQL-injection risk directly, discussing TrojanSQL, a backdoor injection attack the authors report is difficult to defend against, yet its only recommended mitigation is generic (additional layers of security or filtering), with no architectural defense proposed. Neither survey finds a system that treats safety as a structural property.</w:t>
      </w:r>
    </w:p>
    <w:p>
      <w:pPr>
        <w:spacing w:after="0" w:before="0" w:line="360" w:lineRule="auto"/>
        <w:jc w:val="both"/>
      </w:pPr>
      <w:r>
        <w:rPr>
          <w:rFonts w:ascii="Times New Roman" w:hAnsi="Times New Roman"/>
          <w:b w:val="0"/>
          <w:i w:val="0"/>
          <w:sz w:val="24"/>
        </w:rPr>
        <w:t>NaLIR and Veezoo are the closest prior systems to AEGIS's use of a curated vocabulary [5, 6]. The first parses a query into a grammar-constrained intermediate query tree and surfaces ambiguity to the user through a short multiple-choice interaction rather than guessing, correctly completing 88 of 98 tasks versus 56 of 98 without this step. The second constrains matching with an editable Knowledge Graph structurally analogous to a semantic layer, needing a median of two clarification attempts to reach a correct answer in a controlled study. Both, however, still compile into open-ended SQL and depend on user-facing dialogue to recover from a wrong query rather than preventing an unsafe one up front, and both produce one-off answers with no persistence.</w:t>
      </w:r>
    </w:p>
    <w:p>
      <w:pPr>
        <w:spacing w:before="320" w:after="160"/>
        <w:jc w:val="left"/>
      </w:pPr>
      <w:r>
        <w:rPr>
          <w:rFonts w:ascii="Times New Roman" w:hAnsi="Times New Roman"/>
          <w:b/>
          <w:sz w:val="28"/>
        </w:rPr>
        <w:t>2.2  Neural and LLM-Based Text-to-SQL</w:t>
      </w:r>
    </w:p>
    <w:p>
      <w:pPr>
        <w:spacing w:after="160" w:before="0" w:line="360" w:lineRule="auto"/>
        <w:jc w:val="both"/>
      </w:pPr>
      <w:r>
        <w:rPr>
          <w:rFonts w:ascii="Times New Roman" w:hAnsi="Times New Roman"/>
          <w:b w:val="0"/>
          <w:i w:val="0"/>
          <w:sz w:val="24"/>
        </w:rPr>
        <w:t>Spider and BIRD provide the clearest evidence that free-form generation is unreliable at scale [1, 2]. The first benchmark's strict cross-domain train/test split found the best contemporary baseline reached only 12.4% exact-match accuracy on unseen schemas. The second went further, testing 95 real, large databases with expert-annotated domain knowledge: even GPT-4 combined with DIN-SQL prompting reached only 55.9% execution accuracy against a 92.96% human-expert ceiling, with wrong schema linking (41.6%) and misunderstood database values (40.8%) as the dominant failure modes.</w:t>
      </w:r>
    </w:p>
    <w:p>
      <w:pPr>
        <w:spacing w:after="160" w:before="0" w:line="360" w:lineRule="auto"/>
        <w:jc w:val="both"/>
      </w:pPr>
      <w:r>
        <w:rPr>
          <w:rFonts w:ascii="Times New Roman" w:hAnsi="Times New Roman"/>
          <w:b w:val="0"/>
          <w:i w:val="0"/>
          <w:sz w:val="24"/>
        </w:rPr>
        <w:t>RAT-SQL and PICARD each constrain the same underlying generation approach without changing who authors the SQL [7, 8]. The former encodes the schema as a relational graph via relation-aware self-attention, reaching 57.2% exact-match on Spider, yet oracle analysis attributes 72-81% of its remaining errors to wrong column or table selection. The latter instead constrains decoding at the token level, cutting invalid SQL on Spider from roughly 12% to 2% â€” but the LLM still writes every character of the SQL string, so a semantic bug invisible to the grammar check (a wrong join, or wrong business definition) can still pass through as syntactically valid SQL.</w:t>
      </w:r>
    </w:p>
    <w:p>
      <w:pPr>
        <w:spacing w:after="0" w:before="0" w:line="360" w:lineRule="auto"/>
        <w:jc w:val="both"/>
      </w:pPr>
      <w:r>
        <w:rPr>
          <w:rFonts w:ascii="Times New Roman" w:hAnsi="Times New Roman"/>
          <w:b w:val="0"/>
          <w:i w:val="0"/>
          <w:sz w:val="24"/>
        </w:rPr>
        <w:t>G-SQL and TriSQL sit at opposite ends of the same spectrum and are the two closest points of comparison for AEGIS [9, 10]. G-SQL is rule-based and template-driven over a curated schema representation, deliberately avoiding a neural component that writes SQL directly; it reaches 100% execution accuracy on easy queries but falls to 45-55% on extra-hard ones. TriSQL is, at the time of writing, the state of the art: a three-stage LLM pipeline (schema selection, skeleton-first generation, complexity-aware refinement) reaching 82.2% execution accuracy on Spider. It is the sharpest possible contrast to AEGIS, precisely because it is state of the art and still has the LLM produce the final executable SQL directly, with no semantic layer and no reported safety evaluation.</w:t>
      </w:r>
    </w:p>
    <w:p>
      <w:pPr>
        <w:spacing w:before="320" w:after="160"/>
        <w:jc w:val="left"/>
      </w:pPr>
      <w:r>
        <w:rPr>
          <w:rFonts w:ascii="Times New Roman" w:hAnsi="Times New Roman"/>
          <w:b/>
          <w:sz w:val="28"/>
        </w:rPr>
        <w:t>2.3  Natural Language for Visualization and Dashboards</w:t>
      </w:r>
    </w:p>
    <w:p>
      <w:pPr>
        <w:spacing w:after="160" w:before="0" w:line="360" w:lineRule="auto"/>
        <w:jc w:val="both"/>
      </w:pPr>
      <w:r>
        <w:rPr>
          <w:rFonts w:ascii="Times New Roman" w:hAnsi="Times New Roman"/>
          <w:b w:val="0"/>
          <w:i w:val="0"/>
          <w:sz w:val="24"/>
        </w:rPr>
        <w:t>nl4dv and DataTone are the closest visualization-side precedents [11, 12]. The first maps natural language to a small, fixed set of five analytic tasks via a rule-based mapping table, closely analogous to AEGIS's bounded-vocabulary design, but has no SQL-safety or permission layer at all since it operates only on an in-memory dataset, and produces a one-off specification with no persistence. The second instead surfaces ambiguity through interactive widgets rather than resolving it silently, significantly outperforming IBM Watson Analytics in a comparative study (5.43 vs. 2.00 correct facts, p &lt; 0.01), but is limited to single-table data with no persistence mechanism.</w:t>
      </w:r>
    </w:p>
    <w:p>
      <w:pPr>
        <w:spacing w:after="0" w:before="0" w:line="360" w:lineRule="auto"/>
        <w:jc w:val="both"/>
      </w:pPr>
      <w:r>
        <w:rPr>
          <w:rFonts w:ascii="Times New Roman" w:hAnsi="Times New Roman"/>
          <w:b w:val="0"/>
          <w:i w:val="0"/>
          <w:sz w:val="24"/>
        </w:rPr>
        <w:t>DashBot composes multi-chart dashboards with deep reinforcement learning guided by design rules drawn from a study of 90 real dashboards [13]. It has no natural-language input at all, and because it never generates SQL from user language, it never encounters the safety problem AEGIS is built to solve.</w:t>
      </w:r>
    </w:p>
    <w:p>
      <w:pPr>
        <w:spacing w:before="320" w:after="160"/>
        <w:jc w:val="left"/>
      </w:pPr>
      <w:r>
        <w:rPr>
          <w:rFonts w:ascii="Times New Roman" w:hAnsi="Times New Roman"/>
          <w:b/>
          <w:sz w:val="28"/>
        </w:rPr>
        <w:t>2.4  Applied Conversational Business Intelligence</w:t>
      </w:r>
    </w:p>
    <w:p>
      <w:pPr>
        <w:spacing w:after="0" w:before="0" w:line="360" w:lineRule="auto"/>
        <w:jc w:val="both"/>
      </w:pPr>
      <w:r>
        <w:rPr>
          <w:rFonts w:ascii="Times New Roman" w:hAnsi="Times New Roman"/>
          <w:b w:val="0"/>
          <w:i w:val="0"/>
          <w:sz w:val="24"/>
        </w:rPr>
        <w:t>Two recent applied studies bookend AEGIS's design choice [14]. One describes a deployed Groq/LangChain assistant that gives an LLM direct SQL-execution tools and a self-correction retry loop â€” a live, working example of exactly the attack surface AEGIS's threat model is designed to close, with no reported adversarial evaluation [15]. The other, by contrast, independently arrives at AEGIS's central design principle in an unrelated domain: a deterministic, non-AI formalism computes a business explanation, and an LLM is used only to narrate the already-correct result. A pre-study in the same thesis found that ten commercial AI-BI products could all answer simple descriptive queries but none could correctly answer explanatory ones without manual reconfiguration â€” direct evidence that unconstrained LLM reasoning fails at exactly the class of task AEGIS targets.</w:t>
      </w:r>
    </w:p>
    <w:p>
      <w:pPr>
        <w:spacing w:before="320" w:after="160"/>
        <w:jc w:val="left"/>
      </w:pPr>
      <w:r>
        <w:rPr>
          <w:rFonts w:ascii="Times New Roman" w:hAnsi="Times New Roman"/>
          <w:b/>
          <w:sz w:val="28"/>
        </w:rPr>
        <w:t>2.5  Comparative Summary</w:t>
      </w:r>
    </w:p>
    <w:p>
      <w:pPr>
        <w:spacing w:before="200" w:after="80"/>
        <w:jc w:val="center"/>
      </w:pPr>
      <w:r>
        <w:rPr>
          <w:rFonts w:ascii="Times New Roman" w:hAnsi="Times New Roman"/>
          <w:b/>
          <w:sz w:val="22"/>
        </w:rPr>
        <w:t>Table 4: Comparative summary of the most closely related systems.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128"/>
        <w:gridCol w:w="1128"/>
        <w:gridCol w:w="1128"/>
        <w:gridCol w:w="1128"/>
        <w:gridCol w:w="1128"/>
        <w:gridCol w:w="1128"/>
        <w:gridCol w:w="1128"/>
        <w:gridCol w:w="1128"/>
      </w:tblGrid>
      <w:tr>
        <w:tc>
          <w:tcPr>
            <w:tcW w:type="dxa" w:w="1128"/>
          </w:tcPr>
          <w:p>
            <w:pPr>
              <w:jc w:val="center"/>
            </w:pPr>
            <w:r>
              <w:rPr>
                <w:rFonts w:ascii="Times New Roman" w:hAnsi="Times New Roman"/>
                <w:b/>
                <w:sz w:val="21"/>
              </w:rPr>
            </w:r>
            <w:r>
              <w:rPr>
                <w:rFonts w:ascii="Times New Roman" w:hAnsi="Times New Roman"/>
                <w:b/>
                <w:sz w:val="21"/>
              </w:rPr>
              <w:t>System</w:t>
            </w:r>
          </w:p>
        </w:tc>
        <w:tc>
          <w:tcPr>
            <w:tcW w:type="dxa" w:w="1128"/>
          </w:tcPr>
          <w:p>
            <w:pPr>
              <w:jc w:val="center"/>
            </w:pPr>
            <w:r>
              <w:rPr>
                <w:rFonts w:ascii="Times New Roman" w:hAnsi="Times New Roman"/>
                <w:b/>
                <w:sz w:val="21"/>
              </w:rPr>
            </w:r>
            <w:r>
              <w:rPr>
                <w:rFonts w:ascii="Times New Roman" w:hAnsi="Times New Roman"/>
                <w:b/>
                <w:sz w:val="21"/>
              </w:rPr>
              <w:t>NL Parsing</w:t>
            </w:r>
          </w:p>
        </w:tc>
        <w:tc>
          <w:tcPr>
            <w:tcW w:type="dxa" w:w="1128"/>
          </w:tcPr>
          <w:p>
            <w:pPr>
              <w:jc w:val="center"/>
            </w:pPr>
            <w:r>
              <w:rPr>
                <w:rFonts w:ascii="Times New Roman" w:hAnsi="Times New Roman"/>
                <w:b/>
                <w:sz w:val="21"/>
              </w:rPr>
            </w:r>
            <w:r>
              <w:rPr>
                <w:rFonts w:ascii="Times New Roman" w:hAnsi="Times New Roman"/>
                <w:b/>
                <w:sz w:val="21"/>
              </w:rPr>
              <w:t>Semantic Layer</w:t>
            </w:r>
          </w:p>
        </w:tc>
        <w:tc>
          <w:tcPr>
            <w:tcW w:type="dxa" w:w="1128"/>
          </w:tcPr>
          <w:p>
            <w:pPr>
              <w:jc w:val="center"/>
            </w:pPr>
            <w:r>
              <w:rPr>
                <w:rFonts w:ascii="Times New Roman" w:hAnsi="Times New Roman"/>
                <w:b/>
                <w:sz w:val="21"/>
              </w:rPr>
            </w:r>
            <w:r>
              <w:rPr>
                <w:rFonts w:ascii="Times New Roman" w:hAnsi="Times New Roman"/>
                <w:b/>
                <w:sz w:val="21"/>
              </w:rPr>
              <w:t>Safe SQL</w:t>
            </w:r>
          </w:p>
        </w:tc>
        <w:tc>
          <w:tcPr>
            <w:tcW w:type="dxa" w:w="1128"/>
          </w:tcPr>
          <w:p>
            <w:pPr>
              <w:jc w:val="center"/>
            </w:pPr>
            <w:r>
              <w:rPr>
                <w:rFonts w:ascii="Times New Roman" w:hAnsi="Times New Roman"/>
                <w:b/>
                <w:sz w:val="21"/>
              </w:rPr>
            </w:r>
            <w:r>
              <w:rPr>
                <w:rFonts w:ascii="Times New Roman" w:hAnsi="Times New Roman"/>
                <w:b/>
                <w:sz w:val="21"/>
              </w:rPr>
              <w:t>Visualization</w:t>
            </w:r>
          </w:p>
        </w:tc>
        <w:tc>
          <w:tcPr>
            <w:tcW w:type="dxa" w:w="1128"/>
          </w:tcPr>
          <w:p>
            <w:pPr>
              <w:jc w:val="center"/>
            </w:pPr>
            <w:r>
              <w:rPr>
                <w:rFonts w:ascii="Times New Roman" w:hAnsi="Times New Roman"/>
                <w:b/>
                <w:sz w:val="21"/>
              </w:rPr>
            </w:r>
            <w:r>
              <w:rPr>
                <w:rFonts w:ascii="Times New Roman" w:hAnsi="Times New Roman"/>
                <w:b/>
                <w:sz w:val="21"/>
              </w:rPr>
              <w:t>Widget Persistence</w:t>
            </w:r>
          </w:p>
        </w:tc>
        <w:tc>
          <w:tcPr>
            <w:tcW w:type="dxa" w:w="1128"/>
          </w:tcPr>
          <w:p>
            <w:pPr>
              <w:jc w:val="center"/>
            </w:pPr>
            <w:r>
              <w:rPr>
                <w:rFonts w:ascii="Times New Roman" w:hAnsi="Times New Roman"/>
                <w:b/>
                <w:sz w:val="21"/>
              </w:rPr>
            </w:r>
            <w:r>
              <w:rPr>
                <w:rFonts w:ascii="Times New Roman" w:hAnsi="Times New Roman"/>
                <w:b/>
                <w:sz w:val="21"/>
              </w:rPr>
              <w:t>Coverage Validation</w:t>
            </w:r>
          </w:p>
        </w:tc>
        <w:tc>
          <w:tcPr>
            <w:tcW w:type="dxa" w:w="1128"/>
          </w:tcPr>
          <w:p>
            <w:pPr>
              <w:jc w:val="center"/>
            </w:pPr>
            <w:r>
              <w:rPr>
                <w:rFonts w:ascii="Times New Roman" w:hAnsi="Times New Roman"/>
                <w:b/>
                <w:sz w:val="21"/>
              </w:rPr>
            </w:r>
            <w:r>
              <w:rPr>
                <w:rFonts w:ascii="Times New Roman" w:hAnsi="Times New Roman"/>
                <w:b/>
                <w:sz w:val="21"/>
              </w:rPr>
              <w:t>Evaluation</w:t>
            </w:r>
          </w:p>
        </w:tc>
      </w:tr>
      <w:tr>
        <w:tc>
          <w:tcPr>
            <w:tcW w:type="dxa" w:w="1128"/>
          </w:tcPr>
          <w:p>
            <w:r>
              <w:rPr>
                <w:rFonts w:ascii="Times New Roman" w:hAnsi="Times New Roman"/>
                <w:sz w:val="21"/>
              </w:rPr>
            </w:r>
            <w:r>
              <w:rPr>
                <w:rFonts w:ascii="Times New Roman" w:hAnsi="Times New Roman"/>
                <w:b w:val="0"/>
                <w:sz w:val="21"/>
              </w:rPr>
              <w:t>Spider / BIRD</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Benchmark only</w:t>
            </w:r>
          </w:p>
        </w:tc>
      </w:tr>
      <w:tr>
        <w:tc>
          <w:tcPr>
            <w:tcW w:type="dxa" w:w="1128"/>
          </w:tcPr>
          <w:p>
            <w:r>
              <w:rPr>
                <w:rFonts w:ascii="Times New Roman" w:hAnsi="Times New Roman"/>
                <w:sz w:val="21"/>
              </w:rPr>
            </w:r>
            <w:r>
              <w:rPr>
                <w:rFonts w:ascii="Times New Roman" w:hAnsi="Times New Roman"/>
                <w:b w:val="0"/>
                <w:sz w:val="21"/>
              </w:rPr>
              <w:t>RAT-SQL / PICARD</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Partial</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Benchmark only</w:t>
            </w:r>
          </w:p>
        </w:tc>
      </w:tr>
      <w:tr>
        <w:tc>
          <w:tcPr>
            <w:tcW w:type="dxa" w:w="1128"/>
          </w:tcPr>
          <w:p>
            <w:r>
              <w:rPr>
                <w:rFonts w:ascii="Times New Roman" w:hAnsi="Times New Roman"/>
                <w:sz w:val="21"/>
              </w:rPr>
            </w:r>
            <w:r>
              <w:rPr>
                <w:rFonts w:ascii="Times New Roman" w:hAnsi="Times New Roman"/>
                <w:b w:val="0"/>
                <w:sz w:val="21"/>
              </w:rPr>
              <w:t>G-SQL / TriSQL</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Partial</w:t>
            </w:r>
          </w:p>
        </w:tc>
        <w:tc>
          <w:tcPr>
            <w:tcW w:type="dxa" w:w="1128"/>
          </w:tcPr>
          <w:p>
            <w:pPr>
              <w:jc w:val="center"/>
            </w:pPr>
            <w:r>
              <w:rPr>
                <w:rFonts w:ascii="Times New Roman" w:hAnsi="Times New Roman"/>
                <w:sz w:val="21"/>
              </w:rPr>
            </w:r>
            <w:r>
              <w:rPr>
                <w:rFonts w:ascii="Times New Roman" w:hAnsi="Times New Roman"/>
                <w:b w:val="0"/>
                <w:sz w:val="21"/>
              </w:rPr>
              <w:t>Partial</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Benchmark only</w:t>
            </w:r>
          </w:p>
        </w:tc>
      </w:tr>
      <w:tr>
        <w:tc>
          <w:tcPr>
            <w:tcW w:type="dxa" w:w="1128"/>
          </w:tcPr>
          <w:p>
            <w:r>
              <w:rPr>
                <w:rFonts w:ascii="Times New Roman" w:hAnsi="Times New Roman"/>
                <w:sz w:val="21"/>
              </w:rPr>
            </w:r>
            <w:r>
              <w:rPr>
                <w:rFonts w:ascii="Times New Roman" w:hAnsi="Times New Roman"/>
                <w:b w:val="0"/>
                <w:sz w:val="21"/>
              </w:rPr>
              <w:t>NaLIR</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User study</w:t>
            </w:r>
          </w:p>
        </w:tc>
      </w:tr>
      <w:tr>
        <w:tc>
          <w:tcPr>
            <w:tcW w:type="dxa" w:w="1128"/>
          </w:tcPr>
          <w:p>
            <w:r>
              <w:rPr>
                <w:rFonts w:ascii="Times New Roman" w:hAnsi="Times New Roman"/>
                <w:sz w:val="21"/>
              </w:rPr>
            </w:r>
            <w:r>
              <w:rPr>
                <w:rFonts w:ascii="Times New Roman" w:hAnsi="Times New Roman"/>
                <w:b w:val="0"/>
                <w:sz w:val="21"/>
              </w:rPr>
              <w:t>Veezoo (Lehmann et al.)</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User study</w:t>
            </w:r>
          </w:p>
        </w:tc>
      </w:tr>
      <w:tr>
        <w:tc>
          <w:tcPr>
            <w:tcW w:type="dxa" w:w="1128"/>
          </w:tcPr>
          <w:p>
            <w:r>
              <w:rPr>
                <w:rFonts w:ascii="Times New Roman" w:hAnsi="Times New Roman"/>
                <w:sz w:val="21"/>
              </w:rPr>
            </w:r>
            <w:r>
              <w:rPr>
                <w:rFonts w:ascii="Times New Roman" w:hAnsi="Times New Roman"/>
                <w:b w:val="0"/>
                <w:sz w:val="21"/>
              </w:rPr>
              <w:t>nl4dv / DataTone</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In-memory / user study</w:t>
            </w:r>
          </w:p>
        </w:tc>
      </w:tr>
      <w:tr>
        <w:tc>
          <w:tcPr>
            <w:tcW w:type="dxa" w:w="1128"/>
          </w:tcPr>
          <w:p>
            <w:r>
              <w:rPr>
                <w:rFonts w:ascii="Times New Roman" w:hAnsi="Times New Roman"/>
                <w:sz w:val="21"/>
              </w:rPr>
            </w:r>
            <w:r>
              <w:rPr>
                <w:rFonts w:ascii="Times New Roman" w:hAnsi="Times New Roman"/>
                <w:b w:val="0"/>
                <w:sz w:val="21"/>
              </w:rPr>
              <w:t>DashBot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Partial</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Synthetic study</w:t>
            </w:r>
          </w:p>
        </w:tc>
      </w:tr>
      <w:tr>
        <w:tc>
          <w:tcPr>
            <w:tcW w:type="dxa" w:w="1128"/>
          </w:tcPr>
          <w:p>
            <w:r>
              <w:rPr>
                <w:rFonts w:ascii="Times New Roman" w:hAnsi="Times New Roman"/>
                <w:sz w:val="21"/>
              </w:rPr>
            </w:r>
            <w:r>
              <w:rPr>
                <w:rFonts w:ascii="Times New Roman" w:hAnsi="Times New Roman"/>
                <w:b w:val="0"/>
                <w:sz w:val="21"/>
              </w:rPr>
              <w:t>Conversational BI Assistant</w:t>
              <w:br/>
              <w:t>(Shailesh et al.)</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w:t>
            </w:r>
          </w:p>
        </w:tc>
        <w:tc>
          <w:tcPr>
            <w:tcW w:type="dxa" w:w="1128"/>
          </w:tcPr>
          <w:p>
            <w:pPr>
              <w:jc w:val="center"/>
            </w:pPr>
            <w:r>
              <w:rPr>
                <w:rFonts w:ascii="Times New Roman" w:hAnsi="Times New Roman"/>
                <w:sz w:val="21"/>
              </w:rPr>
            </w:r>
            <w:r>
              <w:rPr>
                <w:rFonts w:ascii="Times New Roman" w:hAnsi="Times New Roman"/>
                <w:b w:val="0"/>
                <w:sz w:val="21"/>
              </w:rPr>
              <w:t>Prototype demo</w:t>
            </w:r>
          </w:p>
        </w:tc>
      </w:tr>
      <w:tr>
        <w:tc>
          <w:tcPr>
            <w:tcW w:type="dxa" w:w="1128"/>
          </w:tcPr>
          <w:p>
            <w:r>
              <w:rPr>
                <w:rFonts w:ascii="Times New Roman" w:hAnsi="Times New Roman"/>
                <w:sz w:val="21"/>
              </w:rPr>
            </w:r>
            <w:r>
              <w:rPr>
                <w:rFonts w:ascii="Times New Roman" w:hAnsi="Times New Roman"/>
                <w:b w:val="0"/>
                <w:sz w:val="21"/>
              </w:rPr>
              <w:t>AEGIS (this thesis)</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Yes</w:t>
            </w:r>
          </w:p>
        </w:tc>
        <w:tc>
          <w:tcPr>
            <w:tcW w:type="dxa" w:w="1128"/>
          </w:tcPr>
          <w:p>
            <w:pPr>
              <w:jc w:val="center"/>
            </w:pPr>
            <w:r>
              <w:rPr>
                <w:rFonts w:ascii="Times New Roman" w:hAnsi="Times New Roman"/>
                <w:sz w:val="21"/>
              </w:rPr>
            </w:r>
            <w:r>
              <w:rPr>
                <w:rFonts w:ascii="Times New Roman" w:hAnsi="Times New Roman"/>
                <w:b w:val="0"/>
                <w:sz w:val="21"/>
              </w:rPr>
              <w:t>Production (nopCommerce)</w:t>
            </w:r>
          </w:p>
        </w:tc>
      </w:tr>
    </w:tbl>
    <w:p>
      <w:pPr>
        <w:spacing w:after="80"/>
      </w:pPr>
    </w:p>
    <w:p>
      <w:r>
        <w:br w:type="page"/>
      </w:r>
    </w:p>
    <w:p>
      <w:pPr>
        <w:spacing w:before="320" w:after="160"/>
        <w:jc w:val="left"/>
      </w:pPr>
      <w:r>
        <w:rPr>
          <w:rFonts w:ascii="Times New Roman" w:hAnsi="Times New Roman"/>
          <w:b/>
          <w:sz w:val="28"/>
        </w:rPr>
        <w:t>2.6  Research Gap Analysis</w:t>
      </w:r>
    </w:p>
    <w:p>
      <w:pPr>
        <w:spacing w:after="200" w:before="0" w:line="360" w:lineRule="auto"/>
        <w:jc w:val="both"/>
      </w:pPr>
      <w:r>
        <w:rPr>
          <w:rFonts w:ascii="Times New Roman" w:hAnsi="Times New Roman"/>
          <w:b w:val="0"/>
          <w:i w:val="0"/>
          <w:sz w:val="24"/>
        </w:rPr>
        <w:t>Two gaps recur across every source reviewed above, including the state of the art. First, no system treats SQL-generation safety as a structural property rather than an accuracy metric: Spider, BIRD, RAT-SQL, PICARD, G-SQL, and TriSQL are all evaluated purely on exact-match or execution accuracy, and Shailesh et al.'s deployed assistant reports no adversarial evaluation at all despite giving an LLM direct database access. AEGIS closes this gap by removing SQL generation from the LLM's output space entirely and evaluating an explicit unsafe-SQL rate against a direct LLM-to-SQL baseline, rather than relying on accuracy as a proxy for safety.</w:t>
      </w:r>
    </w:p>
    <w:p>
      <w:pPr>
        <w:spacing w:after="0" w:before="0" w:line="360" w:lineRule="auto"/>
        <w:jc w:val="both"/>
      </w:pPr>
      <w:r>
        <w:rPr>
          <w:rFonts w:ascii="Times New Roman" w:hAnsi="Times New Roman"/>
          <w:b w:val="0"/>
          <w:i w:val="0"/>
          <w:sz w:val="24"/>
        </w:rPr>
        <w:t>Second, no system combines a governed semantic vocabulary with persistent, refreshable output: NaLIR and Veezoo produce one-off answers, nl4dv and DataTone produce one-off visualizations, and DashBot has no natural-language input at all. AEGIS's widget engine closes this gap, motivated by the design-time observation that real reporting requests are often recurring rather than one-off . Valkenburgh's independent arrival at AEGIS's â€œlet a deterministic layer compute the answerâ€ principle, in an unrelated domain, is the strongest external corroboration that this design decision reflects a pattern discovered wherever LLM reliability is treated as an engineering constraint rather than an accuracy target.</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200" w:before="0" w:line="360" w:lineRule="auto"/>
        <w:jc w:val="both"/>
      </w:pPr>
      <w:r>
        <w:rPr>
          <w:rFonts w:ascii="Times New Roman" w:hAnsi="Times New Roman"/>
          <w:b w:val="0"/>
          <w:i w:val="0"/>
          <w:sz w:val="24"/>
        </w:rPr>
        <w:t>This thesis follows a Design Science Research paradigm, in the sense used by Hevner et al.: knowledge is produced by building and evaluating a novel artifact that addresses an identified organizational problem, rather than by testing a hypothesis about an existing phenomenon. The artifact in this thesis is the AEGIS system itself. Design Science Research requires three things to be demonstrated: problem relevance, design rigor, and evaluation against the stated problem. Problem relevance is established through a formative study that analyzes real reporting behavior rather than assuming a problem exists. Design rigor is established through the formal model and threat model, which state precisely what safety property the architecture guarantees and under what boundary that guarantee holds. Evaluation uses a benchmark dataset constructed for this domain and true database execution checks that separate SQL safety from execution validity and semantic correctness.</w:t>
      </w:r>
    </w:p>
    <w:p>
      <w:pPr>
        <w:spacing w:after="0" w:before="0" w:line="360" w:lineRule="auto"/>
        <w:jc w:val="both"/>
      </w:pPr>
      <w:r>
        <w:rPr>
          <w:rFonts w:ascii="Times New Roman" w:hAnsi="Times New Roman"/>
          <w:b w:val="0"/>
          <w:i w:val="0"/>
          <w:sz w:val="24"/>
        </w:rPr>
        <w:t>The research proceeded through three iterative build-evaluate cycles. The first cycle produced a semantic layer and compiler for a minimal set of intent classes and validated the core safety proposition on a small hand-written query set. The second cycle expanded coverage to all eleven intent classes identified in the formative study and introduced vocabulary injection after an early synonym-dictionary approach proved unable to keep pace with real query phrasing. The third cycle added the widget persistence layer and expanded the evaluation harness used for the thesis benchmark.</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2) originates from a design-time review of representative e-commerce and administrative reporting requests, conducted by the author while designing AEGIS. This was a qualitative review carried out by a single researcher during system design, not an independently annotated, inter-rater-validated study, and no separate annotated dataset accompanies this thesis. An earlier version of this chapter reported specific percentages and an inter-rater reliability statistic for a larger unpublished dataset; that dataset was not published alongside this thesis, so those figures have been withdrawn.</w:t>
      </w:r>
    </w:p>
    <w:p>
      <w:pPr>
        <w:spacing w:after="200" w:before="0" w:line="360" w:lineRule="auto"/>
        <w:jc w:val="both"/>
      </w:pPr>
      <w:r>
        <w:rPr>
          <w:rFonts w:ascii="Times New Roman" w:hAnsi="Times New Roman"/>
          <w:b w:val="0"/>
          <w:i w:val="0"/>
          <w:sz w:val="24"/>
        </w:rPr>
        <w:t>In place of that withdrawn figure, Table (formative study) below reports a pattern classification of the answerable analytical portion of the published benchmark (evaluation_dataset/questions.json): every one of those benchmark questions was individually classified into one of the eleven patterns by the author. This classification is itself a single-annotator judgment, not independently cross-checked by a second annotator, so it should not be read as a validated inter-rater statistic; unlike the withdrawn figures, however, it is reproducible and independently checkable, since the classification of each question is published alongside the questions themselves in evaluation_dataset/pattern_classification.json.</w:t>
      </w:r>
    </w:p>
    <w:p>
      <w:pPr>
        <w:spacing w:before="200" w:after="80"/>
        <w:jc w:val="center"/>
      </w:pPr>
      <w:r>
        <w:rPr>
          <w:rFonts w:ascii="Times New Roman" w:hAnsi="Times New Roman"/>
          <w:b/>
          <w:sz w:val="22"/>
        </w:rPr>
        <w:t>Table (formative study): Pattern classification of the answerable analytical benchmark subset, sorted by observed frequency.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c>
          <w:tcPr>
            <w:tcW w:type="dxa" w:w="2256"/>
          </w:tcPr>
          <w:p>
            <w:pPr>
              <w:jc w:val="center"/>
            </w:pPr>
            <w:r>
              <w:rPr>
                <w:rFonts w:ascii="Times New Roman" w:hAnsi="Times New Roman"/>
                <w:b/>
                <w:sz w:val="21"/>
              </w:rPr>
            </w:r>
            <w:r>
              <w:rPr>
                <w:rFonts w:ascii="Times New Roman" w:hAnsi="Times New Roman"/>
                <w:b/>
                <w:sz w:val="21"/>
              </w:rPr>
              <w:t>Pattern</w:t>
            </w:r>
          </w:p>
        </w:tc>
        <w:tc>
          <w:tcPr>
            <w:tcW w:type="dxa" w:w="2256"/>
          </w:tcPr>
          <w:p>
            <w:pPr>
              <w:jc w:val="center"/>
            </w:pPr>
            <w:r>
              <w:rPr>
                <w:rFonts w:ascii="Times New Roman" w:hAnsi="Times New Roman"/>
                <w:b/>
                <w:sz w:val="21"/>
              </w:rPr>
            </w:r>
            <w:r>
              <w:rPr>
                <w:rFonts w:ascii="Times New Roman" w:hAnsi="Times New Roman"/>
                <w:b/>
                <w:sz w:val="21"/>
              </w:rPr>
              <w:t>Count (of 100)</w:t>
            </w:r>
          </w:p>
        </w:tc>
        <w:tc>
          <w:tcPr>
            <w:tcW w:type="dxa" w:w="2256"/>
          </w:tcPr>
          <w:p>
            <w:pPr>
              <w:jc w:val="center"/>
            </w:pPr>
            <w:r>
              <w:rPr>
                <w:rFonts w:ascii="Times New Roman" w:hAnsi="Times New Roman"/>
                <w:b/>
                <w:sz w:val="21"/>
              </w:rPr>
            </w:r>
            <w:r>
              <w:rPr>
                <w:rFonts w:ascii="Times New Roman" w:hAnsi="Times New Roman"/>
                <w:b/>
                <w:sz w:val="21"/>
              </w:rPr>
              <w:t>Share</w:t>
            </w:r>
          </w:p>
        </w:tc>
        <w:tc>
          <w:tcPr>
            <w:tcW w:type="dxa" w:w="2256"/>
          </w:tcPr>
          <w:p>
            <w:pPr>
              <w:jc w:val="center"/>
            </w:pPr>
            <w:r>
              <w:rPr>
                <w:rFonts w:ascii="Times New Roman" w:hAnsi="Times New Roman"/>
                <w:b/>
                <w:sz w:val="21"/>
              </w:rPr>
            </w:r>
            <w:r>
              <w:rPr>
                <w:rFonts w:ascii="Times New Roman" w:hAnsi="Times New Roman"/>
                <w:b/>
                <w:sz w:val="21"/>
              </w:rPr>
              <w:t>Example</w:t>
            </w:r>
          </w:p>
        </w:tc>
      </w:tr>
      <w:tr>
        <w:tc>
          <w:tcPr>
            <w:tcW w:type="dxa" w:w="2256"/>
          </w:tcPr>
          <w:p>
            <w:r>
              <w:rPr>
                <w:rFonts w:ascii="Times New Roman" w:hAnsi="Times New Roman"/>
                <w:sz w:val="21"/>
              </w:rPr>
            </w:r>
            <w:r>
              <w:rPr>
                <w:rFonts w:ascii="Times New Roman" w:hAnsi="Times New Roman"/>
                <w:b w:val="0"/>
                <w:sz w:val="21"/>
              </w:rPr>
              <w:t>KPI / Aggregate</w:t>
            </w:r>
          </w:p>
        </w:tc>
        <w:tc>
          <w:tcPr>
            <w:tcW w:type="dxa" w:w="2256"/>
          </w:tcPr>
          <w:p>
            <w:pPr>
              <w:jc w:val="center"/>
            </w:pPr>
            <w:r>
              <w:rPr>
                <w:rFonts w:ascii="Times New Roman" w:hAnsi="Times New Roman"/>
                <w:sz w:val="21"/>
              </w:rPr>
            </w:r>
            <w:r>
              <w:rPr>
                <w:rFonts w:ascii="Times New Roman" w:hAnsi="Times New Roman"/>
                <w:b w:val="0"/>
                <w:sz w:val="21"/>
              </w:rPr>
              <w:t>28</w:t>
            </w:r>
          </w:p>
        </w:tc>
        <w:tc>
          <w:tcPr>
            <w:tcW w:type="dxa" w:w="2256"/>
          </w:tcPr>
          <w:p>
            <w:pPr>
              <w:jc w:val="center"/>
            </w:pPr>
            <w:r>
              <w:rPr>
                <w:rFonts w:ascii="Times New Roman" w:hAnsi="Times New Roman"/>
                <w:sz w:val="21"/>
              </w:rPr>
            </w:r>
            <w:r>
              <w:rPr>
                <w:rFonts w:ascii="Times New Roman" w:hAnsi="Times New Roman"/>
                <w:b w:val="0"/>
                <w:sz w:val="21"/>
              </w:rPr>
              <w:t>28%</w:t>
            </w:r>
          </w:p>
        </w:tc>
        <w:tc>
          <w:tcPr>
            <w:tcW w:type="dxa" w:w="2256"/>
          </w:tcPr>
          <w:p>
            <w:pPr>
              <w:jc w:val="center"/>
            </w:pPr>
            <w:r>
              <w:rPr>
                <w:rFonts w:ascii="Times New Roman" w:hAnsi="Times New Roman"/>
                <w:sz w:val="21"/>
              </w:rPr>
            </w:r>
            <w:r>
              <w:rPr>
                <w:rFonts w:ascii="Times New Roman" w:hAnsi="Times New Roman"/>
                <w:b w:val="0"/>
                <w:sz w:val="21"/>
              </w:rPr>
              <w:t>How many orders were placed today?</w:t>
            </w:r>
          </w:p>
        </w:tc>
      </w:tr>
      <w:tr>
        <w:tc>
          <w:tcPr>
            <w:tcW w:type="dxa" w:w="2256"/>
          </w:tcPr>
          <w:p>
            <w:r>
              <w:rPr>
                <w:rFonts w:ascii="Times New Roman" w:hAnsi="Times New Roman"/>
                <w:sz w:val="21"/>
              </w:rPr>
            </w:r>
            <w:r>
              <w:rPr>
                <w:rFonts w:ascii="Times New Roman" w:hAnsi="Times New Roman"/>
                <w:b w:val="0"/>
                <w:sz w:val="21"/>
              </w:rPr>
              <w:t>Ranking</w:t>
            </w:r>
          </w:p>
        </w:tc>
        <w:tc>
          <w:tcPr>
            <w:tcW w:type="dxa" w:w="2256"/>
          </w:tcPr>
          <w:p>
            <w:pPr>
              <w:jc w:val="center"/>
            </w:pPr>
            <w:r>
              <w:rPr>
                <w:rFonts w:ascii="Times New Roman" w:hAnsi="Times New Roman"/>
                <w:sz w:val="21"/>
              </w:rPr>
            </w:r>
            <w:r>
              <w:rPr>
                <w:rFonts w:ascii="Times New Roman" w:hAnsi="Times New Roman"/>
                <w:b w:val="0"/>
                <w:sz w:val="21"/>
              </w:rPr>
              <w:t>21</w:t>
            </w:r>
          </w:p>
        </w:tc>
        <w:tc>
          <w:tcPr>
            <w:tcW w:type="dxa" w:w="2256"/>
          </w:tcPr>
          <w:p>
            <w:pPr>
              <w:jc w:val="center"/>
            </w:pPr>
            <w:r>
              <w:rPr>
                <w:rFonts w:ascii="Times New Roman" w:hAnsi="Times New Roman"/>
                <w:sz w:val="21"/>
              </w:rPr>
            </w:r>
            <w:r>
              <w:rPr>
                <w:rFonts w:ascii="Times New Roman" w:hAnsi="Times New Roman"/>
                <w:b w:val="0"/>
                <w:sz w:val="21"/>
              </w:rPr>
              <w:t>21%</w:t>
            </w:r>
          </w:p>
        </w:tc>
        <w:tc>
          <w:tcPr>
            <w:tcW w:type="dxa" w:w="2256"/>
          </w:tcPr>
          <w:p>
            <w:pPr>
              <w:jc w:val="center"/>
            </w:pPr>
            <w:r>
              <w:rPr>
                <w:rFonts w:ascii="Times New Roman" w:hAnsi="Times New Roman"/>
                <w:sz w:val="21"/>
              </w:rPr>
            </w:r>
            <w:r>
              <w:rPr>
                <w:rFonts w:ascii="Times New Roman" w:hAnsi="Times New Roman"/>
                <w:b w:val="0"/>
                <w:sz w:val="21"/>
              </w:rPr>
              <w:t>Which five categories have the highest refund rates?</w:t>
            </w:r>
          </w:p>
        </w:tc>
      </w:tr>
      <w:tr>
        <w:tc>
          <w:tcPr>
            <w:tcW w:type="dxa" w:w="2256"/>
          </w:tcPr>
          <w:p>
            <w:r>
              <w:rPr>
                <w:rFonts w:ascii="Times New Roman" w:hAnsi="Times New Roman"/>
                <w:sz w:val="21"/>
              </w:rPr>
            </w:r>
            <w:r>
              <w:rPr>
                <w:rFonts w:ascii="Times New Roman" w:hAnsi="Times New Roman"/>
                <w:b w:val="0"/>
                <w:sz w:val="21"/>
              </w:rPr>
              <w:t>Exception / Filter</w:t>
            </w:r>
          </w:p>
        </w:tc>
        <w:tc>
          <w:tcPr>
            <w:tcW w:type="dxa" w:w="2256"/>
          </w:tcPr>
          <w:p>
            <w:pPr>
              <w:jc w:val="center"/>
            </w:pPr>
            <w:r>
              <w:rPr>
                <w:rFonts w:ascii="Times New Roman" w:hAnsi="Times New Roman"/>
                <w:sz w:val="21"/>
              </w:rPr>
            </w:r>
            <w:r>
              <w:rPr>
                <w:rFonts w:ascii="Times New Roman" w:hAnsi="Times New Roman"/>
                <w:b w:val="0"/>
                <w:sz w:val="21"/>
              </w:rPr>
              <w:t>18</w:t>
            </w:r>
          </w:p>
        </w:tc>
        <w:tc>
          <w:tcPr>
            <w:tcW w:type="dxa" w:w="2256"/>
          </w:tcPr>
          <w:p>
            <w:pPr>
              <w:jc w:val="center"/>
            </w:pPr>
            <w:r>
              <w:rPr>
                <w:rFonts w:ascii="Times New Roman" w:hAnsi="Times New Roman"/>
                <w:sz w:val="21"/>
              </w:rPr>
            </w:r>
            <w:r>
              <w:rPr>
                <w:rFonts w:ascii="Times New Roman" w:hAnsi="Times New Roman"/>
                <w:b w:val="0"/>
                <w:sz w:val="21"/>
              </w:rPr>
              <w:t>18%</w:t>
            </w:r>
          </w:p>
        </w:tc>
        <w:tc>
          <w:tcPr>
            <w:tcW w:type="dxa" w:w="2256"/>
          </w:tcPr>
          <w:p>
            <w:pPr>
              <w:jc w:val="center"/>
            </w:pPr>
            <w:r>
              <w:rPr>
                <w:rFonts w:ascii="Times New Roman" w:hAnsi="Times New Roman"/>
                <w:sz w:val="21"/>
              </w:rPr>
            </w:r>
            <w:r>
              <w:rPr>
                <w:rFonts w:ascii="Times New Roman" w:hAnsi="Times New Roman"/>
                <w:b w:val="0"/>
                <w:sz w:val="21"/>
              </w:rPr>
              <w:t>List products with stock levels below 10.</w:t>
            </w:r>
          </w:p>
        </w:tc>
      </w:tr>
      <w:tr>
        <w:tc>
          <w:tcPr>
            <w:tcW w:type="dxa" w:w="2256"/>
          </w:tcPr>
          <w:p>
            <w:r>
              <w:rPr>
                <w:rFonts w:ascii="Times New Roman" w:hAnsi="Times New Roman"/>
                <w:sz w:val="21"/>
              </w:rPr>
            </w:r>
            <w:r>
              <w:rPr>
                <w:rFonts w:ascii="Times New Roman" w:hAnsi="Times New Roman"/>
                <w:b w:val="0"/>
                <w:sz w:val="21"/>
              </w:rPr>
              <w:t>Trend Analysis</w:t>
            </w:r>
          </w:p>
        </w:tc>
        <w:tc>
          <w:tcPr>
            <w:tcW w:type="dxa" w:w="2256"/>
          </w:tcPr>
          <w:p>
            <w:pPr>
              <w:jc w:val="center"/>
            </w:pPr>
            <w:r>
              <w:rPr>
                <w:rFonts w:ascii="Times New Roman" w:hAnsi="Times New Roman"/>
                <w:sz w:val="21"/>
              </w:rPr>
            </w:r>
            <w:r>
              <w:rPr>
                <w:rFonts w:ascii="Times New Roman" w:hAnsi="Times New Roman"/>
                <w:b w:val="0"/>
                <w:sz w:val="21"/>
              </w:rPr>
              <w:t>10</w:t>
            </w:r>
          </w:p>
        </w:tc>
        <w:tc>
          <w:tcPr>
            <w:tcW w:type="dxa" w:w="2256"/>
          </w:tcPr>
          <w:p>
            <w:pPr>
              <w:jc w:val="center"/>
            </w:pPr>
            <w:r>
              <w:rPr>
                <w:rFonts w:ascii="Times New Roman" w:hAnsi="Times New Roman"/>
                <w:sz w:val="21"/>
              </w:rPr>
            </w:r>
            <w:r>
              <w:rPr>
                <w:rFonts w:ascii="Times New Roman" w:hAnsi="Times New Roman"/>
                <w:b w:val="0"/>
                <w:sz w:val="21"/>
              </w:rPr>
              <w:t>10%</w:t>
            </w:r>
          </w:p>
        </w:tc>
        <w:tc>
          <w:tcPr>
            <w:tcW w:type="dxa" w:w="2256"/>
          </w:tcPr>
          <w:p>
            <w:pPr>
              <w:jc w:val="center"/>
            </w:pPr>
            <w:r>
              <w:rPr>
                <w:rFonts w:ascii="Times New Roman" w:hAnsi="Times New Roman"/>
                <w:sz w:val="21"/>
              </w:rPr>
            </w:r>
            <w:r>
              <w:rPr>
                <w:rFonts w:ascii="Times New Roman" w:hAnsi="Times New Roman"/>
                <w:b w:val="0"/>
                <w:sz w:val="21"/>
              </w:rPr>
              <w:t>Show monthly sales volume over the last year.</w:t>
            </w:r>
          </w:p>
        </w:tc>
      </w:tr>
      <w:tr>
        <w:tc>
          <w:tcPr>
            <w:tcW w:type="dxa" w:w="2256"/>
          </w:tcPr>
          <w:p>
            <w:r>
              <w:rPr>
                <w:rFonts w:ascii="Times New Roman" w:hAnsi="Times New Roman"/>
                <w:sz w:val="21"/>
              </w:rPr>
            </w:r>
            <w:r>
              <w:rPr>
                <w:rFonts w:ascii="Times New Roman" w:hAnsi="Times New Roman"/>
                <w:b w:val="0"/>
                <w:sz w:val="21"/>
              </w:rPr>
              <w:t>Comparison</w:t>
            </w:r>
          </w:p>
        </w:tc>
        <w:tc>
          <w:tcPr>
            <w:tcW w:type="dxa" w:w="2256"/>
          </w:tcPr>
          <w:p>
            <w:pPr>
              <w:jc w:val="center"/>
            </w:pPr>
            <w:r>
              <w:rPr>
                <w:rFonts w:ascii="Times New Roman" w:hAnsi="Times New Roman"/>
                <w:sz w:val="21"/>
              </w:rPr>
            </w:r>
            <w:r>
              <w:rPr>
                <w:rFonts w:ascii="Times New Roman" w:hAnsi="Times New Roman"/>
                <w:b w:val="0"/>
                <w:sz w:val="21"/>
              </w:rPr>
              <w:t>10</w:t>
            </w:r>
          </w:p>
        </w:tc>
        <w:tc>
          <w:tcPr>
            <w:tcW w:type="dxa" w:w="2256"/>
          </w:tcPr>
          <w:p>
            <w:pPr>
              <w:jc w:val="center"/>
            </w:pPr>
            <w:r>
              <w:rPr>
                <w:rFonts w:ascii="Times New Roman" w:hAnsi="Times New Roman"/>
                <w:sz w:val="21"/>
              </w:rPr>
            </w:r>
            <w:r>
              <w:rPr>
                <w:rFonts w:ascii="Times New Roman" w:hAnsi="Times New Roman"/>
                <w:b w:val="0"/>
                <w:sz w:val="21"/>
              </w:rPr>
              <w:t>10%</w:t>
            </w:r>
          </w:p>
        </w:tc>
        <w:tc>
          <w:tcPr>
            <w:tcW w:type="dxa" w:w="2256"/>
          </w:tcPr>
          <w:p>
            <w:pPr>
              <w:jc w:val="center"/>
            </w:pPr>
            <w:r>
              <w:rPr>
                <w:rFonts w:ascii="Times New Roman" w:hAnsi="Times New Roman"/>
                <w:sz w:val="21"/>
              </w:rPr>
            </w:r>
            <w:r>
              <w:rPr>
                <w:rFonts w:ascii="Times New Roman" w:hAnsi="Times New Roman"/>
                <w:b w:val="0"/>
                <w:sz w:val="21"/>
              </w:rPr>
              <w:t>Compare average order value between mobile and desktop users.</w:t>
            </w:r>
          </w:p>
        </w:tc>
      </w:tr>
      <w:tr>
        <w:tc>
          <w:tcPr>
            <w:tcW w:type="dxa" w:w="2256"/>
          </w:tcPr>
          <w:p>
            <w:r>
              <w:rPr>
                <w:rFonts w:ascii="Times New Roman" w:hAnsi="Times New Roman"/>
                <w:sz w:val="21"/>
              </w:rPr>
            </w:r>
            <w:r>
              <w:rPr>
                <w:rFonts w:ascii="Times New Roman" w:hAnsi="Times New Roman"/>
                <w:b w:val="0"/>
                <w:sz w:val="21"/>
              </w:rPr>
              <w:t>Summary / Group</w:t>
            </w:r>
          </w:p>
        </w:tc>
        <w:tc>
          <w:tcPr>
            <w:tcW w:type="dxa" w:w="2256"/>
          </w:tcPr>
          <w:p>
            <w:pPr>
              <w:jc w:val="center"/>
            </w:pPr>
            <w:r>
              <w:rPr>
                <w:rFonts w:ascii="Times New Roman" w:hAnsi="Times New Roman"/>
                <w:sz w:val="21"/>
              </w:rPr>
            </w:r>
            <w:r>
              <w:rPr>
                <w:rFonts w:ascii="Times New Roman" w:hAnsi="Times New Roman"/>
                <w:b w:val="0"/>
                <w:sz w:val="21"/>
              </w:rPr>
              <w:t>9</w:t>
            </w:r>
          </w:p>
        </w:tc>
        <w:tc>
          <w:tcPr>
            <w:tcW w:type="dxa" w:w="2256"/>
          </w:tcPr>
          <w:p>
            <w:pPr>
              <w:jc w:val="center"/>
            </w:pPr>
            <w:r>
              <w:rPr>
                <w:rFonts w:ascii="Times New Roman" w:hAnsi="Times New Roman"/>
                <w:sz w:val="21"/>
              </w:rPr>
            </w:r>
            <w:r>
              <w:rPr>
                <w:rFonts w:ascii="Times New Roman" w:hAnsi="Times New Roman"/>
                <w:b w:val="0"/>
                <w:sz w:val="21"/>
              </w:rPr>
              <w:t>9%</w:t>
            </w:r>
          </w:p>
        </w:tc>
        <w:tc>
          <w:tcPr>
            <w:tcW w:type="dxa" w:w="2256"/>
          </w:tcPr>
          <w:p>
            <w:pPr>
              <w:jc w:val="center"/>
            </w:pPr>
            <w:r>
              <w:rPr>
                <w:rFonts w:ascii="Times New Roman" w:hAnsi="Times New Roman"/>
                <w:sz w:val="21"/>
              </w:rPr>
            </w:r>
            <w:r>
              <w:rPr>
                <w:rFonts w:ascii="Times New Roman" w:hAnsi="Times New Roman"/>
                <w:b w:val="0"/>
                <w:sz w:val="21"/>
              </w:rPr>
              <w:t>Give me an overview of the Electronics category.</w:t>
            </w:r>
          </w:p>
        </w:tc>
      </w:tr>
      <w:tr>
        <w:tc>
          <w:tcPr>
            <w:tcW w:type="dxa" w:w="2256"/>
          </w:tcPr>
          <w:p>
            <w:r>
              <w:rPr>
                <w:rFonts w:ascii="Times New Roman" w:hAnsi="Times New Roman"/>
                <w:sz w:val="21"/>
              </w:rPr>
            </w:r>
            <w:r>
              <w:rPr>
                <w:rFonts w:ascii="Times New Roman" w:hAnsi="Times New Roman"/>
                <w:b w:val="0"/>
                <w:sz w:val="21"/>
              </w:rPr>
              <w:t>Cohort</w:t>
            </w:r>
          </w:p>
        </w:tc>
        <w:tc>
          <w:tcPr>
            <w:tcW w:type="dxa" w:w="2256"/>
          </w:tcPr>
          <w:p>
            <w:pPr>
              <w:jc w:val="center"/>
            </w:pPr>
            <w:r>
              <w:rPr>
                <w:rFonts w:ascii="Times New Roman" w:hAnsi="Times New Roman"/>
                <w:sz w:val="21"/>
              </w:rPr>
            </w:r>
            <w:r>
              <w:rPr>
                <w:rFonts w:ascii="Times New Roman" w:hAnsi="Times New Roman"/>
                <w:b w:val="0"/>
                <w:sz w:val="21"/>
              </w:rPr>
              <w:t>2</w:t>
            </w:r>
          </w:p>
        </w:tc>
        <w:tc>
          <w:tcPr>
            <w:tcW w:type="dxa" w:w="2256"/>
          </w:tcPr>
          <w:p>
            <w:pPr>
              <w:jc w:val="center"/>
            </w:pPr>
            <w:r>
              <w:rPr>
                <w:rFonts w:ascii="Times New Roman" w:hAnsi="Times New Roman"/>
                <w:sz w:val="21"/>
              </w:rPr>
            </w:r>
            <w:r>
              <w:rPr>
                <w:rFonts w:ascii="Times New Roman" w:hAnsi="Times New Roman"/>
                <w:b w:val="0"/>
                <w:sz w:val="21"/>
              </w:rPr>
              <w:t>2%</w:t>
            </w:r>
          </w:p>
        </w:tc>
        <w:tc>
          <w:tcPr>
            <w:tcW w:type="dxa" w:w="2256"/>
          </w:tcPr>
          <w:p>
            <w:pPr>
              <w:jc w:val="center"/>
            </w:pPr>
            <w:r>
              <w:rPr>
                <w:rFonts w:ascii="Times New Roman" w:hAnsi="Times New Roman"/>
                <w:sz w:val="21"/>
              </w:rPr>
            </w:r>
            <w:r>
              <w:rPr>
                <w:rFonts w:ascii="Times New Roman" w:hAnsi="Times New Roman"/>
                <w:b w:val="0"/>
                <w:sz w:val="21"/>
              </w:rPr>
              <w:t>First-time buyers vs. returning customers.</w:t>
            </w:r>
          </w:p>
        </w:tc>
      </w:tr>
      <w:tr>
        <w:tc>
          <w:tcPr>
            <w:tcW w:type="dxa" w:w="2256"/>
          </w:tcPr>
          <w:p>
            <w:r>
              <w:rPr>
                <w:rFonts w:ascii="Times New Roman" w:hAnsi="Times New Roman"/>
                <w:sz w:val="21"/>
              </w:rPr>
            </w:r>
            <w:r>
              <w:rPr>
                <w:rFonts w:ascii="Times New Roman" w:hAnsi="Times New Roman"/>
                <w:b w:val="0"/>
                <w:sz w:val="21"/>
              </w:rPr>
              <w:t>Funnel</w:t>
            </w:r>
          </w:p>
        </w:tc>
        <w:tc>
          <w:tcPr>
            <w:tcW w:type="dxa" w:w="2256"/>
          </w:tcPr>
          <w:p>
            <w:pPr>
              <w:jc w:val="center"/>
            </w:pPr>
            <w:r>
              <w:rPr>
                <w:rFonts w:ascii="Times New Roman" w:hAnsi="Times New Roman"/>
                <w:sz w:val="21"/>
              </w:rPr>
            </w:r>
            <w:r>
              <w:rPr>
                <w:rFonts w:ascii="Times New Roman" w:hAnsi="Times New Roman"/>
                <w:b w:val="0"/>
                <w:sz w:val="21"/>
              </w:rPr>
              <w:t>1</w:t>
            </w:r>
          </w:p>
        </w:tc>
        <w:tc>
          <w:tcPr>
            <w:tcW w:type="dxa" w:w="2256"/>
          </w:tcPr>
          <w:p>
            <w:pPr>
              <w:jc w:val="center"/>
            </w:pPr>
            <w:r>
              <w:rPr>
                <w:rFonts w:ascii="Times New Roman" w:hAnsi="Times New Roman"/>
                <w:sz w:val="21"/>
              </w:rPr>
            </w:r>
            <w:r>
              <w:rPr>
                <w:rFonts w:ascii="Times New Roman" w:hAnsi="Times New Roman"/>
                <w:b w:val="0"/>
                <w:sz w:val="21"/>
              </w:rPr>
              <w:t>1%</w:t>
            </w:r>
          </w:p>
        </w:tc>
        <w:tc>
          <w:tcPr>
            <w:tcW w:type="dxa" w:w="2256"/>
          </w:tcPr>
          <w:p>
            <w:pPr>
              <w:jc w:val="center"/>
            </w:pPr>
            <w:r>
              <w:rPr>
                <w:rFonts w:ascii="Times New Roman" w:hAnsi="Times New Roman"/>
                <w:sz w:val="21"/>
              </w:rPr>
            </w:r>
            <w:r>
              <w:rPr>
                <w:rFonts w:ascii="Times New Roman" w:hAnsi="Times New Roman"/>
                <w:b w:val="0"/>
                <w:sz w:val="21"/>
              </w:rPr>
              <w:t>Cart-to-purchase abandonment after seeing shipping costs.</w:t>
            </w:r>
          </w:p>
        </w:tc>
      </w:tr>
      <w:tr>
        <w:tc>
          <w:tcPr>
            <w:tcW w:type="dxa" w:w="2256"/>
          </w:tcPr>
          <w:p>
            <w:r>
              <w:rPr>
                <w:rFonts w:ascii="Times New Roman" w:hAnsi="Times New Roman"/>
                <w:sz w:val="21"/>
              </w:rPr>
            </w:r>
            <w:r>
              <w:rPr>
                <w:rFonts w:ascii="Times New Roman" w:hAnsi="Times New Roman"/>
                <w:b w:val="0"/>
                <w:sz w:val="21"/>
              </w:rPr>
              <w:t>Correlate</w:t>
            </w:r>
          </w:p>
        </w:tc>
        <w:tc>
          <w:tcPr>
            <w:tcW w:type="dxa" w:w="2256"/>
          </w:tcPr>
          <w:p>
            <w:pPr>
              <w:jc w:val="center"/>
            </w:pPr>
            <w:r>
              <w:rPr>
                <w:rFonts w:ascii="Times New Roman" w:hAnsi="Times New Roman"/>
                <w:sz w:val="21"/>
              </w:rPr>
            </w:r>
            <w:r>
              <w:rPr>
                <w:rFonts w:ascii="Times New Roman" w:hAnsi="Times New Roman"/>
                <w:b w:val="0"/>
                <w:sz w:val="21"/>
              </w:rPr>
              <w:t>1</w:t>
            </w:r>
          </w:p>
        </w:tc>
        <w:tc>
          <w:tcPr>
            <w:tcW w:type="dxa" w:w="2256"/>
          </w:tcPr>
          <w:p>
            <w:pPr>
              <w:jc w:val="center"/>
            </w:pPr>
            <w:r>
              <w:rPr>
                <w:rFonts w:ascii="Times New Roman" w:hAnsi="Times New Roman"/>
                <w:sz w:val="21"/>
              </w:rPr>
            </w:r>
            <w:r>
              <w:rPr>
                <w:rFonts w:ascii="Times New Roman" w:hAnsi="Times New Roman"/>
                <w:b w:val="0"/>
                <w:sz w:val="21"/>
              </w:rPr>
              <w:t>1%</w:t>
            </w:r>
          </w:p>
        </w:tc>
        <w:tc>
          <w:tcPr>
            <w:tcW w:type="dxa" w:w="2256"/>
          </w:tcPr>
          <w:p>
            <w:pPr>
              <w:jc w:val="center"/>
            </w:pPr>
            <w:r>
              <w:rPr>
                <w:rFonts w:ascii="Times New Roman" w:hAnsi="Times New Roman"/>
                <w:sz w:val="21"/>
              </w:rPr>
            </w:r>
            <w:r>
              <w:rPr>
                <w:rFonts w:ascii="Times New Roman" w:hAnsi="Times New Roman"/>
                <w:b w:val="0"/>
                <w:sz w:val="21"/>
              </w:rPr>
              <w:t>Which attributes correlate with higher margins?</w:t>
            </w:r>
          </w:p>
        </w:tc>
      </w:tr>
      <w:tr>
        <w:tc>
          <w:tcPr>
            <w:tcW w:type="dxa" w:w="2256"/>
          </w:tcPr>
          <w:p>
            <w:r>
              <w:rPr>
                <w:rFonts w:ascii="Times New Roman" w:hAnsi="Times New Roman"/>
                <w:sz w:val="21"/>
              </w:rPr>
            </w:r>
            <w:r>
              <w:rPr>
                <w:rFonts w:ascii="Times New Roman" w:hAnsi="Times New Roman"/>
                <w:b w:val="0"/>
                <w:sz w:val="21"/>
              </w:rPr>
              <w:t>Segment</w:t>
            </w:r>
          </w:p>
        </w:tc>
        <w:tc>
          <w:tcPr>
            <w:tcW w:type="dxa" w:w="2256"/>
          </w:tcPr>
          <w:p>
            <w:pPr>
              <w:jc w:val="center"/>
            </w:pPr>
            <w:r>
              <w:rPr>
                <w:rFonts w:ascii="Times New Roman" w:hAnsi="Times New Roman"/>
                <w:sz w:val="21"/>
              </w:rPr>
            </w:r>
            <w:r>
              <w:rPr>
                <w:rFonts w:ascii="Times New Roman" w:hAnsi="Times New Roman"/>
                <w:b w:val="0"/>
                <w:sz w:val="21"/>
              </w:rPr>
              <w:t>0</w:t>
            </w:r>
          </w:p>
        </w:tc>
        <w:tc>
          <w:tcPr>
            <w:tcW w:type="dxa" w:w="2256"/>
          </w:tcPr>
          <w:p>
            <w:pPr>
              <w:jc w:val="center"/>
            </w:pPr>
            <w:r>
              <w:rPr>
                <w:rFonts w:ascii="Times New Roman" w:hAnsi="Times New Roman"/>
                <w:sz w:val="21"/>
              </w:rPr>
            </w:r>
            <w:r>
              <w:rPr>
                <w:rFonts w:ascii="Times New Roman" w:hAnsi="Times New Roman"/>
                <w:b w:val="0"/>
                <w:sz w:val="21"/>
              </w:rPr>
              <w:t>0%</w:t>
            </w:r>
          </w:p>
        </w:tc>
        <w:tc>
          <w:tcPr>
            <w:tcW w:type="dxa" w:w="2256"/>
          </w:tcPr>
          <w:p>
            <w:pPr>
              <w:jc w:val="center"/>
            </w:pPr>
            <w:r>
              <w:rPr>
                <w:rFonts w:ascii="Times New Roman" w:hAnsi="Times New Roman"/>
                <w:sz w:val="21"/>
              </w:rPr>
            </w:r>
            <w:r>
              <w:rPr>
                <w:rFonts w:ascii="Times New Roman" w:hAnsi="Times New Roman"/>
                <w:b w:val="0"/>
                <w:sz w:val="21"/>
              </w:rPr>
              <w:t>Not exercised by this particular 100-question sample.</w:t>
            </w:r>
          </w:p>
        </w:tc>
      </w:tr>
      <w:tr>
        <w:tc>
          <w:tcPr>
            <w:tcW w:type="dxa" w:w="2256"/>
          </w:tcPr>
          <w:p>
            <w:r>
              <w:rPr>
                <w:rFonts w:ascii="Times New Roman" w:hAnsi="Times New Roman"/>
                <w:sz w:val="21"/>
              </w:rPr>
            </w:r>
            <w:r>
              <w:rPr>
                <w:rFonts w:ascii="Times New Roman" w:hAnsi="Times New Roman"/>
                <w:b w:val="0"/>
                <w:sz w:val="21"/>
              </w:rPr>
              <w:t>Tabular</w:t>
            </w:r>
          </w:p>
        </w:tc>
        <w:tc>
          <w:tcPr>
            <w:tcW w:type="dxa" w:w="2256"/>
          </w:tcPr>
          <w:p>
            <w:pPr>
              <w:jc w:val="center"/>
            </w:pPr>
            <w:r>
              <w:rPr>
                <w:rFonts w:ascii="Times New Roman" w:hAnsi="Times New Roman"/>
                <w:sz w:val="21"/>
              </w:rPr>
            </w:r>
            <w:r>
              <w:rPr>
                <w:rFonts w:ascii="Times New Roman" w:hAnsi="Times New Roman"/>
                <w:b w:val="0"/>
                <w:sz w:val="21"/>
              </w:rPr>
              <w:t>0</w:t>
            </w:r>
          </w:p>
        </w:tc>
        <w:tc>
          <w:tcPr>
            <w:tcW w:type="dxa" w:w="2256"/>
          </w:tcPr>
          <w:p>
            <w:pPr>
              <w:jc w:val="center"/>
            </w:pPr>
            <w:r>
              <w:rPr>
                <w:rFonts w:ascii="Times New Roman" w:hAnsi="Times New Roman"/>
                <w:sz w:val="21"/>
              </w:rPr>
            </w:r>
            <w:r>
              <w:rPr>
                <w:rFonts w:ascii="Times New Roman" w:hAnsi="Times New Roman"/>
                <w:b w:val="0"/>
                <w:sz w:val="21"/>
              </w:rPr>
              <w:t>0%</w:t>
            </w:r>
          </w:p>
        </w:tc>
        <w:tc>
          <w:tcPr>
            <w:tcW w:type="dxa" w:w="2256"/>
          </w:tcPr>
          <w:p>
            <w:pPr>
              <w:jc w:val="center"/>
            </w:pPr>
            <w:r>
              <w:rPr>
                <w:rFonts w:ascii="Times New Roman" w:hAnsi="Times New Roman"/>
                <w:sz w:val="21"/>
              </w:rPr>
            </w:r>
            <w:r>
              <w:rPr>
                <w:rFonts w:ascii="Times New Roman" w:hAnsi="Times New Roman"/>
                <w:b w:val="0"/>
                <w:sz w:val="21"/>
              </w:rPr>
              <w:t>Not exercised by this particular 100-question sample.</w:t>
            </w:r>
          </w:p>
        </w:tc>
      </w:tr>
    </w:tbl>
    <w:p>
      <w:pPr>
        <w:spacing w:after="80"/>
      </w:pP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5 NOT YET INSERTED ]</w:t>
            </w:r>
          </w:p>
          <w:p>
            <w:pPr>
              <w:spacing w:after="160"/>
              <w:jc w:val="center"/>
            </w:pPr>
            <w:r>
              <w:rPr>
                <w:rFonts w:ascii="Times New Roman" w:hAnsi="Times New Roman"/>
                <w:b/>
                <w:color w:val="333333"/>
                <w:sz w:val="22"/>
              </w:rPr>
              <w:t>Pattern classification of the answerable analytical benchmark subset</w:t>
            </w:r>
          </w:p>
          <w:p>
            <w:pPr>
              <w:spacing w:after="280" w:line="300" w:lineRule="auto"/>
              <w:ind w:left="432" w:right="432"/>
              <w:jc w:val="center"/>
            </w:pPr>
            <w:r>
              <w:rPr>
                <w:rFonts w:ascii="Times New Roman" w:hAnsi="Times New Roman"/>
                <w:i/>
                <w:color w:val="555555"/>
                <w:sz w:val="19"/>
              </w:rPr>
              <w:t>A bar chart (sorted descending) showing the real share of the answerable analytical benchmark subset accounted for by each of the eleven patterns: KPI/Aggregate 28%, Ranking 21%, Exception/Filter 18%, Trend Analysis 10%, Comparison 10%, Summary/Group 9%, Cohort 2%, Funnel 1%, Correlate 1%, Segment 0%, Tabular 0%. Highlight the top three bars (KPI, Ranking, Exception/Filter) in an accent color, since together they account for 67% of the benchmark. Caption note: classified by the author against evaluation_dataset/questions.json; see evaluation_dataset/pattern_classification.json for the per-question labels.</w:t>
            </w:r>
          </w:p>
        </w:tc>
      </w:tr>
    </w:tbl>
    <w:p>
      <w:pPr>
        <w:spacing w:before="120" w:after="280"/>
        <w:jc w:val="center"/>
      </w:pPr>
      <w:r>
        <w:rPr>
          <w:rFonts w:ascii="Times New Roman" w:hAnsi="Times New Roman"/>
          <w:b/>
          <w:sz w:val="21"/>
        </w:rPr>
        <w:t>Figure 5: Pattern classification of the answerable analytical benchmark subset</w:t>
      </w:r>
    </w:p>
    <w:p>
      <w:pPr>
        <w:spacing w:after="0" w:before="0" w:line="360" w:lineRule="auto"/>
        <w:jc w:val="both"/>
      </w:pPr>
      <w:r>
        <w:rPr>
          <w:rFonts w:ascii="Times New Roman" w:hAnsi="Times New Roman"/>
          <w:b w:val="0"/>
          <w:i w:val="0"/>
          <w:sz w:val="24"/>
        </w:rPr>
        <w:t>This classification yields three design directions that shaped the rest of this chapter. First, a small set of patterns appears sufficient: on this benchmark, the top three patterns (KPI, Ranking, and Exception/Filter) already account for 67% of all questions, and all eleven patterns together account for 100%, supporting a fixed template library rather than an open-ended query language. Segment and Tabular happen not to be exercised by this particular 100-question sample, which is a property of this benchmark rather than evidence that those two patterns are unnecessary; the compiler supports both regardless. Second, business vocabulary differs systematically from database column names: reviewed requests used phrases like â€œtotal refund rate,â€ never SUM(o.RefundedAmount), which motivates an explicit semantic layer rather than exposing the schema directly to the language model. Third, reuse appears to be the norm rather than the exception: many requests were variations of things already asked before, in a different time window or for a different segment, which motivates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every architectural decision in this chapter:</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200" w:before="0" w:line="360" w:lineRule="auto"/>
        <w:jc w:val="both"/>
      </w:pPr>
      <w:r>
        <w:rPr>
          <w:rFonts w:ascii="Times New Roman" w:hAnsi="Times New Roman"/>
          <w:b w:val="0"/>
          <w:i w:val="0"/>
          <w:sz w:val="24"/>
        </w:rPr>
        <w:t>The formal idea behind AEGIS can be stated without mathematical notation. Classical text-to-SQL gives the language model a request and a database schema, then asks the model to produce SQL directly. AEGIS splits that responsibility into checked stages. The model reads the user's language and produces only a typed intent object. The semantic layer checks whether the requested metric, dimension, time rule, and pattern are approved. The compiler then builds read-only SQL from templates, the visualization selector chooses a chart or table, and the widget engine persists the result as a reusable artifact.</w:t>
      </w:r>
    </w:p>
    <w:p>
      <w:pPr>
        <w:spacing w:before="200" w:after="80"/>
        <w:jc w:val="center"/>
      </w:pPr>
      <w:r>
        <w:rPr>
          <w:rFonts w:ascii="Times New Roman" w:hAnsi="Times New Roman"/>
          <w:b/>
          <w:sz w:val="22"/>
        </w:rPr>
        <w:t>Table: Plain-language AEGIS formal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Component</w:t>
            </w:r>
          </w:p>
        </w:tc>
        <w:tc>
          <w:tcPr>
            <w:tcW w:type="dxa" w:w="3009"/>
          </w:tcPr>
          <w:p>
            <w:pPr>
              <w:jc w:val="center"/>
            </w:pPr>
            <w:r>
              <w:rPr>
                <w:rFonts w:ascii="Times New Roman" w:hAnsi="Times New Roman"/>
                <w:b/>
                <w:sz w:val="21"/>
              </w:rPr>
            </w:r>
            <w:r>
              <w:rPr>
                <w:rFonts w:ascii="Times New Roman" w:hAnsi="Times New Roman"/>
                <w:b/>
                <w:sz w:val="21"/>
              </w:rPr>
              <w:t>Meaning in AEGIS</w:t>
            </w:r>
          </w:p>
        </w:tc>
        <w:tc>
          <w:tcPr>
            <w:tcW w:type="dxa" w:w="3009"/>
          </w:tcPr>
          <w:p>
            <w:pPr>
              <w:jc w:val="center"/>
            </w:pPr>
            <w:r>
              <w:rPr>
                <w:rFonts w:ascii="Times New Roman" w:hAnsi="Times New Roman"/>
                <w:b/>
                <w:sz w:val="21"/>
              </w:rPr>
            </w:r>
            <w:r>
              <w:rPr>
                <w:rFonts w:ascii="Times New Roman" w:hAnsi="Times New Roman"/>
                <w:b/>
                <w:sz w:val="21"/>
              </w:rPr>
              <w:t>Safety role</w:t>
            </w:r>
          </w:p>
        </w:tc>
      </w:tr>
      <w:tr>
        <w:tc>
          <w:tcPr>
            <w:tcW w:type="dxa" w:w="3009"/>
          </w:tcPr>
          <w:p>
            <w:r>
              <w:rPr>
                <w:rFonts w:ascii="Times New Roman" w:hAnsi="Times New Roman"/>
                <w:sz w:val="21"/>
              </w:rPr>
            </w:r>
            <w:r>
              <w:rPr>
                <w:rFonts w:ascii="Times New Roman" w:hAnsi="Times New Roman"/>
                <w:b w:val="0"/>
                <w:sz w:val="21"/>
              </w:rPr>
              <w:t>User request</w:t>
            </w:r>
          </w:p>
        </w:tc>
        <w:tc>
          <w:tcPr>
            <w:tcW w:type="dxa" w:w="3009"/>
          </w:tcPr>
          <w:p>
            <w:pPr>
              <w:jc w:val="center"/>
            </w:pPr>
            <w:r>
              <w:rPr>
                <w:rFonts w:ascii="Times New Roman" w:hAnsi="Times New Roman"/>
                <w:sz w:val="21"/>
              </w:rPr>
            </w:r>
            <w:r>
              <w:rPr>
                <w:rFonts w:ascii="Times New Roman" w:hAnsi="Times New Roman"/>
                <w:b w:val="0"/>
                <w:sz w:val="21"/>
              </w:rPr>
              <w:t>The original natural-language reporting question</w:t>
            </w:r>
          </w:p>
        </w:tc>
        <w:tc>
          <w:tcPr>
            <w:tcW w:type="dxa" w:w="3009"/>
          </w:tcPr>
          <w:p>
            <w:pPr>
              <w:jc w:val="center"/>
            </w:pPr>
            <w:r>
              <w:rPr>
                <w:rFonts w:ascii="Times New Roman" w:hAnsi="Times New Roman"/>
                <w:sz w:val="21"/>
              </w:rPr>
            </w:r>
            <w:r>
              <w:rPr>
                <w:rFonts w:ascii="Times New Roman" w:hAnsi="Times New Roman"/>
                <w:b w:val="0"/>
                <w:sz w:val="21"/>
              </w:rPr>
              <w:t>Never becomes SQL directly</w:t>
            </w:r>
          </w:p>
        </w:tc>
      </w:tr>
      <w:tr>
        <w:tc>
          <w:tcPr>
            <w:tcW w:type="dxa" w:w="3009"/>
          </w:tcPr>
          <w:p>
            <w:r>
              <w:rPr>
                <w:rFonts w:ascii="Times New Roman" w:hAnsi="Times New Roman"/>
                <w:sz w:val="21"/>
              </w:rPr>
            </w:r>
            <w:r>
              <w:rPr>
                <w:rFonts w:ascii="Times New Roman" w:hAnsi="Times New Roman"/>
                <w:b w:val="0"/>
                <w:sz w:val="21"/>
              </w:rPr>
              <w:t>Intent object</w:t>
            </w:r>
          </w:p>
        </w:tc>
        <w:tc>
          <w:tcPr>
            <w:tcW w:type="dxa" w:w="3009"/>
          </w:tcPr>
          <w:p>
            <w:pPr>
              <w:jc w:val="center"/>
            </w:pPr>
            <w:r>
              <w:rPr>
                <w:rFonts w:ascii="Times New Roman" w:hAnsi="Times New Roman"/>
                <w:sz w:val="21"/>
              </w:rPr>
            </w:r>
            <w:r>
              <w:rPr>
                <w:rFonts w:ascii="Times New Roman" w:hAnsi="Times New Roman"/>
                <w:b w:val="0"/>
                <w:sz w:val="21"/>
              </w:rPr>
              <w:t>Typed summary of metric, dimension, pattern, filter, time range, and limit</w:t>
            </w:r>
          </w:p>
        </w:tc>
        <w:tc>
          <w:tcPr>
            <w:tcW w:type="dxa" w:w="3009"/>
          </w:tcPr>
          <w:p>
            <w:pPr>
              <w:jc w:val="center"/>
            </w:pPr>
            <w:r>
              <w:rPr>
                <w:rFonts w:ascii="Times New Roman" w:hAnsi="Times New Roman"/>
                <w:sz w:val="21"/>
              </w:rPr>
            </w:r>
            <w:r>
              <w:rPr>
                <w:rFonts w:ascii="Times New Roman" w:hAnsi="Times New Roman"/>
                <w:b w:val="0"/>
                <w:sz w:val="21"/>
              </w:rPr>
              <w:t>Rejects fields outside the schema of allowed intent keys</w:t>
            </w:r>
          </w:p>
        </w:tc>
      </w:tr>
      <w:tr>
        <w:tc>
          <w:tcPr>
            <w:tcW w:type="dxa" w:w="3009"/>
          </w:tcPr>
          <w:p>
            <w:r>
              <w:rPr>
                <w:rFonts w:ascii="Times New Roman" w:hAnsi="Times New Roman"/>
                <w:sz w:val="21"/>
              </w:rPr>
            </w:r>
            <w:r>
              <w:rPr>
                <w:rFonts w:ascii="Times New Roman" w:hAnsi="Times New Roman"/>
                <w:b w:val="0"/>
                <w:sz w:val="21"/>
              </w:rPr>
              <w:t>Semantic layer</w:t>
            </w:r>
          </w:p>
        </w:tc>
        <w:tc>
          <w:tcPr>
            <w:tcW w:type="dxa" w:w="3009"/>
          </w:tcPr>
          <w:p>
            <w:pPr>
              <w:jc w:val="center"/>
            </w:pPr>
            <w:r>
              <w:rPr>
                <w:rFonts w:ascii="Times New Roman" w:hAnsi="Times New Roman"/>
                <w:sz w:val="21"/>
              </w:rPr>
            </w:r>
            <w:r>
              <w:rPr>
                <w:rFonts w:ascii="Times New Roman" w:hAnsi="Times New Roman"/>
                <w:b w:val="0"/>
                <w:sz w:val="21"/>
              </w:rPr>
              <w:t>Approved metrics, dimensions, join paths, patterns, visualization rules, and permissions</w:t>
            </w:r>
          </w:p>
        </w:tc>
        <w:tc>
          <w:tcPr>
            <w:tcW w:type="dxa" w:w="3009"/>
          </w:tcPr>
          <w:p>
            <w:pPr>
              <w:jc w:val="center"/>
            </w:pPr>
            <w:r>
              <w:rPr>
                <w:rFonts w:ascii="Times New Roman" w:hAnsi="Times New Roman"/>
                <w:sz w:val="21"/>
              </w:rPr>
            </w:r>
            <w:r>
              <w:rPr>
                <w:rFonts w:ascii="Times New Roman" w:hAnsi="Times New Roman"/>
                <w:b w:val="0"/>
                <w:sz w:val="21"/>
              </w:rPr>
              <w:t>Defines what the system is allowed to answer</w:t>
            </w:r>
          </w:p>
        </w:tc>
      </w:tr>
      <w:tr>
        <w:tc>
          <w:tcPr>
            <w:tcW w:type="dxa" w:w="3009"/>
          </w:tcPr>
          <w:p>
            <w:r>
              <w:rPr>
                <w:rFonts w:ascii="Times New Roman" w:hAnsi="Times New Roman"/>
                <w:sz w:val="21"/>
              </w:rPr>
            </w:r>
            <w:r>
              <w:rPr>
                <w:rFonts w:ascii="Times New Roman" w:hAnsi="Times New Roman"/>
                <w:b w:val="0"/>
                <w:sz w:val="21"/>
              </w:rPr>
              <w:t>Compiler</w:t>
            </w:r>
          </w:p>
        </w:tc>
        <w:tc>
          <w:tcPr>
            <w:tcW w:type="dxa" w:w="3009"/>
          </w:tcPr>
          <w:p>
            <w:pPr>
              <w:jc w:val="center"/>
            </w:pPr>
            <w:r>
              <w:rPr>
                <w:rFonts w:ascii="Times New Roman" w:hAnsi="Times New Roman"/>
                <w:sz w:val="21"/>
              </w:rPr>
            </w:r>
            <w:r>
              <w:rPr>
                <w:rFonts w:ascii="Times New Roman" w:hAnsi="Times New Roman"/>
                <w:b w:val="0"/>
                <w:sz w:val="21"/>
              </w:rPr>
              <w:t>Deterministic SQL builder using parameterized templates</w:t>
            </w:r>
          </w:p>
        </w:tc>
        <w:tc>
          <w:tcPr>
            <w:tcW w:type="dxa" w:w="3009"/>
          </w:tcPr>
          <w:p>
            <w:pPr>
              <w:jc w:val="center"/>
            </w:pPr>
            <w:r>
              <w:rPr>
                <w:rFonts w:ascii="Times New Roman" w:hAnsi="Times New Roman"/>
                <w:sz w:val="21"/>
              </w:rPr>
            </w:r>
            <w:r>
              <w:rPr>
                <w:rFonts w:ascii="Times New Roman" w:hAnsi="Times New Roman"/>
                <w:b w:val="0"/>
                <w:sz w:val="21"/>
              </w:rPr>
              <w:t>Produces read-only SQL from approved bindings only</w:t>
            </w:r>
          </w:p>
        </w:tc>
      </w:tr>
      <w:tr>
        <w:tc>
          <w:tcPr>
            <w:tcW w:type="dxa" w:w="3009"/>
          </w:tcPr>
          <w:p>
            <w:r>
              <w:rPr>
                <w:rFonts w:ascii="Times New Roman" w:hAnsi="Times New Roman"/>
                <w:sz w:val="21"/>
              </w:rPr>
            </w:r>
            <w:r>
              <w:rPr>
                <w:rFonts w:ascii="Times New Roman" w:hAnsi="Times New Roman"/>
                <w:b w:val="0"/>
                <w:sz w:val="21"/>
              </w:rPr>
              <w:t>Validator</w:t>
            </w:r>
          </w:p>
        </w:tc>
        <w:tc>
          <w:tcPr>
            <w:tcW w:type="dxa" w:w="3009"/>
          </w:tcPr>
          <w:p>
            <w:pPr>
              <w:jc w:val="center"/>
            </w:pPr>
            <w:r>
              <w:rPr>
                <w:rFonts w:ascii="Times New Roman" w:hAnsi="Times New Roman"/>
                <w:sz w:val="21"/>
              </w:rPr>
            </w:r>
            <w:r>
              <w:rPr>
                <w:rFonts w:ascii="Times New Roman" w:hAnsi="Times New Roman"/>
                <w:b w:val="0"/>
                <w:sz w:val="21"/>
              </w:rPr>
              <w:t>Post-compilation SQL safety scanner</w:t>
            </w:r>
          </w:p>
        </w:tc>
        <w:tc>
          <w:tcPr>
            <w:tcW w:type="dxa" w:w="3009"/>
          </w:tcPr>
          <w:p>
            <w:pPr>
              <w:jc w:val="center"/>
            </w:pPr>
            <w:r>
              <w:rPr>
                <w:rFonts w:ascii="Times New Roman" w:hAnsi="Times New Roman"/>
                <w:sz w:val="21"/>
              </w:rPr>
            </w:r>
            <w:r>
              <w:rPr>
                <w:rFonts w:ascii="Times New Roman" w:hAnsi="Times New Roman"/>
                <w:b w:val="0"/>
                <w:sz w:val="21"/>
              </w:rPr>
              <w:t>Blocks non-SELECT statements as defense in depth</w:t>
            </w:r>
          </w:p>
        </w:tc>
      </w:tr>
      <w:tr>
        <w:tc>
          <w:tcPr>
            <w:tcW w:type="dxa" w:w="3009"/>
          </w:tcPr>
          <w:p>
            <w:r>
              <w:rPr>
                <w:rFonts w:ascii="Times New Roman" w:hAnsi="Times New Roman"/>
                <w:sz w:val="21"/>
              </w:rPr>
            </w:r>
            <w:r>
              <w:rPr>
                <w:rFonts w:ascii="Times New Roman" w:hAnsi="Times New Roman"/>
                <w:b w:val="0"/>
                <w:sz w:val="21"/>
              </w:rPr>
              <w:t>Widget artifact</w:t>
            </w:r>
          </w:p>
        </w:tc>
        <w:tc>
          <w:tcPr>
            <w:tcW w:type="dxa" w:w="3009"/>
          </w:tcPr>
          <w:p>
            <w:pPr>
              <w:jc w:val="center"/>
            </w:pPr>
            <w:r>
              <w:rPr>
                <w:rFonts w:ascii="Times New Roman" w:hAnsi="Times New Roman"/>
                <w:sz w:val="21"/>
              </w:rPr>
            </w:r>
            <w:r>
              <w:rPr>
                <w:rFonts w:ascii="Times New Roman" w:hAnsi="Times New Roman"/>
                <w:b w:val="0"/>
                <w:sz w:val="21"/>
              </w:rPr>
              <w:t>Saved visualization and refresh plan</w:t>
            </w:r>
          </w:p>
        </w:tc>
        <w:tc>
          <w:tcPr>
            <w:tcW w:type="dxa" w:w="3009"/>
          </w:tcPr>
          <w:p>
            <w:pPr>
              <w:jc w:val="center"/>
            </w:pPr>
            <w:r>
              <w:rPr>
                <w:rFonts w:ascii="Times New Roman" w:hAnsi="Times New Roman"/>
                <w:sz w:val="21"/>
              </w:rPr>
            </w:r>
            <w:r>
              <w:rPr>
                <w:rFonts w:ascii="Times New Roman" w:hAnsi="Times New Roman"/>
                <w:b w:val="0"/>
                <w:sz w:val="21"/>
              </w:rPr>
              <w:t>Keeps a reusable audit trail of what was generated</w:t>
            </w:r>
          </w:p>
        </w:tc>
      </w:tr>
    </w:tbl>
    <w:p>
      <w:pPr>
        <w:spacing w:after="80"/>
      </w:pPr>
    </w:p>
    <w:p>
      <w:pPr>
        <w:spacing w:after="200" w:before="0" w:line="360" w:lineRule="auto"/>
        <w:jc w:val="both"/>
      </w:pPr>
      <w:r>
        <w:rPr>
          <w:rFonts w:ascii="Times New Roman" w:hAnsi="Times New Roman"/>
          <w:b w:val="0"/>
          <w:i w:val="0"/>
          <w:sz w:val="24"/>
        </w:rPr>
        <w:t>The safety claim is therefore simple: if the semantic layer and compiler templates are trusted, then untrusted user language cannot introduce a table, column, join, or write operation that the semantic layer did not approve. The LLM never receives authority to write executable SQL.</w:t>
      </w:r>
    </w:p>
    <w:p>
      <w:pPr>
        <w:spacing w:after="200" w:before="0" w:line="360" w:lineRule="auto"/>
        <w:jc w:val="both"/>
      </w:pPr>
      <w:r>
        <w:rPr>
          <w:rFonts w:ascii="Times New Roman" w:hAnsi="Times New Roman"/>
          <w:b/>
          <w:i w:val="0"/>
          <w:sz w:val="24"/>
        </w:rPr>
        <w:t xml:space="preserve">Safety proposition. </w:t>
      </w:r>
      <w:r>
        <w:rPr>
          <w:rFonts w:ascii="Times New Roman" w:hAnsi="Times New Roman"/>
          <w:b w:val="0"/>
          <w:i/>
          <w:sz w:val="24"/>
        </w:rPr>
        <w:t>No generated query can reference a table, column, or row that is not represented in the approved semantic layer for the user's role. All SQL identifiers are drawn from closed semantic bindings, and literal values are passed through parameterized SQL rather than string interpolation. SQL injection through untrusted natural-language input is structurally prevented by design.</w:t>
      </w:r>
    </w:p>
    <w:p>
      <w:pPr>
        <w:spacing w:after="0" w:before="0" w:line="360" w:lineRule="auto"/>
        <w:jc w:val="both"/>
      </w:pPr>
      <w:r>
        <w:rPr>
          <w:rFonts w:ascii="Times New Roman" w:hAnsi="Times New Roman"/>
          <w:b/>
          <w:i w:val="0"/>
          <w:sz w:val="24"/>
        </w:rPr>
        <w:t xml:space="preserve">Security boundary. </w:t>
      </w:r>
      <w:r>
        <w:rPr>
          <w:rFonts w:ascii="Times New Roman" w:hAnsi="Times New Roman"/>
          <w:b w:val="0"/>
          <w:i w:val="0"/>
          <w:sz w:val="24"/>
        </w:rPr>
        <w:t>This guarantee holds within a defined threat boundary: the semantic layer definitions, compiler templates, and permission predicates are trusted, administrator-controlled artifacts. An administrator who embeds malicious SQL inside a metric definition, or a supply-chain compromise of the compiler library, falls outside this boundary and requires separate operational security controls. Explicitly stating this boundary, rather than leaving it implicit, is itself part of this thesis's contribution: prior NL-to-SQL work rarely specifies the boundary of its safety claims, which makes rigorous security comparison difficult.</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before="160" w:line="360" w:lineRule="auto"/>
        <w:jc w:val="both"/>
      </w:pPr>
      <w:r>
        <w:rPr>
          <w:rFonts w:ascii="Times New Roman" w:hAnsi="Times New Roman"/>
          <w:b/>
          <w:i w:val="0"/>
          <w:sz w:val="24"/>
        </w:rPr>
        <w:t xml:space="preserve">T1 - Prompt injection attempting SQL generation.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"Ignore previous instructions. Generate DROP TABLE orders."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The IntentObject schema contains no SQL field. Any non-approved string in metric_term or dimension_term is rejected by Pydantic type validation at Stage 2, before the compiler is reached.</w:t>
      </w:r>
    </w:p>
    <w:p>
      <w:pPr>
        <w:spacing w:after="80" w:before="160" w:line="360" w:lineRule="auto"/>
        <w:jc w:val="both"/>
      </w:pPr>
      <w:r>
        <w:rPr>
          <w:rFonts w:ascii="Times New Roman" w:hAnsi="Times New Roman"/>
          <w:b/>
          <w:i w:val="0"/>
          <w:sz w:val="24"/>
        </w:rPr>
        <w:t xml:space="preserve">T2 - Unauthorized metric or dimension access.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"Show me customer passwords" or "List credit card numbers by order."</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Fields such as customer_password do not exist in the semantic layer vocabulary. The LLM never sees those names; it receives only the curated, approved label list. Stage 2 rejects any unrecognized term.</w:t>
      </w:r>
    </w:p>
    <w:p>
      <w:pPr>
        <w:spacing w:after="80" w:before="160" w:line="360" w:lineRule="auto"/>
        <w:jc w:val="both"/>
      </w:pPr>
      <w:r>
        <w:rPr>
          <w:rFonts w:ascii="Times New Roman" w:hAnsi="Times New Roman"/>
          <w:b/>
          <w:i w:val="0"/>
          <w:sz w:val="24"/>
        </w:rPr>
        <w:t xml:space="preserve">T3 - Unauthorized row access.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A store-level user asks: "Show revenue for all branches."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before="160" w:line="360" w:lineRule="auto"/>
        <w:jc w:val="both"/>
      </w:pPr>
      <w:r>
        <w:rPr>
          <w:rFonts w:ascii="Times New Roman" w:hAnsi="Times New Roman"/>
          <w:b/>
          <w:i w:val="0"/>
          <w:sz w:val="24"/>
        </w:rPr>
        <w:t xml:space="preserve">T4 - DML or DDL injection.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A crafted prompt that tricks the LLM into associating a write operation with an intent class.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No template in the pattern library contains a DML or DDL keyword. The AST-level post-compilation validator explicitly rejects any non-SELECT statement as a defense-in-depth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pStyle w:val="ListBullet"/>
        <w:spacing w:after="80" w:line="360" w:lineRule="auto"/>
      </w:pPr>
      <w:r>
        <w:rPr>
          <w:rFonts w:ascii="Times New Roman" w:hAnsi="Times New Roman"/>
          <w:sz w:val="24"/>
        </w:rPr>
        <w:t>A malicious administrator embedding arbitrary SQL inside a metric's sql_expr field.</w:t>
      </w:r>
    </w:p>
    <w:p>
      <w:pPr>
        <w:pStyle w:val="ListBullet"/>
        <w:spacing w:after="80" w:line="360" w:lineRule="auto"/>
      </w:pPr>
      <w:r>
        <w:rPr>
          <w:rFonts w:ascii="Times New Roman" w:hAnsi="Times New Roman"/>
          <w:sz w:val="24"/>
        </w:rPr>
        <w:t>Supply-chain compromise of the compiler module or the SQL parser library.</w:t>
      </w:r>
    </w:p>
    <w:p>
      <w:pPr>
        <w:pStyle w:val="ListBullet"/>
        <w:spacing w:after="80" w:line="360" w:lineRule="auto"/>
      </w:pPr>
      <w:r>
        <w:rPr>
          <w:rFonts w:ascii="Times New Roman" w:hAnsi="Times New Roman"/>
          <w:sz w:val="24"/>
        </w:rPr>
        <w:t>Database-level privilege escalation that bypasses the application layer.</w:t>
      </w:r>
    </w:p>
    <w:p>
      <w:pPr>
        <w:pStyle w:val="ListBullet"/>
        <w:spacing w:after="80" w:line="360" w:lineRule="auto"/>
      </w:pP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160" w:before="0" w:line="360" w:lineRule="auto"/>
        <w:jc w:val="both"/>
      </w:pPr>
      <w:r>
        <w:rPr>
          <w:rFonts w:ascii="Times New Roman" w:hAnsi="Times New Roman"/>
          <w:b/>
          <w:i w:val="0"/>
          <w:sz w:val="24"/>
        </w:rPr>
        <w:t xml:space="preserve">Stage 1 - Intent Extraction. </w:t>
      </w:r>
      <w:r>
        <w:rPr>
          <w:rFonts w:ascii="Times New Roman" w:hAnsi="Times New Roman"/>
          <w:b w:val="0"/>
          <w:i w:val="0"/>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160" w:before="0" w:line="360" w:lineRule="auto"/>
        <w:jc w:val="both"/>
      </w:pPr>
      <w:r>
        <w:rPr>
          <w:rFonts w:ascii="Times New Roman" w:hAnsi="Times New Roman"/>
          <w:b/>
          <w:i w:val="0"/>
          <w:sz w:val="24"/>
        </w:rPr>
        <w:t xml:space="preserve">Stage 2 - Coverage Validation. </w:t>
      </w:r>
      <w:r>
        <w:rPr>
          <w:rFonts w:ascii="Times New Roman" w:hAnsi="Times New Roman"/>
          <w:b w:val="0"/>
          <w:i w:val="0"/>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160" w:before="0" w:line="360" w:lineRule="auto"/>
        <w:jc w:val="both"/>
      </w:pPr>
      <w:r>
        <w:rPr>
          <w:rFonts w:ascii="Times New Roman" w:hAnsi="Times New Roman"/>
          <w:b/>
          <w:i w:val="0"/>
          <w:sz w:val="24"/>
        </w:rPr>
        <w:t xml:space="preserve">Stage 3 - Semantic Mapping. </w:t>
      </w:r>
      <w:r>
        <w:rPr>
          <w:rFonts w:ascii="Times New Roman" w:hAnsi="Times New Roman"/>
          <w:b w:val="0"/>
          <w:i w:val="0"/>
          <w:sz w:val="24"/>
        </w:rPr>
        <w:t>Business-logic aliases are expanded (for example, â€œabandonedâ€ maps to a specific OrderStatusId), and relative time expressions such as â€œthis monthâ€ are resolved to concrete date predicates.</w:t>
      </w:r>
    </w:p>
    <w:p>
      <w:pPr>
        <w:spacing w:after="160" w:before="0" w:line="360" w:lineRule="auto"/>
        <w:jc w:val="both"/>
      </w:pPr>
      <w:r>
        <w:rPr>
          <w:rFonts w:ascii="Times New Roman" w:hAnsi="Times New Roman"/>
          <w:b/>
          <w:i w:val="0"/>
          <w:sz w:val="24"/>
        </w:rPr>
        <w:t xml:space="preserve">Stage 4 - Permission Rewriting. </w:t>
      </w:r>
      <w:r>
        <w:rPr>
          <w:rFonts w:ascii="Times New Roman" w:hAnsi="Times New Roman"/>
          <w:b w:val="0"/>
          <w:i w:val="0"/>
          <w:sz w:val="24"/>
        </w:rPr>
        <w:t>A role-specific WHERE predicate is appended based on the authenticated user's session. This runs after the LLM has already finished, so no natural-language content can influence it.</w:t>
      </w:r>
    </w:p>
    <w:p>
      <w:pPr>
        <w:spacing w:after="160" w:before="0" w:line="360" w:lineRule="auto"/>
        <w:jc w:val="both"/>
      </w:pPr>
      <w:r>
        <w:rPr>
          <w:rFonts w:ascii="Times New Roman" w:hAnsi="Times New Roman"/>
          <w:b/>
          <w:i w:val="0"/>
          <w:sz w:val="24"/>
        </w:rPr>
        <w:t xml:space="preserve">Stage 5 - SQL Compilation. </w:t>
      </w:r>
      <w:r>
        <w:rPr>
          <w:rFonts w:ascii="Times New Roman" w:hAnsi="Times New Roman"/>
          <w:b w:val="0"/>
          <w:i w:val="0"/>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160" w:before="0" w:line="360" w:lineRule="auto"/>
        <w:jc w:val="both"/>
      </w:pPr>
      <w:r>
        <w:rPr>
          <w:rFonts w:ascii="Times New Roman" w:hAnsi="Times New Roman"/>
          <w:b/>
          <w:i w:val="0"/>
          <w:sz w:val="24"/>
        </w:rPr>
        <w:t xml:space="preserve">Stage 6 - Visualization Selection. </w:t>
      </w:r>
      <w:r>
        <w:rPr>
          <w:rFonts w:ascii="Times New Roman" w:hAnsi="Times New Roman"/>
          <w:b w:val="0"/>
          <w:i w:val="0"/>
          <w:sz w:val="24"/>
        </w:rPr>
        <w:t>A rule engine maps the intent class and result shape to a default chart type. This stage contains no learned model.</w:t>
      </w:r>
    </w:p>
    <w:p>
      <w:pPr>
        <w:spacing w:after="160" w:before="0" w:line="360" w:lineRule="auto"/>
        <w:jc w:val="both"/>
      </w:pPr>
      <w:r>
        <w:rPr>
          <w:rFonts w:ascii="Times New Roman" w:hAnsi="Times New Roman"/>
          <w:b/>
          <w:i w:val="0"/>
          <w:sz w:val="24"/>
        </w:rPr>
        <w:t xml:space="preserve">Stage 7 - Widget Persistence. </w:t>
      </w:r>
      <w:r>
        <w:rPr>
          <w:rFonts w:ascii="Times New Roman" w:hAnsi="Times New Roman"/>
          <w:b w:val="0"/>
          <w:i w:val="0"/>
          <w:sz w:val="24"/>
        </w:rPr>
        <w:t>The analysis plan is hashed (SHA-256) to detect duplicates, and the query, chart configuration, and access rules are stored as a widget artifact that can be refreshed on a schedule.</w:t>
      </w:r>
    </w:p>
    <w:tbl>
      <w:tblPr>
        <w:tblW w:type="auto" w:w="0"/>
        <w:jc w:val="center"/>
        <w:tblLayout w:type="fixed"/>
        <w:tblLook w:firstColumn="1" w:firstRow="1" w:lastColumn="0" w:lastRow="0" w:noHBand="0" w:noVBand="1" w:val="04A0"/>
      </w:tblPr>
      <w:tblGrid>
        <w:gridCol w:w="9072"/>
      </w:tblGrid>
      <w:tr>
        <w:trPr>
          <w:trHeight w:val="3168"/>
          <w:trHeight w:val="3168"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1 NOT YET INSERTED ]</w:t>
            </w:r>
          </w:p>
          <w:p>
            <w:pPr>
              <w:spacing w:after="160"/>
              <w:jc w:val="center"/>
            </w:pPr>
            <w:r>
              <w:rPr>
                <w:rFonts w:ascii="Times New Roman" w:hAnsi="Times New Roman"/>
                <w:b/>
                <w:color w:val="333333"/>
                <w:sz w:val="22"/>
              </w:rPr>
              <w:t>AEGIS architecture pipeline (User Request to Dashboard Widget)</w:t>
            </w:r>
          </w:p>
          <w:p>
            <w:pPr>
              <w:spacing w:after="280" w:line="300" w:lineRule="auto"/>
              <w:ind w:left="432" w:right="432"/>
              <w:jc w:val="center"/>
            </w:pPr>
            <w:r>
              <w:rPr>
                <w:rFonts w:ascii="Times New Roman" w:hAnsi="Times New Roman"/>
                <w:i/>
                <w:color w:val="555555"/>
                <w:sz w:val="19"/>
              </w:rPr>
              <w:t>A left-to-right flowchart of the seven stages in sequence: User Request, LLM Intent Parser, Coverage Validator, Semantic Mapper, Permission Rewriter, Safe Query Compiler, Query Executor, Visualization Selector, Widget Engine, and Dashboard. Color-code by responsibility: blue for the single AI/LLM stage, purple for semantic mapping, red for the two safety-enforcement stages (Permission Rewriter, Safe Query Compiler), green for execution/output stages. Add small orange branch arrows from Coverage Validator and Safe Query Compiler pointing to a 'Structured Clarification / Rejection Message' box, showing that invalid requests exit early with an actionable error rather than a silent failure.</w:t>
            </w:r>
          </w:p>
        </w:tc>
      </w:tr>
    </w:tbl>
    <w:p>
      <w:pPr>
        <w:spacing w:before="120" w:after="280"/>
        <w:jc w:val="center"/>
      </w:pPr>
      <w:r>
        <w:rPr>
          <w:rFonts w:ascii="Times New Roman" w:hAnsi="Times New Roman"/>
          <w:b/>
          <w:sz w:val="21"/>
        </w:rPr>
        <w:t>Figure 1: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2 NOT YET INSERTED ]</w:t>
            </w:r>
          </w:p>
          <w:p>
            <w:pPr>
              <w:spacing w:after="160"/>
              <w:jc w:val="center"/>
            </w:pPr>
            <w:r>
              <w:rPr>
                <w:rFonts w:ascii="Times New Roman" w:hAnsi="Times New Roman"/>
                <w:b/>
                <w:color w:val="333333"/>
                <w:sz w:val="22"/>
              </w:rPr>
              <w:t>Semantic layer modularity - composable blocks vs. free-form SQL generation</w:t>
            </w:r>
          </w:p>
          <w:p>
            <w:pPr>
              <w:spacing w:after="280" w:line="300" w:lineRule="auto"/>
              <w:ind w:left="432" w:right="432"/>
              <w:jc w:val="center"/>
            </w:pPr>
            <w:r>
              <w:rPr>
                <w:rFonts w:ascii="Times New Roman" w:hAnsi="Times New Roman"/>
                <w:i/>
                <w:color w:val="555555"/>
                <w:sz w:val="19"/>
              </w:rPr>
              <w:t>A split-panel comparison. LEFT panel, labeled 'AEGIS': a small set of labeled building blocks (Metric, Dimension, Filter, Join Path, Pattern) shown snapping together into two or three example complete query shapes, like LEGO bricks combining into a finished model. RIGHT panel, labeled 'Direct LLM-to-SQL': an unbounded free-form SQL string with a warning icon. The visual point is that AEGIS composes from a bounded set of safe parts while direct generation is unbounded and can take an unsafe shape.</w:t>
            </w:r>
          </w:p>
        </w:tc>
      </w:tr>
    </w:tbl>
    <w:p>
      <w:pPr>
        <w:spacing w:before="120" w:after="280"/>
        <w:jc w:val="center"/>
      </w:pPr>
      <w:r>
        <w:rPr>
          <w:rFonts w:ascii="Times New Roman" w:hAnsi="Times New Roman"/>
          <w:b/>
          <w:sz w:val="21"/>
        </w:rPr>
        <w:t>Figure 2: Semantic layer modularity - composable blocks vs. free-form SQL generation</w:t>
      </w:r>
    </w:p>
    <w:p>
      <w:pPr>
        <w:spacing w:before="200" w:after="80"/>
        <w:jc w:val="center"/>
      </w:pPr>
      <w:r>
        <w:rPr>
          <w:rFonts w:ascii="Times New Roman" w:hAnsi="Times New Roman"/>
          <w:b/>
          <w:sz w:val="22"/>
        </w:rPr>
        <w:t>Table 1: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Object</w:t>
            </w:r>
          </w:p>
        </w:tc>
        <w:tc>
          <w:tcPr>
            <w:tcW w:type="dxa" w:w="3009"/>
          </w:tcPr>
          <w:p>
            <w:pPr>
              <w:jc w:val="center"/>
            </w:pPr>
            <w:r>
              <w:rPr>
                <w:rFonts w:ascii="Times New Roman" w:hAnsi="Times New Roman"/>
                <w:b/>
                <w:sz w:val="21"/>
              </w:rPr>
            </w:r>
            <w:r>
              <w:rPr>
                <w:rFonts w:ascii="Times New Roman" w:hAnsi="Times New Roman"/>
                <w:b/>
                <w:sz w:val="21"/>
              </w:rPr>
              <w:t>Field</w:t>
            </w:r>
          </w:p>
        </w:tc>
        <w:tc>
          <w:tcPr>
            <w:tcW w:type="dxa" w:w="3009"/>
          </w:tcPr>
          <w:p>
            <w:pPr>
              <w:jc w:val="center"/>
            </w:pPr>
            <w:r>
              <w:rPr>
                <w:rFonts w:ascii="Times New Roman" w:hAnsi="Times New Roman"/>
                <w:b/>
                <w:sz w:val="21"/>
              </w:rPr>
            </w:r>
            <w:r>
              <w:rPr>
                <w:rFonts w:ascii="Times New Roman" w:hAnsi="Times New Roman"/>
                <w:b/>
                <w:sz w:val="21"/>
              </w:rPr>
              <w:t>Example</w:t>
            </w:r>
          </w:p>
        </w:tc>
      </w:tr>
      <w:tr>
        <w:tc>
          <w:tcPr>
            <w:tcW w:type="dxa" w:w="3009"/>
          </w:tcPr>
          <w:p>
            <w:r>
              <w:rPr>
                <w:rFonts w:ascii="Times New Roman" w:hAnsi="Times New Roman"/>
                <w:sz w:val="21"/>
              </w:rPr>
            </w:r>
            <w:r>
              <w:rPr>
                <w:rFonts w:ascii="Times New Roman" w:hAnsi="Times New Roman"/>
                <w:b w:val="0"/>
                <w:sz w:val="21"/>
              </w:rPr>
              <w:t>Metric</w:t>
            </w:r>
          </w:p>
        </w:tc>
        <w:tc>
          <w:tcPr>
            <w:tcW w:type="dxa" w:w="3009"/>
          </w:tcPr>
          <w:p>
            <w:pPr>
              <w:jc w:val="center"/>
            </w:pPr>
            <w:r>
              <w:rPr>
                <w:rFonts w:ascii="Times New Roman" w:hAnsi="Times New Roman"/>
                <w:sz w:val="21"/>
              </w:rPr>
            </w:r>
            <w:r>
              <w:rPr>
                <w:rFonts w:ascii="Times New Roman" w:hAnsi="Times New Roman"/>
                <w:b w:val="0"/>
                <w:sz w:val="21"/>
              </w:rPr>
              <w:t>label, SQL expression, joins, visual default, security class</w:t>
            </w:r>
          </w:p>
        </w:tc>
        <w:tc>
          <w:tcPr>
            <w:tcW w:type="dxa" w:w="3009"/>
          </w:tcPr>
          <w:p>
            <w:pPr>
              <w:jc w:val="center"/>
            </w:pPr>
            <w:r>
              <w:rPr>
                <w:rFonts w:ascii="Times New Roman" w:hAnsi="Times New Roman"/>
                <w:sz w:val="21"/>
              </w:rPr>
            </w:r>
            <w:r>
              <w:rPr>
                <w:rFonts w:ascii="Times New Roman" w:hAnsi="Times New Roman"/>
                <w:b w:val="0"/>
                <w:sz w:val="21"/>
              </w:rPr>
              <w:t>revenue = SUM(o.OrderTotal - o.RefundedAmount)</w:t>
            </w:r>
          </w:p>
        </w:tc>
      </w:tr>
      <w:tr>
        <w:tc>
          <w:tcPr>
            <w:tcW w:type="dxa" w:w="3009"/>
          </w:tcPr>
          <w:p>
            <w:r>
              <w:rPr>
                <w:rFonts w:ascii="Times New Roman" w:hAnsi="Times New Roman"/>
                <w:sz w:val="21"/>
              </w:rPr>
            </w:r>
            <w:r>
              <w:rPr>
                <w:rFonts w:ascii="Times New Roman" w:hAnsi="Times New Roman"/>
                <w:b w:val="0"/>
                <w:sz w:val="21"/>
              </w:rPr>
              <w:t>Dimension</w:t>
            </w:r>
          </w:p>
        </w:tc>
        <w:tc>
          <w:tcPr>
            <w:tcW w:type="dxa" w:w="3009"/>
          </w:tcPr>
          <w:p>
            <w:pPr>
              <w:jc w:val="center"/>
            </w:pPr>
            <w:r>
              <w:rPr>
                <w:rFonts w:ascii="Times New Roman" w:hAnsi="Times New Roman"/>
                <w:sz w:val="21"/>
              </w:rPr>
            </w:r>
            <w:r>
              <w:rPr>
                <w:rFonts w:ascii="Times New Roman" w:hAnsi="Times New Roman"/>
                <w:b w:val="0"/>
                <w:sz w:val="21"/>
              </w:rPr>
              <w:t>label, SQL expression, datatype, access scope</w:t>
            </w:r>
          </w:p>
        </w:tc>
        <w:tc>
          <w:tcPr>
            <w:tcW w:type="dxa" w:w="3009"/>
          </w:tcPr>
          <w:p>
            <w:pPr>
              <w:jc w:val="center"/>
            </w:pPr>
            <w:r>
              <w:rPr>
                <w:rFonts w:ascii="Times New Roman" w:hAnsi="Times New Roman"/>
                <w:sz w:val="21"/>
              </w:rPr>
            </w:r>
            <w:r>
              <w:rPr>
                <w:rFonts w:ascii="Times New Roman" w:hAnsi="Times New Roman"/>
                <w:b w:val="0"/>
                <w:sz w:val="21"/>
              </w:rPr>
              <w:t>category = c.Name from Category</w:t>
            </w:r>
          </w:p>
        </w:tc>
      </w:tr>
      <w:tr>
        <w:tc>
          <w:tcPr>
            <w:tcW w:type="dxa" w:w="3009"/>
          </w:tcPr>
          <w:p>
            <w:r>
              <w:rPr>
                <w:rFonts w:ascii="Times New Roman" w:hAnsi="Times New Roman"/>
                <w:sz w:val="21"/>
              </w:rPr>
            </w:r>
            <w:r>
              <w:rPr>
                <w:rFonts w:ascii="Times New Roman" w:hAnsi="Times New Roman"/>
                <w:b w:val="0"/>
                <w:sz w:val="21"/>
              </w:rPr>
              <w:t>Filter</w:t>
            </w:r>
          </w:p>
        </w:tc>
        <w:tc>
          <w:tcPr>
            <w:tcW w:type="dxa" w:w="3009"/>
          </w:tcPr>
          <w:p>
            <w:pPr>
              <w:jc w:val="center"/>
            </w:pPr>
            <w:r>
              <w:rPr>
                <w:rFonts w:ascii="Times New Roman" w:hAnsi="Times New Roman"/>
                <w:sz w:val="21"/>
              </w:rPr>
            </w:r>
            <w:r>
              <w:rPr>
                <w:rFonts w:ascii="Times New Roman" w:hAnsi="Times New Roman"/>
                <w:b w:val="0"/>
                <w:sz w:val="21"/>
              </w:rPr>
              <w:t>label, SQL predicate, datatype</w:t>
            </w:r>
          </w:p>
        </w:tc>
        <w:tc>
          <w:tcPr>
            <w:tcW w:type="dxa" w:w="3009"/>
          </w:tcPr>
          <w:p>
            <w:pPr>
              <w:jc w:val="center"/>
            </w:pPr>
            <w:r>
              <w:rPr>
                <w:rFonts w:ascii="Times New Roman" w:hAnsi="Times New Roman"/>
                <w:sz w:val="21"/>
              </w:rPr>
            </w:r>
            <w:r>
              <w:rPr>
                <w:rFonts w:ascii="Times New Roman" w:hAnsi="Times New Roman"/>
                <w:b w:val="0"/>
                <w:sz w:val="21"/>
              </w:rPr>
              <w:t>payment_status : o.PaymentStatusId = :val</w:t>
            </w:r>
          </w:p>
        </w:tc>
      </w:tr>
      <w:tr>
        <w:tc>
          <w:tcPr>
            <w:tcW w:type="dxa" w:w="3009"/>
          </w:tcPr>
          <w:p>
            <w:r>
              <w:rPr>
                <w:rFonts w:ascii="Times New Roman" w:hAnsi="Times New Roman"/>
                <w:sz w:val="21"/>
              </w:rPr>
            </w:r>
            <w:r>
              <w:rPr>
                <w:rFonts w:ascii="Times New Roman" w:hAnsi="Times New Roman"/>
                <w:b w:val="0"/>
                <w:sz w:val="21"/>
              </w:rPr>
              <w:t>Time rule</w:t>
            </w:r>
          </w:p>
        </w:tc>
        <w:tc>
          <w:tcPr>
            <w:tcW w:type="dxa" w:w="3009"/>
          </w:tcPr>
          <w:p>
            <w:pPr>
              <w:jc w:val="center"/>
            </w:pPr>
            <w:r>
              <w:rPr>
                <w:rFonts w:ascii="Times New Roman" w:hAnsi="Times New Roman"/>
                <w:sz w:val="21"/>
              </w:rPr>
            </w:r>
            <w:r>
              <w:rPr>
                <w:rFonts w:ascii="Times New Roman" w:hAnsi="Times New Roman"/>
                <w:b w:val="0"/>
                <w:sz w:val="21"/>
              </w:rPr>
              <w:t>label, SQL predicate, granularity</w:t>
            </w:r>
          </w:p>
        </w:tc>
        <w:tc>
          <w:tcPr>
            <w:tcW w:type="dxa" w:w="3009"/>
          </w:tcPr>
          <w:p>
            <w:pPr>
              <w:jc w:val="center"/>
            </w:pPr>
            <w:r>
              <w:rPr>
                <w:rFonts w:ascii="Times New Roman" w:hAnsi="Times New Roman"/>
                <w:sz w:val="21"/>
              </w:rPr>
            </w:r>
            <w:r>
              <w:rPr>
                <w:rFonts w:ascii="Times New Roman" w:hAnsi="Times New Roman"/>
                <w:b w:val="0"/>
                <w:sz w:val="21"/>
              </w:rPr>
              <w:t>current_week : DATEADD(week, ...)</w:t>
            </w:r>
          </w:p>
        </w:tc>
      </w:tr>
      <w:tr>
        <w:tc>
          <w:tcPr>
            <w:tcW w:type="dxa" w:w="3009"/>
          </w:tcPr>
          <w:p>
            <w:r>
              <w:rPr>
                <w:rFonts w:ascii="Times New Roman" w:hAnsi="Times New Roman"/>
                <w:sz w:val="21"/>
              </w:rPr>
            </w:r>
            <w:r>
              <w:rPr>
                <w:rFonts w:ascii="Times New Roman" w:hAnsi="Times New Roman"/>
                <w:b w:val="0"/>
                <w:sz w:val="21"/>
              </w:rPr>
              <w:t>Join path</w:t>
            </w:r>
          </w:p>
        </w:tc>
        <w:tc>
          <w:tcPr>
            <w:tcW w:type="dxa" w:w="3009"/>
          </w:tcPr>
          <w:p>
            <w:pPr>
              <w:jc w:val="center"/>
            </w:pPr>
            <w:r>
              <w:rPr>
                <w:rFonts w:ascii="Times New Roman" w:hAnsi="Times New Roman"/>
                <w:sz w:val="21"/>
              </w:rPr>
            </w:r>
            <w:r>
              <w:rPr>
                <w:rFonts w:ascii="Times New Roman" w:hAnsi="Times New Roman"/>
                <w:b w:val="0"/>
                <w:sz w:val="21"/>
              </w:rPr>
              <w:t>source, target, ON clause</w:t>
            </w:r>
          </w:p>
        </w:tc>
        <w:tc>
          <w:tcPr>
            <w:tcW w:type="dxa" w:w="3009"/>
          </w:tcPr>
          <w:p>
            <w:pPr>
              <w:jc w:val="center"/>
            </w:pPr>
            <w:r>
              <w:rPr>
                <w:rFonts w:ascii="Times New Roman" w:hAnsi="Times New Roman"/>
                <w:sz w:val="21"/>
              </w:rPr>
            </w:r>
            <w:r>
              <w:rPr>
                <w:rFonts w:ascii="Times New Roman" w:hAnsi="Times New Roman"/>
                <w:b w:val="0"/>
                <w:sz w:val="21"/>
              </w:rPr>
              <w:t>Order to OrderItem to Product to Category</w:t>
            </w:r>
          </w:p>
        </w:tc>
      </w:tr>
      <w:tr>
        <w:tc>
          <w:tcPr>
            <w:tcW w:type="dxa" w:w="3009"/>
          </w:tcPr>
          <w:p>
            <w:r>
              <w:rPr>
                <w:rFonts w:ascii="Times New Roman" w:hAnsi="Times New Roman"/>
                <w:sz w:val="21"/>
              </w:rPr>
            </w:r>
            <w:r>
              <w:rPr>
                <w:rFonts w:ascii="Times New Roman" w:hAnsi="Times New Roman"/>
                <w:b w:val="0"/>
                <w:sz w:val="21"/>
              </w:rPr>
              <w:t>Pattern</w:t>
            </w:r>
          </w:p>
        </w:tc>
        <w:tc>
          <w:tcPr>
            <w:tcW w:type="dxa" w:w="3009"/>
          </w:tcPr>
          <w:p>
            <w:pPr>
              <w:jc w:val="center"/>
            </w:pPr>
            <w:r>
              <w:rPr>
                <w:rFonts w:ascii="Times New Roman" w:hAnsi="Times New Roman"/>
                <w:sz w:val="21"/>
              </w:rPr>
            </w:r>
            <w:r>
              <w:rPr>
                <w:rFonts w:ascii="Times New Roman" w:hAnsi="Times New Roman"/>
                <w:b w:val="0"/>
                <w:sz w:val="21"/>
              </w:rPr>
              <w:t>required slots, SQL template, visualization default</w:t>
            </w:r>
          </w:p>
        </w:tc>
        <w:tc>
          <w:tcPr>
            <w:tcW w:type="dxa" w:w="3009"/>
          </w:tcPr>
          <w:p>
            <w:pPr>
              <w:jc w:val="center"/>
            </w:pPr>
            <w:r>
              <w:rPr>
                <w:rFonts w:ascii="Times New Roman" w:hAnsi="Times New Roman"/>
                <w:sz w:val="21"/>
              </w:rPr>
            </w:r>
            <w:r>
              <w:rPr>
                <w:rFonts w:ascii="Times New Roman" w:hAnsi="Times New Roman"/>
                <w:b w:val="0"/>
                <w:sz w:val="21"/>
              </w:rPr>
              <w:t>ranking: metric plus dimension maps to a bar chart</w:t>
            </w:r>
          </w:p>
        </w:tc>
      </w:tr>
      <w:tr>
        <w:tc>
          <w:tcPr>
            <w:tcW w:type="dxa" w:w="3009"/>
          </w:tcPr>
          <w:p>
            <w:r>
              <w:rPr>
                <w:rFonts w:ascii="Times New Roman" w:hAnsi="Times New Roman"/>
                <w:sz w:val="21"/>
              </w:rPr>
            </w:r>
            <w:r>
              <w:rPr>
                <w:rFonts w:ascii="Times New Roman" w:hAnsi="Times New Roman"/>
                <w:b w:val="0"/>
                <w:sz w:val="21"/>
              </w:rPr>
              <w:t>Permission</w:t>
            </w:r>
          </w:p>
        </w:tc>
        <w:tc>
          <w:tcPr>
            <w:tcW w:type="dxa" w:w="3009"/>
          </w:tcPr>
          <w:p>
            <w:pPr>
              <w:jc w:val="center"/>
            </w:pPr>
            <w:r>
              <w:rPr>
                <w:rFonts w:ascii="Times New Roman" w:hAnsi="Times New Roman"/>
                <w:sz w:val="21"/>
              </w:rPr>
            </w:r>
            <w:r>
              <w:rPr>
                <w:rFonts w:ascii="Times New Roman" w:hAnsi="Times New Roman"/>
                <w:b w:val="0"/>
                <w:sz w:val="21"/>
              </w:rPr>
              <w:t>rule</w:t>
            </w:r>
          </w:p>
        </w:tc>
        <w:tc>
          <w:tcPr>
            <w:tcW w:type="dxa" w:w="3009"/>
          </w:tcPr>
          <w:p>
            <w:pPr>
              <w:jc w:val="center"/>
            </w:pPr>
            <w:r>
              <w:rPr>
                <w:rFonts w:ascii="Times New Roman" w:hAnsi="Times New Roman"/>
                <w:sz w:val="21"/>
              </w:rPr>
            </w:r>
            <w:r>
              <w:rPr>
                <w:rFonts w:ascii="Times New Roman" w:hAnsi="Times New Roman"/>
                <w:b w:val="0"/>
                <w:sz w:val="21"/>
              </w:rPr>
              <w:t>store_manager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â€œshow me revenue by ScheduleTask,â€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3 NOT YET INSERTED ]</w:t>
            </w:r>
          </w:p>
          <w:p>
            <w:pPr>
              <w:spacing w:after="160"/>
              <w:jc w:val="center"/>
            </w:pPr>
            <w:r>
              <w:rPr>
                <w:rFonts w:ascii="Times New Roman" w:hAnsi="Times New Roman"/>
                <w:b/>
                <w:color w:val="333333"/>
                <w:sz w:val="22"/>
              </w:rPr>
              <w:t>Vocabulary injection workflow</w:t>
            </w:r>
          </w:p>
          <w:p>
            <w:pPr>
              <w:spacing w:after="280" w:line="300" w:lineRule="auto"/>
              <w:ind w:left="432" w:right="432"/>
              <w:jc w:val="center"/>
            </w:pPr>
            <w:r>
              <w:rPr>
                <w:rFonts w:ascii="Times New Roman" w:hAnsi="Times New Roman"/>
                <w:i/>
                <w:color w:val="555555"/>
                <w:sz w:val="19"/>
              </w:rPr>
              <w:t>A three-lane sequence diagram: 'Semantic Layer (semantic_layer.py)', 'System Prompt Builder', and 'LLM'. Show the Semantic Layer box listing a few example metric/dimension entries with plain-English descriptions; an arrow labeled 'serializes into ~1,100 tokens' into the System Prompt Builder; then into the LLM, whose output arrow produces an example IntentObject such as {metric_term: 'revenue', dimension_term: 'category'}. Annotate with a small callout showing the user phrase 'earnings' mapping to the approved ID 'revenue' even though 'earnings' appears in no synonym list.</w:t>
            </w:r>
          </w:p>
        </w:tc>
      </w:tr>
    </w:tbl>
    <w:p>
      <w:pPr>
        <w:spacing w:before="120" w:after="280"/>
        <w:jc w:val="center"/>
      </w:pPr>
      <w:r>
        <w:rPr>
          <w:rFonts w:ascii="Times New Roman" w:hAnsi="Times New Roman"/>
          <w:b/>
          <w:sz w:val="21"/>
        </w:rPr>
        <w:t>Figure 3: Vocabulary injection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4 NOT YET INSERTED ]</w:t>
            </w:r>
          </w:p>
          <w:p>
            <w:pPr>
              <w:spacing w:after="160"/>
              <w:jc w:val="center"/>
            </w:pPr>
            <w:r>
              <w:rPr>
                <w:rFonts w:ascii="Times New Roman" w:hAnsi="Times New Roman"/>
                <w:b/>
                <w:color w:val="333333"/>
                <w:sz w:val="22"/>
              </w:rPr>
              <w:t>Taxonomy of the eleven AEGIS analytical patterns</w:t>
            </w:r>
          </w:p>
          <w:p>
            <w:pPr>
              <w:spacing w:after="280" w:line="300" w:lineRule="auto"/>
              <w:ind w:left="432" w:right="432"/>
              <w:jc w:val="center"/>
            </w:pPr>
            <w:r>
              <w:rPr>
                <w:rFonts w:ascii="Times New Roman" w:hAnsi="Times New Roman"/>
                <w:i/>
                <w:color w:val="555555"/>
                <w:sz w:val="19"/>
              </w:rPr>
              <w:t>A tree or grid diagram with 'Eleven Analytical Patterns' at the top branching into eleven labeled leaves: KPI, Ranking, Trend, Comparison, Exception, Summary, Segment, Funnel, Cohort, Correlate, Tabular. Under each leaf, show a small icon of its default visualization (matching Table 2/3): card, bar chart, line chart, grouped bar, table, card grid, pie chart, funnel chart, grouped bar, scatter plot, table. Caption note: '~5,610 valid combinations across 15 metrics x 34 dimensions x 11 patterns.'</w:t>
            </w:r>
          </w:p>
        </w:tc>
      </w:tr>
    </w:tbl>
    <w:p>
      <w:pPr>
        <w:spacing w:before="120" w:after="280"/>
        <w:jc w:val="center"/>
      </w:pPr>
      <w:r>
        <w:rPr>
          <w:rFonts w:ascii="Times New Roman" w:hAnsi="Times New Roman"/>
          <w:b/>
          <w:sz w:val="21"/>
        </w:rPr>
        <w:t>Figure 4: Taxonomy of the eleven AEGIS analytical patterns</w:t>
      </w:r>
    </w:p>
    <w:p>
      <w:pPr>
        <w:spacing w:before="200" w:after="80"/>
        <w:jc w:val="center"/>
      </w:pPr>
      <w:r>
        <w:rPr>
          <w:rFonts w:ascii="Times New Roman" w:hAnsi="Times New Roman"/>
          <w:b/>
          <w:sz w:val="22"/>
        </w:rPr>
        <w:t>Table 2: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c>
          <w:tcPr>
            <w:tcW w:type="dxa" w:w="2256"/>
          </w:tcPr>
          <w:p>
            <w:pPr>
              <w:jc w:val="center"/>
            </w:pPr>
            <w:r>
              <w:rPr>
                <w:rFonts w:ascii="Times New Roman" w:hAnsi="Times New Roman"/>
                <w:b/>
                <w:sz w:val="21"/>
              </w:rPr>
            </w:r>
            <w:r>
              <w:rPr>
                <w:rFonts w:ascii="Times New Roman" w:hAnsi="Times New Roman"/>
                <w:b/>
                <w:sz w:val="21"/>
              </w:rPr>
              <w:t>Pattern</w:t>
            </w:r>
          </w:p>
        </w:tc>
        <w:tc>
          <w:tcPr>
            <w:tcW w:type="dxa" w:w="2256"/>
          </w:tcPr>
          <w:p>
            <w:pPr>
              <w:jc w:val="center"/>
            </w:pPr>
            <w:r>
              <w:rPr>
                <w:rFonts w:ascii="Times New Roman" w:hAnsi="Times New Roman"/>
                <w:b/>
                <w:sz w:val="21"/>
              </w:rPr>
            </w:r>
            <w:r>
              <w:rPr>
                <w:rFonts w:ascii="Times New Roman" w:hAnsi="Times New Roman"/>
                <w:b/>
                <w:sz w:val="21"/>
              </w:rPr>
              <w:t>Required slots</w:t>
            </w:r>
          </w:p>
        </w:tc>
        <w:tc>
          <w:tcPr>
            <w:tcW w:type="dxa" w:w="2256"/>
          </w:tcPr>
          <w:p>
            <w:pPr>
              <w:jc w:val="center"/>
            </w:pPr>
            <w:r>
              <w:rPr>
                <w:rFonts w:ascii="Times New Roman" w:hAnsi="Times New Roman"/>
                <w:b/>
                <w:sz w:val="21"/>
              </w:rPr>
            </w:r>
            <w:r>
              <w:rPr>
                <w:rFonts w:ascii="Times New Roman" w:hAnsi="Times New Roman"/>
                <w:b/>
                <w:sz w:val="21"/>
              </w:rPr>
              <w:t>Optional slots</w:t>
            </w:r>
          </w:p>
        </w:tc>
        <w:tc>
          <w:tcPr>
            <w:tcW w:type="dxa" w:w="2256"/>
          </w:tcPr>
          <w:p>
            <w:pPr>
              <w:jc w:val="center"/>
            </w:pPr>
            <w:r>
              <w:rPr>
                <w:rFonts w:ascii="Times New Roman" w:hAnsi="Times New Roman"/>
                <w:b/>
                <w:sz w:val="21"/>
              </w:rPr>
            </w:r>
            <w:r>
              <w:rPr>
                <w:rFonts w:ascii="Times New Roman" w:hAnsi="Times New Roman"/>
                <w:b/>
                <w:sz w:val="21"/>
              </w:rPr>
              <w:t>Default visual</w:t>
            </w:r>
          </w:p>
        </w:tc>
      </w:tr>
      <w:tr>
        <w:tc>
          <w:tcPr>
            <w:tcW w:type="dxa" w:w="2256"/>
          </w:tcPr>
          <w:p>
            <w:r>
              <w:rPr>
                <w:rFonts w:ascii="Times New Roman" w:hAnsi="Times New Roman"/>
                <w:sz w:val="21"/>
              </w:rPr>
            </w:r>
            <w:r>
              <w:rPr>
                <w:rFonts w:ascii="Times New Roman" w:hAnsi="Times New Roman"/>
                <w:b w:val="0"/>
                <w:sz w:val="21"/>
              </w:rPr>
              <w:t>KPI (Aggregate)</w:t>
            </w:r>
          </w:p>
        </w:tc>
        <w:tc>
          <w:tcPr>
            <w:tcW w:type="dxa" w:w="2256"/>
          </w:tcPr>
          <w:p>
            <w:pPr>
              <w:jc w:val="center"/>
            </w:pPr>
            <w:r>
              <w:rPr>
                <w:rFonts w:ascii="Times New Roman" w:hAnsi="Times New Roman"/>
                <w:sz w:val="21"/>
              </w:rPr>
            </w:r>
            <w:r>
              <w:rPr>
                <w:rFonts w:ascii="Times New Roman" w:hAnsi="Times New Roman"/>
                <w:b w:val="0"/>
                <w:sz w:val="21"/>
              </w:rPr>
              <w:t>metric</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kpi_card</w:t>
            </w:r>
          </w:p>
        </w:tc>
      </w:tr>
      <w:tr>
        <w:tc>
          <w:tcPr>
            <w:tcW w:type="dxa" w:w="2256"/>
          </w:tcPr>
          <w:p>
            <w:r>
              <w:rPr>
                <w:rFonts w:ascii="Times New Roman" w:hAnsi="Times New Roman"/>
                <w:sz w:val="21"/>
              </w:rPr>
            </w:r>
            <w:r>
              <w:rPr>
                <w:rFonts w:ascii="Times New Roman" w:hAnsi="Times New Roman"/>
                <w:b w:val="0"/>
                <w:sz w:val="21"/>
              </w:rPr>
              <w:t>Ranking</w:t>
            </w:r>
          </w:p>
        </w:tc>
        <w:tc>
          <w:tcPr>
            <w:tcW w:type="dxa" w:w="2256"/>
          </w:tcPr>
          <w:p>
            <w:pPr>
              <w:jc w:val="center"/>
            </w:pPr>
            <w:r>
              <w:rPr>
                <w:rFonts w:ascii="Times New Roman" w:hAnsi="Times New Roman"/>
                <w:sz w:val="21"/>
              </w:rPr>
            </w:r>
            <w:r>
              <w:rPr>
                <w:rFonts w:ascii="Times New Roman" w:hAnsi="Times New Roman"/>
                <w:b w:val="0"/>
                <w:sz w:val="21"/>
              </w:rPr>
              <w:t>metric, dimension</w:t>
            </w:r>
          </w:p>
        </w:tc>
        <w:tc>
          <w:tcPr>
            <w:tcW w:type="dxa" w:w="2256"/>
          </w:tcPr>
          <w:p>
            <w:pPr>
              <w:jc w:val="center"/>
            </w:pPr>
            <w:r>
              <w:rPr>
                <w:rFonts w:ascii="Times New Roman" w:hAnsi="Times New Roman"/>
                <w:sz w:val="21"/>
              </w:rPr>
            </w:r>
            <w:r>
              <w:rPr>
                <w:rFonts w:ascii="Times New Roman" w:hAnsi="Times New Roman"/>
                <w:b w:val="0"/>
                <w:sz w:val="21"/>
              </w:rPr>
              <w:t>time_rule, filter, limit</w:t>
            </w:r>
          </w:p>
        </w:tc>
        <w:tc>
          <w:tcPr>
            <w:tcW w:type="dxa" w:w="2256"/>
          </w:tcPr>
          <w:p>
            <w:pPr>
              <w:jc w:val="center"/>
            </w:pPr>
            <w:r>
              <w:rPr>
                <w:rFonts w:ascii="Times New Roman" w:hAnsi="Times New Roman"/>
                <w:sz w:val="21"/>
              </w:rPr>
            </w:r>
            <w:r>
              <w:rPr>
                <w:rFonts w:ascii="Times New Roman" w:hAnsi="Times New Roman"/>
                <w:b w:val="0"/>
                <w:sz w:val="21"/>
              </w:rPr>
              <w:t>bar_chart</w:t>
            </w:r>
          </w:p>
        </w:tc>
      </w:tr>
      <w:tr>
        <w:tc>
          <w:tcPr>
            <w:tcW w:type="dxa" w:w="2256"/>
          </w:tcPr>
          <w:p>
            <w:r>
              <w:rPr>
                <w:rFonts w:ascii="Times New Roman" w:hAnsi="Times New Roman"/>
                <w:sz w:val="21"/>
              </w:rPr>
            </w:r>
            <w:r>
              <w:rPr>
                <w:rFonts w:ascii="Times New Roman" w:hAnsi="Times New Roman"/>
                <w:b w:val="0"/>
                <w:sz w:val="21"/>
              </w:rPr>
              <w:t>Trend</w:t>
            </w:r>
          </w:p>
        </w:tc>
        <w:tc>
          <w:tcPr>
            <w:tcW w:type="dxa" w:w="2256"/>
          </w:tcPr>
          <w:p>
            <w:pPr>
              <w:jc w:val="center"/>
            </w:pPr>
            <w:r>
              <w:rPr>
                <w:rFonts w:ascii="Times New Roman" w:hAnsi="Times New Roman"/>
                <w:sz w:val="21"/>
              </w:rPr>
            </w:r>
            <w:r>
              <w:rPr>
                <w:rFonts w:ascii="Times New Roman" w:hAnsi="Times New Roman"/>
                <w:b w:val="0"/>
                <w:sz w:val="21"/>
              </w:rPr>
              <w:t>metric, time_grain</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line_chart</w:t>
            </w:r>
          </w:p>
        </w:tc>
      </w:tr>
      <w:tr>
        <w:tc>
          <w:tcPr>
            <w:tcW w:type="dxa" w:w="2256"/>
          </w:tcPr>
          <w:p>
            <w:r>
              <w:rPr>
                <w:rFonts w:ascii="Times New Roman" w:hAnsi="Times New Roman"/>
                <w:sz w:val="21"/>
              </w:rPr>
            </w:r>
            <w:r>
              <w:rPr>
                <w:rFonts w:ascii="Times New Roman" w:hAnsi="Times New Roman"/>
                <w:b w:val="0"/>
                <w:sz w:val="21"/>
              </w:rPr>
              <w:t>Comparison</w:t>
            </w:r>
          </w:p>
        </w:tc>
        <w:tc>
          <w:tcPr>
            <w:tcW w:type="dxa" w:w="2256"/>
          </w:tcPr>
          <w:p>
            <w:pPr>
              <w:jc w:val="center"/>
            </w:pPr>
            <w:r>
              <w:rPr>
                <w:rFonts w:ascii="Times New Roman" w:hAnsi="Times New Roman"/>
                <w:sz w:val="21"/>
              </w:rPr>
            </w:r>
            <w:r>
              <w:rPr>
                <w:rFonts w:ascii="Times New Roman" w:hAnsi="Times New Roman"/>
                <w:b w:val="0"/>
                <w:sz w:val="21"/>
              </w:rPr>
              <w:t>metric, segment</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grouped_bar</w:t>
            </w:r>
          </w:p>
        </w:tc>
      </w:tr>
      <w:tr>
        <w:tc>
          <w:tcPr>
            <w:tcW w:type="dxa" w:w="2256"/>
          </w:tcPr>
          <w:p>
            <w:r>
              <w:rPr>
                <w:rFonts w:ascii="Times New Roman" w:hAnsi="Times New Roman"/>
                <w:sz w:val="21"/>
              </w:rPr>
            </w:r>
            <w:r>
              <w:rPr>
                <w:rFonts w:ascii="Times New Roman" w:hAnsi="Times New Roman"/>
                <w:b w:val="0"/>
                <w:sz w:val="21"/>
              </w:rPr>
              <w:t>Exception</w:t>
            </w:r>
          </w:p>
        </w:tc>
        <w:tc>
          <w:tcPr>
            <w:tcW w:type="dxa" w:w="2256"/>
          </w:tcPr>
          <w:p>
            <w:pPr>
              <w:jc w:val="center"/>
            </w:pPr>
            <w:r>
              <w:rPr>
                <w:rFonts w:ascii="Times New Roman" w:hAnsi="Times New Roman"/>
                <w:sz w:val="21"/>
              </w:rPr>
            </w:r>
            <w:r>
              <w:rPr>
                <w:rFonts w:ascii="Times New Roman" w:hAnsi="Times New Roman"/>
                <w:b w:val="0"/>
                <w:sz w:val="21"/>
              </w:rPr>
              <w:t>metric, threshold</w:t>
            </w:r>
          </w:p>
        </w:tc>
        <w:tc>
          <w:tcPr>
            <w:tcW w:type="dxa" w:w="2256"/>
          </w:tcPr>
          <w:p>
            <w:pPr>
              <w:jc w:val="center"/>
            </w:pPr>
            <w:r>
              <w:rPr>
                <w:rFonts w:ascii="Times New Roman" w:hAnsi="Times New Roman"/>
                <w:sz w:val="21"/>
              </w:rPr>
            </w:r>
            <w:r>
              <w:rPr>
                <w:rFonts w:ascii="Times New Roman" w:hAnsi="Times New Roman"/>
                <w:b w:val="0"/>
                <w:sz w:val="21"/>
              </w:rPr>
              <w:t>dimension, time_rule</w:t>
            </w:r>
          </w:p>
        </w:tc>
        <w:tc>
          <w:tcPr>
            <w:tcW w:type="dxa" w:w="2256"/>
          </w:tcPr>
          <w:p>
            <w:pPr>
              <w:jc w:val="center"/>
            </w:pPr>
            <w:r>
              <w:rPr>
                <w:rFonts w:ascii="Times New Roman" w:hAnsi="Times New Roman"/>
                <w:sz w:val="21"/>
              </w:rPr>
            </w:r>
            <w:r>
              <w:rPr>
                <w:rFonts w:ascii="Times New Roman" w:hAnsi="Times New Roman"/>
                <w:b w:val="0"/>
                <w:sz w:val="21"/>
              </w:rPr>
              <w:t>table</w:t>
            </w:r>
          </w:p>
        </w:tc>
      </w:tr>
      <w:tr>
        <w:tc>
          <w:tcPr>
            <w:tcW w:type="dxa" w:w="2256"/>
          </w:tcPr>
          <w:p>
            <w:r>
              <w:rPr>
                <w:rFonts w:ascii="Times New Roman" w:hAnsi="Times New Roman"/>
                <w:sz w:val="21"/>
              </w:rPr>
            </w:r>
            <w:r>
              <w:rPr>
                <w:rFonts w:ascii="Times New Roman" w:hAnsi="Times New Roman"/>
                <w:b w:val="0"/>
                <w:sz w:val="21"/>
              </w:rPr>
              <w:t>Summary</w:t>
            </w:r>
          </w:p>
        </w:tc>
        <w:tc>
          <w:tcPr>
            <w:tcW w:type="dxa" w:w="2256"/>
          </w:tcPr>
          <w:p>
            <w:pPr>
              <w:jc w:val="center"/>
            </w:pPr>
            <w:r>
              <w:rPr>
                <w:rFonts w:ascii="Times New Roman" w:hAnsi="Times New Roman"/>
                <w:sz w:val="21"/>
              </w:rPr>
            </w:r>
            <w:r>
              <w:rPr>
                <w:rFonts w:ascii="Times New Roman" w:hAnsi="Times New Roman"/>
                <w:b w:val="0"/>
                <w:sz w:val="21"/>
              </w:rPr>
              <w:t>metric[], dimension</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multi_card</w:t>
            </w:r>
          </w:p>
        </w:tc>
      </w:tr>
      <w:tr>
        <w:tc>
          <w:tcPr>
            <w:tcW w:type="dxa" w:w="2256"/>
          </w:tcPr>
          <w:p>
            <w:r>
              <w:rPr>
                <w:rFonts w:ascii="Times New Roman" w:hAnsi="Times New Roman"/>
                <w:sz w:val="21"/>
              </w:rPr>
            </w:r>
            <w:r>
              <w:rPr>
                <w:rFonts w:ascii="Times New Roman" w:hAnsi="Times New Roman"/>
                <w:b w:val="0"/>
                <w:sz w:val="21"/>
              </w:rPr>
              <w:t>Segment</w:t>
            </w:r>
          </w:p>
        </w:tc>
        <w:tc>
          <w:tcPr>
            <w:tcW w:type="dxa" w:w="2256"/>
          </w:tcPr>
          <w:p>
            <w:pPr>
              <w:jc w:val="center"/>
            </w:pPr>
            <w:r>
              <w:rPr>
                <w:rFonts w:ascii="Times New Roman" w:hAnsi="Times New Roman"/>
                <w:sz w:val="21"/>
              </w:rPr>
            </w:r>
            <w:r>
              <w:rPr>
                <w:rFonts w:ascii="Times New Roman" w:hAnsi="Times New Roman"/>
                <w:b w:val="0"/>
                <w:sz w:val="21"/>
              </w:rPr>
              <w:t>metric, dimension</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pie_chart</w:t>
            </w:r>
          </w:p>
        </w:tc>
      </w:tr>
      <w:tr>
        <w:tc>
          <w:tcPr>
            <w:tcW w:type="dxa" w:w="2256"/>
          </w:tcPr>
          <w:p>
            <w:r>
              <w:rPr>
                <w:rFonts w:ascii="Times New Roman" w:hAnsi="Times New Roman"/>
                <w:sz w:val="21"/>
              </w:rPr>
            </w:r>
            <w:r>
              <w:rPr>
                <w:rFonts w:ascii="Times New Roman" w:hAnsi="Times New Roman"/>
                <w:b w:val="0"/>
                <w:sz w:val="21"/>
              </w:rPr>
              <w:t>Funnel</w:t>
            </w:r>
          </w:p>
        </w:tc>
        <w:tc>
          <w:tcPr>
            <w:tcW w:type="dxa" w:w="2256"/>
          </w:tcPr>
          <w:p>
            <w:pPr>
              <w:jc w:val="center"/>
            </w:pPr>
            <w:r>
              <w:rPr>
                <w:rFonts w:ascii="Times New Roman" w:hAnsi="Times New Roman"/>
                <w:sz w:val="21"/>
              </w:rPr>
            </w:r>
            <w:r>
              <w:rPr>
                <w:rFonts w:ascii="Times New Roman" w:hAnsi="Times New Roman"/>
                <w:b w:val="0"/>
                <w:sz w:val="21"/>
              </w:rPr>
              <w:t>metric, stages</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funnel_chart</w:t>
            </w:r>
          </w:p>
        </w:tc>
      </w:tr>
      <w:tr>
        <w:tc>
          <w:tcPr>
            <w:tcW w:type="dxa" w:w="2256"/>
          </w:tcPr>
          <w:p>
            <w:r>
              <w:rPr>
                <w:rFonts w:ascii="Times New Roman" w:hAnsi="Times New Roman"/>
                <w:sz w:val="21"/>
              </w:rPr>
            </w:r>
            <w:r>
              <w:rPr>
                <w:rFonts w:ascii="Times New Roman" w:hAnsi="Times New Roman"/>
                <w:b w:val="0"/>
                <w:sz w:val="21"/>
              </w:rPr>
              <w:t>Cohort</w:t>
            </w:r>
          </w:p>
        </w:tc>
        <w:tc>
          <w:tcPr>
            <w:tcW w:type="dxa" w:w="2256"/>
          </w:tcPr>
          <w:p>
            <w:pPr>
              <w:jc w:val="center"/>
            </w:pPr>
            <w:r>
              <w:rPr>
                <w:rFonts w:ascii="Times New Roman" w:hAnsi="Times New Roman"/>
                <w:sz w:val="21"/>
              </w:rPr>
            </w:r>
            <w:r>
              <w:rPr>
                <w:rFonts w:ascii="Times New Roman" w:hAnsi="Times New Roman"/>
                <w:b w:val="0"/>
                <w:sz w:val="21"/>
              </w:rPr>
              <w:t>metric, group_def</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grouped_bar</w:t>
            </w:r>
          </w:p>
        </w:tc>
      </w:tr>
      <w:tr>
        <w:tc>
          <w:tcPr>
            <w:tcW w:type="dxa" w:w="2256"/>
          </w:tcPr>
          <w:p>
            <w:r>
              <w:rPr>
                <w:rFonts w:ascii="Times New Roman" w:hAnsi="Times New Roman"/>
                <w:sz w:val="21"/>
              </w:rPr>
            </w:r>
            <w:r>
              <w:rPr>
                <w:rFonts w:ascii="Times New Roman" w:hAnsi="Times New Roman"/>
                <w:b w:val="0"/>
                <w:sz w:val="21"/>
              </w:rPr>
              <w:t>Correlate</w:t>
            </w:r>
          </w:p>
        </w:tc>
        <w:tc>
          <w:tcPr>
            <w:tcW w:type="dxa" w:w="2256"/>
          </w:tcPr>
          <w:p>
            <w:pPr>
              <w:jc w:val="center"/>
            </w:pPr>
            <w:r>
              <w:rPr>
                <w:rFonts w:ascii="Times New Roman" w:hAnsi="Times New Roman"/>
                <w:sz w:val="21"/>
              </w:rPr>
            </w:r>
            <w:r>
              <w:rPr>
                <w:rFonts w:ascii="Times New Roman" w:hAnsi="Times New Roman"/>
                <w:b w:val="0"/>
                <w:sz w:val="21"/>
              </w:rPr>
              <w:t>metric, attribute</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scatter_plot</w:t>
            </w:r>
          </w:p>
        </w:tc>
      </w:tr>
      <w:tr>
        <w:tc>
          <w:tcPr>
            <w:tcW w:type="dxa" w:w="2256"/>
          </w:tcPr>
          <w:p>
            <w:r>
              <w:rPr>
                <w:rFonts w:ascii="Times New Roman" w:hAnsi="Times New Roman"/>
                <w:sz w:val="21"/>
              </w:rPr>
            </w:r>
            <w:r>
              <w:rPr>
                <w:rFonts w:ascii="Times New Roman" w:hAnsi="Times New Roman"/>
                <w:b w:val="0"/>
                <w:sz w:val="21"/>
              </w:rPr>
              <w:t>Tabular</w:t>
            </w:r>
          </w:p>
        </w:tc>
        <w:tc>
          <w:tcPr>
            <w:tcW w:type="dxa" w:w="2256"/>
          </w:tcPr>
          <w:p>
            <w:pPr>
              <w:jc w:val="center"/>
            </w:pPr>
            <w:r>
              <w:rPr>
                <w:rFonts w:ascii="Times New Roman" w:hAnsi="Times New Roman"/>
                <w:sz w:val="21"/>
              </w:rPr>
            </w:r>
            <w:r>
              <w:rPr>
                <w:rFonts w:ascii="Times New Roman" w:hAnsi="Times New Roman"/>
                <w:b w:val="0"/>
                <w:sz w:val="21"/>
              </w:rPr>
              <w:t>dimension</w:t>
            </w:r>
          </w:p>
        </w:tc>
        <w:tc>
          <w:tcPr>
            <w:tcW w:type="dxa" w:w="2256"/>
          </w:tcPr>
          <w:p>
            <w:pPr>
              <w:jc w:val="center"/>
            </w:pPr>
            <w:r>
              <w:rPr>
                <w:rFonts w:ascii="Times New Roman" w:hAnsi="Times New Roman"/>
                <w:sz w:val="21"/>
              </w:rPr>
            </w:r>
            <w:r>
              <w:rPr>
                <w:rFonts w:ascii="Times New Roman" w:hAnsi="Times New Roman"/>
                <w:b w:val="0"/>
                <w:sz w:val="21"/>
              </w:rPr>
              <w:t>filters, time_rule</w:t>
            </w:r>
          </w:p>
        </w:tc>
        <w:tc>
          <w:tcPr>
            <w:tcW w:type="dxa" w:w="2256"/>
          </w:tcPr>
          <w:p>
            <w:pPr>
              <w:jc w:val="center"/>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After placeholder substitution, 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6 NOT YET INSERTED ]</w:t>
            </w:r>
          </w:p>
          <w:p>
            <w:pPr>
              <w:spacing w:after="160"/>
              <w:jc w:val="center"/>
            </w:pPr>
            <w:r>
              <w:rPr>
                <w:rFonts w:ascii="Times New Roman" w:hAnsi="Times New Roman"/>
                <w:b/>
                <w:color w:val="333333"/>
                <w:sz w:val="22"/>
              </w:rPr>
              <w:t>Two-layer SQL safety defence</w:t>
            </w:r>
          </w:p>
          <w:p>
            <w:pPr>
              <w:spacing w:after="280" w:line="300" w:lineRule="auto"/>
              <w:ind w:left="432" w:right="432"/>
              <w:jc w:val="center"/>
            </w:pPr>
            <w:r>
              <w:rPr>
                <w:rFonts w:ascii="Times New Roman" w:hAnsi="Times New Roman"/>
                <w:i/>
                <w:color w:val="555555"/>
                <w:sz w:val="19"/>
              </w:rPr>
              <w:t>A vertical two-stage flowchart. A crafted/adversarial input enters at the top with a warning icon. Layer 1 box: 'Parameterized Query Engine â€” user text never enters the SQL string; only IDs and bound values appear.' Arrow down to Layer 2 box: 'Post-Compilation Safety Scanner â€” rejects non-SELECT statements, UNION/EXCEPT/INTERSECT, EXEC, and system-table references (16 forbidden patterns checked).' Below, split into two outcomes: a green 'Safe SQL Executed' box for a legitimate query, and a red 'SecurityError Raised' box for a rejected one, showing the attack is caught before it can reach the database regardless of which layer catches it.</w:t>
            </w:r>
          </w:p>
        </w:tc>
      </w:tr>
    </w:tbl>
    <w:p>
      <w:pPr>
        <w:spacing w:before="120" w:after="280"/>
        <w:jc w:val="center"/>
      </w:pPr>
      <w:r>
        <w:rPr>
          <w:rFonts w:ascii="Times New Roman" w:hAnsi="Times New Roman"/>
          <w:b/>
          <w:sz w:val="21"/>
        </w:rPr>
        <w:t>Figure 6: Two-layer SQL safety defence</w:t>
      </w:r>
    </w:p>
    <w:p>
      <w:pPr>
        <w:spacing w:before="320" w:after="160"/>
        <w:jc w:val="left"/>
      </w:pPr>
      <w:r>
        <w:rPr>
          <w:rFonts w:ascii="Times New Roman" w:hAnsi="Times New Roman"/>
          <w:b/>
          <w:sz w:val="28"/>
        </w:rPr>
        <w:t>3.10  Visualization Selector</w:t>
      </w:r>
    </w:p>
    <w:p>
      <w:pPr>
        <w:spacing w:before="200" w:after="80"/>
        <w:jc w:val="center"/>
      </w:pPr>
      <w:r>
        <w:rPr>
          <w:rFonts w:ascii="Times New Roman" w:hAnsi="Times New Roman"/>
          <w:b/>
          <w:sz w:val="22"/>
        </w:rPr>
        <w:t>Table 3: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Intent</w:t>
            </w:r>
          </w:p>
        </w:tc>
        <w:tc>
          <w:tcPr>
            <w:tcW w:type="dxa" w:w="3009"/>
          </w:tcPr>
          <w:p>
            <w:pPr>
              <w:jc w:val="center"/>
            </w:pPr>
            <w:r>
              <w:rPr>
                <w:rFonts w:ascii="Times New Roman" w:hAnsi="Times New Roman"/>
                <w:b/>
                <w:sz w:val="21"/>
              </w:rPr>
            </w:r>
            <w:r>
              <w:rPr>
                <w:rFonts w:ascii="Times New Roman" w:hAnsi="Times New Roman"/>
                <w:b/>
                <w:sz w:val="21"/>
              </w:rPr>
              <w:t>Result shape</w:t>
            </w:r>
          </w:p>
        </w:tc>
        <w:tc>
          <w:tcPr>
            <w:tcW w:type="dxa" w:w="3009"/>
          </w:tcPr>
          <w:p>
            <w:pPr>
              <w:jc w:val="center"/>
            </w:pPr>
            <w:r>
              <w:rPr>
                <w:rFonts w:ascii="Times New Roman" w:hAnsi="Times New Roman"/>
                <w:b/>
                <w:sz w:val="21"/>
              </w:rPr>
            </w:r>
            <w:r>
              <w:rPr>
                <w:rFonts w:ascii="Times New Roman" w:hAnsi="Times New Roman"/>
                <w:b/>
                <w:sz w:val="21"/>
              </w:rPr>
              <w:t>Selected visualization</w:t>
            </w:r>
          </w:p>
        </w:tc>
      </w:tr>
      <w:tr>
        <w:tc>
          <w:tcPr>
            <w:tcW w:type="dxa" w:w="3009"/>
          </w:tcPr>
          <w:p>
            <w:r>
              <w:rPr>
                <w:rFonts w:ascii="Times New Roman" w:hAnsi="Times New Roman"/>
                <w:sz w:val="21"/>
              </w:rPr>
            </w:r>
            <w:r>
              <w:rPr>
                <w:rFonts w:ascii="Times New Roman" w:hAnsi="Times New Roman"/>
                <w:b w:val="0"/>
                <w:sz w:val="21"/>
              </w:rPr>
              <w:t>KPI</w:t>
            </w:r>
          </w:p>
        </w:tc>
        <w:tc>
          <w:tcPr>
            <w:tcW w:type="dxa" w:w="3009"/>
          </w:tcPr>
          <w:p>
            <w:pPr>
              <w:jc w:val="center"/>
            </w:pPr>
            <w:r>
              <w:rPr>
                <w:rFonts w:ascii="Times New Roman" w:hAnsi="Times New Roman"/>
                <w:sz w:val="21"/>
              </w:rPr>
            </w:r>
            <w:r>
              <w:rPr>
                <w:rFonts w:ascii="Times New Roman" w:hAnsi="Times New Roman"/>
                <w:b w:val="0"/>
                <w:sz w:val="21"/>
              </w:rPr>
              <w:t>scalar</w:t>
            </w:r>
          </w:p>
        </w:tc>
        <w:tc>
          <w:tcPr>
            <w:tcW w:type="dxa" w:w="3009"/>
          </w:tcPr>
          <w:p>
            <w:pPr>
              <w:jc w:val="center"/>
            </w:pPr>
            <w:r>
              <w:rPr>
                <w:rFonts w:ascii="Times New Roman" w:hAnsi="Times New Roman"/>
                <w:sz w:val="21"/>
              </w:rPr>
            </w:r>
            <w:r>
              <w:rPr>
                <w:rFonts w:ascii="Times New Roman" w:hAnsi="Times New Roman"/>
                <w:b w:val="0"/>
                <w:sz w:val="21"/>
              </w:rPr>
              <w:t>KPI card</w:t>
            </w:r>
          </w:p>
        </w:tc>
      </w:tr>
      <w:tr>
        <w:tc>
          <w:tcPr>
            <w:tcW w:type="dxa" w:w="3009"/>
          </w:tcPr>
          <w:p>
            <w:r>
              <w:rPr>
                <w:rFonts w:ascii="Times New Roman" w:hAnsi="Times New Roman"/>
                <w:sz w:val="21"/>
              </w:rPr>
            </w:r>
            <w:r>
              <w:rPr>
                <w:rFonts w:ascii="Times New Roman" w:hAnsi="Times New Roman"/>
                <w:b w:val="0"/>
                <w:sz w:val="21"/>
              </w:rPr>
              <w:t>Ranking</w:t>
            </w:r>
          </w:p>
        </w:tc>
        <w:tc>
          <w:tcPr>
            <w:tcW w:type="dxa" w:w="3009"/>
          </w:tcPr>
          <w:p>
            <w:pPr>
              <w:jc w:val="center"/>
            </w:pPr>
            <w:r>
              <w:rPr>
                <w:rFonts w:ascii="Times New Roman" w:hAnsi="Times New Roman"/>
                <w:sz w:val="21"/>
              </w:rPr>
            </w:r>
            <w:r>
              <w:rPr>
                <w:rFonts w:ascii="Times New Roman" w:hAnsi="Times New Roman"/>
                <w:b w:val="0"/>
                <w:sz w:val="21"/>
              </w:rPr>
              <w:t>1 measure, up to 20 categories</w:t>
            </w:r>
          </w:p>
        </w:tc>
        <w:tc>
          <w:tcPr>
            <w:tcW w:type="dxa" w:w="3009"/>
          </w:tcPr>
          <w:p>
            <w:pPr>
              <w:jc w:val="center"/>
            </w:pPr>
            <w:r>
              <w:rPr>
                <w:rFonts w:ascii="Times New Roman" w:hAnsi="Times New Roman"/>
                <w:sz w:val="21"/>
              </w:rPr>
            </w:r>
            <w:r>
              <w:rPr>
                <w:rFonts w:ascii="Times New Roman" w:hAnsi="Times New Roman"/>
                <w:b w:val="0"/>
                <w:sz w:val="21"/>
              </w:rPr>
              <w:t>Horizontal bar chart</w:t>
            </w:r>
          </w:p>
        </w:tc>
      </w:tr>
      <w:tr>
        <w:tc>
          <w:tcPr>
            <w:tcW w:type="dxa" w:w="3009"/>
          </w:tcPr>
          <w:p>
            <w:r>
              <w:rPr>
                <w:rFonts w:ascii="Times New Roman" w:hAnsi="Times New Roman"/>
                <w:sz w:val="21"/>
              </w:rPr>
            </w:r>
            <w:r>
              <w:rPr>
                <w:rFonts w:ascii="Times New Roman" w:hAnsi="Times New Roman"/>
                <w:b w:val="0"/>
                <w:sz w:val="21"/>
              </w:rPr>
              <w:t>Trend</w:t>
            </w:r>
          </w:p>
        </w:tc>
        <w:tc>
          <w:tcPr>
            <w:tcW w:type="dxa" w:w="3009"/>
          </w:tcPr>
          <w:p>
            <w:pPr>
              <w:jc w:val="center"/>
            </w:pPr>
            <w:r>
              <w:rPr>
                <w:rFonts w:ascii="Times New Roman" w:hAnsi="Times New Roman"/>
                <w:sz w:val="21"/>
              </w:rPr>
            </w:r>
            <w:r>
              <w:rPr>
                <w:rFonts w:ascii="Times New Roman" w:hAnsi="Times New Roman"/>
                <w:b w:val="0"/>
                <w:sz w:val="21"/>
              </w:rPr>
              <w:t>1 measure, time series</w:t>
            </w:r>
          </w:p>
        </w:tc>
        <w:tc>
          <w:tcPr>
            <w:tcW w:type="dxa" w:w="3009"/>
          </w:tcPr>
          <w:p>
            <w:pPr>
              <w:jc w:val="center"/>
            </w:pPr>
            <w:r>
              <w:rPr>
                <w:rFonts w:ascii="Times New Roman" w:hAnsi="Times New Roman"/>
                <w:sz w:val="21"/>
              </w:rPr>
            </w:r>
            <w:r>
              <w:rPr>
                <w:rFonts w:ascii="Times New Roman" w:hAnsi="Times New Roman"/>
                <w:b w:val="0"/>
                <w:sz w:val="21"/>
              </w:rPr>
              <w:t>Line chart</w:t>
            </w:r>
          </w:p>
        </w:tc>
      </w:tr>
      <w:tr>
        <w:tc>
          <w:tcPr>
            <w:tcW w:type="dxa" w:w="3009"/>
          </w:tcPr>
          <w:p>
            <w:r>
              <w:rPr>
                <w:rFonts w:ascii="Times New Roman" w:hAnsi="Times New Roman"/>
                <w:sz w:val="21"/>
              </w:rPr>
            </w:r>
            <w:r>
              <w:rPr>
                <w:rFonts w:ascii="Times New Roman" w:hAnsi="Times New Roman"/>
                <w:b w:val="0"/>
                <w:sz w:val="21"/>
              </w:rPr>
              <w:t>Comparison</w:t>
            </w:r>
          </w:p>
        </w:tc>
        <w:tc>
          <w:tcPr>
            <w:tcW w:type="dxa" w:w="3009"/>
          </w:tcPr>
          <w:p>
            <w:pPr>
              <w:jc w:val="center"/>
            </w:pPr>
            <w:r>
              <w:rPr>
                <w:rFonts w:ascii="Times New Roman" w:hAnsi="Times New Roman"/>
                <w:sz w:val="21"/>
              </w:rPr>
            </w:r>
            <w:r>
              <w:rPr>
                <w:rFonts w:ascii="Times New Roman" w:hAnsi="Times New Roman"/>
                <w:b w:val="0"/>
                <w:sz w:val="21"/>
              </w:rPr>
              <w:t>1 measure, 2-4 segments</w:t>
            </w:r>
          </w:p>
        </w:tc>
        <w:tc>
          <w:tcPr>
            <w:tcW w:type="dxa" w:w="3009"/>
          </w:tcPr>
          <w:p>
            <w:pPr>
              <w:jc w:val="center"/>
            </w:pPr>
            <w:r>
              <w:rPr>
                <w:rFonts w:ascii="Times New Roman" w:hAnsi="Times New Roman"/>
                <w:sz w:val="21"/>
              </w:rPr>
            </w:r>
            <w:r>
              <w:rPr>
                <w:rFonts w:ascii="Times New Roman" w:hAnsi="Times New Roman"/>
                <w:b w:val="0"/>
                <w:sz w:val="21"/>
              </w:rPr>
              <w:t>Grouped bar chart</w:t>
            </w:r>
          </w:p>
        </w:tc>
      </w:tr>
      <w:tr>
        <w:tc>
          <w:tcPr>
            <w:tcW w:type="dxa" w:w="3009"/>
          </w:tcPr>
          <w:p>
            <w:r>
              <w:rPr>
                <w:rFonts w:ascii="Times New Roman" w:hAnsi="Times New Roman"/>
                <w:sz w:val="21"/>
              </w:rPr>
            </w:r>
            <w:r>
              <w:rPr>
                <w:rFonts w:ascii="Times New Roman" w:hAnsi="Times New Roman"/>
                <w:b w:val="0"/>
                <w:sz w:val="21"/>
              </w:rPr>
              <w:t>Exception</w:t>
            </w:r>
          </w:p>
        </w:tc>
        <w:tc>
          <w:tcPr>
            <w:tcW w:type="dxa" w:w="3009"/>
          </w:tcPr>
          <w:p>
            <w:pPr>
              <w:jc w:val="center"/>
            </w:pPr>
            <w:r>
              <w:rPr>
                <w:rFonts w:ascii="Times New Roman" w:hAnsi="Times New Roman"/>
                <w:sz w:val="21"/>
              </w:rPr>
            </w:r>
            <w:r>
              <w:rPr>
                <w:rFonts w:ascii="Times New Roman" w:hAnsi="Times New Roman"/>
                <w:b w:val="0"/>
                <w:sz w:val="21"/>
              </w:rPr>
              <w:t>row-level detail</w:t>
            </w:r>
          </w:p>
        </w:tc>
        <w:tc>
          <w:tcPr>
            <w:tcW w:type="dxa" w:w="3009"/>
          </w:tcPr>
          <w:p>
            <w:pPr>
              <w:jc w:val="center"/>
            </w:pPr>
            <w:r>
              <w:rPr>
                <w:rFonts w:ascii="Times New Roman" w:hAnsi="Times New Roman"/>
                <w:sz w:val="21"/>
              </w:rPr>
            </w:r>
            <w:r>
              <w:rPr>
                <w:rFonts w:ascii="Times New Roman" w:hAnsi="Times New Roman"/>
                <w:b w:val="0"/>
                <w:sz w:val="21"/>
              </w:rPr>
              <w:t>Sortable table</w:t>
            </w:r>
          </w:p>
        </w:tc>
      </w:tr>
      <w:tr>
        <w:tc>
          <w:tcPr>
            <w:tcW w:type="dxa" w:w="3009"/>
          </w:tcPr>
          <w:p>
            <w:r>
              <w:rPr>
                <w:rFonts w:ascii="Times New Roman" w:hAnsi="Times New Roman"/>
                <w:sz w:val="21"/>
              </w:rPr>
            </w:r>
            <w:r>
              <w:rPr>
                <w:rFonts w:ascii="Times New Roman" w:hAnsi="Times New Roman"/>
                <w:b w:val="0"/>
                <w:sz w:val="21"/>
              </w:rPr>
              <w:t>Summary</w:t>
            </w:r>
          </w:p>
        </w:tc>
        <w:tc>
          <w:tcPr>
            <w:tcW w:type="dxa" w:w="3009"/>
          </w:tcPr>
          <w:p>
            <w:pPr>
              <w:jc w:val="center"/>
            </w:pPr>
            <w:r>
              <w:rPr>
                <w:rFonts w:ascii="Times New Roman" w:hAnsi="Times New Roman"/>
                <w:sz w:val="21"/>
              </w:rPr>
            </w:r>
            <w:r>
              <w:rPr>
                <w:rFonts w:ascii="Times New Roman" w:hAnsi="Times New Roman"/>
                <w:b w:val="0"/>
                <w:sz w:val="21"/>
              </w:rPr>
              <w:t>2-4 scalar measures</w:t>
            </w:r>
          </w:p>
        </w:tc>
        <w:tc>
          <w:tcPr>
            <w:tcW w:type="dxa" w:w="3009"/>
          </w:tcPr>
          <w:p>
            <w:pPr>
              <w:jc w:val="center"/>
            </w:pPr>
            <w:r>
              <w:rPr>
                <w:rFonts w:ascii="Times New Roman" w:hAnsi="Times New Roman"/>
                <w:sz w:val="21"/>
              </w:rPr>
            </w:r>
            <w:r>
              <w:rPr>
                <w:rFonts w:ascii="Times New Roman" w:hAnsi="Times New Roman"/>
                <w:b w:val="0"/>
                <w:sz w:val="21"/>
              </w:rPr>
              <w:t>KPI card grid</w:t>
            </w:r>
          </w:p>
        </w:tc>
      </w:tr>
      <w:tr>
        <w:tc>
          <w:tcPr>
            <w:tcW w:type="dxa" w:w="3009"/>
          </w:tcPr>
          <w:p>
            <w:r>
              <w:rPr>
                <w:rFonts w:ascii="Times New Roman" w:hAnsi="Times New Roman"/>
                <w:sz w:val="21"/>
              </w:rPr>
            </w:r>
            <w:r>
              <w:rPr>
                <w:rFonts w:ascii="Times New Roman" w:hAnsi="Times New Roman"/>
                <w:b w:val="0"/>
                <w:sz w:val="21"/>
              </w:rPr>
              <w:t>Segment</w:t>
            </w:r>
          </w:p>
        </w:tc>
        <w:tc>
          <w:tcPr>
            <w:tcW w:type="dxa" w:w="3009"/>
          </w:tcPr>
          <w:p>
            <w:pPr>
              <w:jc w:val="center"/>
            </w:pPr>
            <w:r>
              <w:rPr>
                <w:rFonts w:ascii="Times New Roman" w:hAnsi="Times New Roman"/>
                <w:sz w:val="21"/>
              </w:rPr>
            </w:r>
            <w:r>
              <w:rPr>
                <w:rFonts w:ascii="Times New Roman" w:hAnsi="Times New Roman"/>
                <w:b w:val="0"/>
                <w:sz w:val="21"/>
              </w:rPr>
              <w:t>1 measure, categorical</w:t>
            </w:r>
          </w:p>
        </w:tc>
        <w:tc>
          <w:tcPr>
            <w:tcW w:type="dxa" w:w="3009"/>
          </w:tcPr>
          <w:p>
            <w:pPr>
              <w:jc w:val="center"/>
            </w:pPr>
            <w:r>
              <w:rPr>
                <w:rFonts w:ascii="Times New Roman" w:hAnsi="Times New Roman"/>
                <w:sz w:val="21"/>
              </w:rPr>
            </w:r>
            <w:r>
              <w:rPr>
                <w:rFonts w:ascii="Times New Roman" w:hAnsi="Times New Roman"/>
                <w:b w:val="0"/>
                <w:sz w:val="21"/>
              </w:rPr>
              <w:t>Pie chart</w:t>
            </w:r>
          </w:p>
        </w:tc>
      </w:tr>
      <w:tr>
        <w:tc>
          <w:tcPr>
            <w:tcW w:type="dxa" w:w="3009"/>
          </w:tcPr>
          <w:p>
            <w:r>
              <w:rPr>
                <w:rFonts w:ascii="Times New Roman" w:hAnsi="Times New Roman"/>
                <w:sz w:val="21"/>
              </w:rPr>
            </w:r>
            <w:r>
              <w:rPr>
                <w:rFonts w:ascii="Times New Roman" w:hAnsi="Times New Roman"/>
                <w:b w:val="0"/>
                <w:sz w:val="21"/>
              </w:rPr>
              <w:t>Funnel</w:t>
            </w:r>
          </w:p>
        </w:tc>
        <w:tc>
          <w:tcPr>
            <w:tcW w:type="dxa" w:w="3009"/>
          </w:tcPr>
          <w:p>
            <w:pPr>
              <w:jc w:val="center"/>
            </w:pPr>
            <w:r>
              <w:rPr>
                <w:rFonts w:ascii="Times New Roman" w:hAnsi="Times New Roman"/>
                <w:sz w:val="21"/>
              </w:rPr>
            </w:r>
            <w:r>
              <w:rPr>
                <w:rFonts w:ascii="Times New Roman" w:hAnsi="Times New Roman"/>
                <w:b w:val="0"/>
                <w:sz w:val="21"/>
              </w:rPr>
              <w:t>ordered conversion stages</w:t>
            </w:r>
          </w:p>
        </w:tc>
        <w:tc>
          <w:tcPr>
            <w:tcW w:type="dxa" w:w="3009"/>
          </w:tcPr>
          <w:p>
            <w:pPr>
              <w:jc w:val="center"/>
            </w:pPr>
            <w:r>
              <w:rPr>
                <w:rFonts w:ascii="Times New Roman" w:hAnsi="Times New Roman"/>
                <w:sz w:val="21"/>
              </w:rPr>
            </w:r>
            <w:r>
              <w:rPr>
                <w:rFonts w:ascii="Times New Roman" w:hAnsi="Times New Roman"/>
                <w:b w:val="0"/>
                <w:sz w:val="21"/>
              </w:rPr>
              <w:t>Funnel chart</w:t>
            </w:r>
          </w:p>
        </w:tc>
      </w:tr>
      <w:tr>
        <w:tc>
          <w:tcPr>
            <w:tcW w:type="dxa" w:w="3009"/>
          </w:tcPr>
          <w:p>
            <w:r>
              <w:rPr>
                <w:rFonts w:ascii="Times New Roman" w:hAnsi="Times New Roman"/>
                <w:sz w:val="21"/>
              </w:rPr>
            </w:r>
            <w:r>
              <w:rPr>
                <w:rFonts w:ascii="Times New Roman" w:hAnsi="Times New Roman"/>
                <w:b w:val="0"/>
                <w:sz w:val="21"/>
              </w:rPr>
              <w:t>Cohort</w:t>
            </w:r>
          </w:p>
        </w:tc>
        <w:tc>
          <w:tcPr>
            <w:tcW w:type="dxa" w:w="3009"/>
          </w:tcPr>
          <w:p>
            <w:pPr>
              <w:jc w:val="center"/>
            </w:pPr>
            <w:r>
              <w:rPr>
                <w:rFonts w:ascii="Times New Roman" w:hAnsi="Times New Roman"/>
                <w:sz w:val="21"/>
              </w:rPr>
            </w:r>
            <w:r>
              <w:rPr>
                <w:rFonts w:ascii="Times New Roman" w:hAnsi="Times New Roman"/>
                <w:b w:val="0"/>
                <w:sz w:val="21"/>
              </w:rPr>
              <w:t>1 measure, 2+ groups</w:t>
            </w:r>
          </w:p>
        </w:tc>
        <w:tc>
          <w:tcPr>
            <w:tcW w:type="dxa" w:w="3009"/>
          </w:tcPr>
          <w:p>
            <w:pPr>
              <w:jc w:val="center"/>
            </w:pPr>
            <w:r>
              <w:rPr>
                <w:rFonts w:ascii="Times New Roman" w:hAnsi="Times New Roman"/>
                <w:sz w:val="21"/>
              </w:rPr>
            </w:r>
            <w:r>
              <w:rPr>
                <w:rFonts w:ascii="Times New Roman" w:hAnsi="Times New Roman"/>
                <w:b w:val="0"/>
                <w:sz w:val="21"/>
              </w:rPr>
              <w:t>Grouped bar chart</w:t>
            </w:r>
          </w:p>
        </w:tc>
      </w:tr>
      <w:tr>
        <w:tc>
          <w:tcPr>
            <w:tcW w:type="dxa" w:w="3009"/>
          </w:tcPr>
          <w:p>
            <w:r>
              <w:rPr>
                <w:rFonts w:ascii="Times New Roman" w:hAnsi="Times New Roman"/>
                <w:sz w:val="21"/>
              </w:rPr>
            </w:r>
            <w:r>
              <w:rPr>
                <w:rFonts w:ascii="Times New Roman" w:hAnsi="Times New Roman"/>
                <w:b w:val="0"/>
                <w:sz w:val="21"/>
              </w:rPr>
              <w:t>Correlate</w:t>
            </w:r>
          </w:p>
        </w:tc>
        <w:tc>
          <w:tcPr>
            <w:tcW w:type="dxa" w:w="3009"/>
          </w:tcPr>
          <w:p>
            <w:pPr>
              <w:jc w:val="center"/>
            </w:pPr>
            <w:r>
              <w:rPr>
                <w:rFonts w:ascii="Times New Roman" w:hAnsi="Times New Roman"/>
                <w:sz w:val="21"/>
              </w:rPr>
            </w:r>
            <w:r>
              <w:rPr>
                <w:rFonts w:ascii="Times New Roman" w:hAnsi="Times New Roman"/>
                <w:b w:val="0"/>
                <w:sz w:val="21"/>
              </w:rPr>
              <w:t>2 measures, continuous</w:t>
            </w:r>
          </w:p>
        </w:tc>
        <w:tc>
          <w:tcPr>
            <w:tcW w:type="dxa" w:w="3009"/>
          </w:tcPr>
          <w:p>
            <w:pPr>
              <w:jc w:val="center"/>
            </w:pPr>
            <w:r>
              <w:rPr>
                <w:rFonts w:ascii="Times New Roman" w:hAnsi="Times New Roman"/>
                <w:sz w:val="21"/>
              </w:rPr>
            </w:r>
            <w:r>
              <w:rPr>
                <w:rFonts w:ascii="Times New Roman" w:hAnsi="Times New Roman"/>
                <w:b w:val="0"/>
                <w:sz w:val="21"/>
              </w:rPr>
              <w:t>Scatter plot</w:t>
            </w:r>
          </w:p>
        </w:tc>
      </w:tr>
      <w:tr>
        <w:tc>
          <w:tcPr>
            <w:tcW w:type="dxa" w:w="3009"/>
          </w:tcPr>
          <w:p>
            <w:r>
              <w:rPr>
                <w:rFonts w:ascii="Times New Roman" w:hAnsi="Times New Roman"/>
                <w:sz w:val="21"/>
              </w:rPr>
            </w:r>
            <w:r>
              <w:rPr>
                <w:rFonts w:ascii="Times New Roman" w:hAnsi="Times New Roman"/>
                <w:b w:val="0"/>
                <w:sz w:val="21"/>
              </w:rPr>
              <w:t>Tabular</w:t>
            </w:r>
          </w:p>
        </w:tc>
        <w:tc>
          <w:tcPr>
            <w:tcW w:type="dxa" w:w="3009"/>
          </w:tcPr>
          <w:p>
            <w:pPr>
              <w:jc w:val="center"/>
            </w:pPr>
            <w:r>
              <w:rPr>
                <w:rFonts w:ascii="Times New Roman" w:hAnsi="Times New Roman"/>
                <w:sz w:val="21"/>
              </w:rPr>
            </w:r>
            <w:r>
              <w:rPr>
                <w:rFonts w:ascii="Times New Roman" w:hAnsi="Times New Roman"/>
                <w:b w:val="0"/>
                <w:sz w:val="21"/>
              </w:rPr>
              <w:t>raw records</w:t>
            </w:r>
          </w:p>
        </w:tc>
        <w:tc>
          <w:tcPr>
            <w:tcW w:type="dxa" w:w="3009"/>
          </w:tcPr>
          <w:p>
            <w:pPr>
              <w:jc w:val="center"/>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7 NOT YET INSERTED ]</w:t>
            </w:r>
          </w:p>
          <w:p>
            <w:pPr>
              <w:spacing w:after="160"/>
              <w:jc w:val="center"/>
            </w:pPr>
            <w:r>
              <w:rPr>
                <w:rFonts w:ascii="Times New Roman" w:hAnsi="Times New Roman"/>
                <w:b/>
                <w:color w:val="333333"/>
                <w:sz w:val="22"/>
              </w:rPr>
              <w:t>Widget lifecycle and refresh model</w:t>
            </w:r>
          </w:p>
          <w:p>
            <w:pPr>
              <w:spacing w:after="280" w:line="300" w:lineRule="auto"/>
              <w:ind w:left="432" w:right="432"/>
              <w:jc w:val="center"/>
            </w:pPr>
            <w:r>
              <w:rPr>
                <w:rFonts w:ascii="Times New Roman" w:hAnsi="Times New Roman"/>
                <w:i/>
                <w:color w:val="555555"/>
                <w:sz w:val="19"/>
              </w:rPr>
              <w:t>A cyclical flowchart. Start with 'New Natural-Language Question', then 'Full Seven-Stage Pipeline Runs', then 'Analysis Plan Hashed (SHA-256)', then a decision diamond 'Identical widget hash already exists?'. If YES, continue to 'Return Cached Widget Immediately'. If NO, continue to 'Save New Widget (SQL, chart config, access rule, refresh schedule)'. Both paths converge into a 'Dashboard Widget' box, from which a looping arrow labeled 'Scheduled Refresh (re-executes stored SQL on fresh data)' curves back into the same box â€” illustrating that a widget keeps answering the same recurring question rather than being discarded after one use.</w:t>
            </w:r>
          </w:p>
        </w:tc>
      </w:tr>
    </w:tbl>
    <w:p>
      <w:pPr>
        <w:spacing w:before="120" w:after="280"/>
        <w:jc w:val="center"/>
      </w:pPr>
      <w:r>
        <w:rPr>
          <w:rFonts w:ascii="Times New Roman" w:hAnsi="Times New Roman"/>
          <w:b/>
          <w:sz w:val="21"/>
        </w:rPr>
        <w:t>Figure 7: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AEGIS architecture:</w:t>
      </w:r>
    </w:p>
    <w:p>
      <w:pPr>
        <w:pStyle w:val="ListBullet"/>
        <w:spacing w:after="80" w:line="360" w:lineRule="auto"/>
      </w:pPr>
      <w:r>
        <w:rPr>
          <w:rFonts w:ascii="Times New Roman" w:hAnsi="Times New Roman"/>
          <w:sz w:val="24"/>
        </w:rPr>
        <w:t>LLM integration: Llama 3.1 8B Instant via the Groq API, with structured JSON output enforcement. The system prompt is constructed dynamically by injecting the approved metric and dimension identifiers at startup.</w:t>
      </w:r>
    </w:p>
    <w:p>
      <w:pPr>
        <w:pStyle w:val="ListBullet"/>
        <w:spacing w:after="80" w:line="360" w:lineRule="auto"/>
      </w:pPr>
      <w:r>
        <w:rPr>
          <w:rFonts w:ascii="Times New Roman" w:hAnsi="Times New Roman"/>
          <w:sz w:val="24"/>
        </w:rPr>
        <w:t>Rate limiting: a provider-agnostic configuration module with a sliding-window rate limiter and a concurrency-safe asyncio.Lock, so the architecture is not tied to a specific LLM vendor's throughput characteristics.</w:t>
      </w:r>
    </w:p>
    <w:p>
      <w:pPr>
        <w:pStyle w:val="ListBullet"/>
        <w:spacing w:after="80" w:line="360" w:lineRule="auto"/>
      </w:pPr>
      <w:r>
        <w:rPr>
          <w:rFonts w:ascii="Times New Roman" w:hAnsi="Times New Roman"/>
          <w:sz w:val="24"/>
        </w:rPr>
        <w:t>Semantic layer: Python configuration modules containing 15 metrics, 34 dimensions, zero synonym entries, and 11 join paths across the 12 analytics-relevant tables represented in the semantic layer.</w:t>
      </w:r>
    </w:p>
    <w:p>
      <w:pPr>
        <w:pStyle w:val="ListBullet"/>
        <w:spacing w:after="80" w:line="360" w:lineRule="auto"/>
      </w:pPr>
      <w:r>
        <w:rPr>
          <w:rFonts w:ascii="Times New Roman" w:hAnsi="Times New Roman"/>
          <w:sz w:val="24"/>
        </w:rPr>
        <w:t>SQL compiler: parameterized MySQL templates, with breadth-first search join-path resolution over the 12-table join graph. A post-compilation _validate_sql_safety() routine checks 16 forbidden patterns before a query is allowed to execute.</w:t>
      </w:r>
    </w:p>
    <w:p>
      <w:pPr>
        <w:pStyle w:val="ListBullet"/>
        <w:spacing w:after="80" w:line="360" w:lineRule="auto"/>
      </w:pPr>
      <w:r>
        <w:rPr>
          <w:rFonts w:ascii="Times New Roman" w:hAnsi="Times New Roman"/>
          <w:sz w:val="24"/>
        </w:rPr>
        <w:t>Visualization selector: rule-based Python dictionaries implementing the visualization mapping, with the two post-hoc cardinality rules applied after the result set is known.</w:t>
      </w:r>
    </w:p>
    <w:p>
      <w:pPr>
        <w:pStyle w:val="ListBullet"/>
        <w:spacing w:after="80" w:line="360" w:lineRule="auto"/>
      </w:pPr>
      <w:r>
        <w:rPr>
          <w:rFonts w:ascii="Times New Roman" w:hAnsi="Times New Roman"/>
          <w:sz w:val="24"/>
        </w:rPr>
        <w:t>Widget engine: SHA-256 plan-hash deduplication, with JSON file storage in the prototype, designed to be swapped for a relational store in a production deployment.</w:t>
      </w:r>
    </w:p>
    <w:p>
      <w:pPr>
        <w:pStyle w:val="ListBullet"/>
        <w:spacing w:after="80" w:line="360" w:lineRule="auto"/>
      </w:pPr>
      <w:r>
        <w:rPr>
          <w:rFonts w:ascii="Times New Roman" w:hAnsi="Times New Roman"/>
          <w:sz w:val="24"/>
        </w:rPr>
        <w:t>Coverage validator: a pre-compilation gate that rejects unknown metric or dimension terms with structured guidance listing the available identifiers.</w:t>
      </w:r>
    </w:p>
    <w:p>
      <w:pPr>
        <w:pStyle w:val="ListBullet"/>
        <w:spacing w:after="80" w:line="360" w:lineRule="auto"/>
      </w:pPr>
      <w:r>
        <w:rPr>
          <w:rFonts w:ascii="Times New Roman" w:hAnsi="Times New Roman"/>
          <w:sz w:val="24"/>
        </w:rPr>
        <w:t>Permission enforcement: 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0" w:before="0" w:line="360" w:lineRule="auto"/>
        <w:jc w:val="both"/>
      </w:pPr>
      <w:r>
        <w:rPr>
          <w:rFonts w:ascii="Times New Roman" w:hAnsi="Times New Roman"/>
          <w:b w:val="0"/>
          <w:i w:val="0"/>
          <w:sz w:val="24"/>
        </w:rPr>
        <w:t>All experiments ran against a Docker-containerized MySQL 8.0 instance initialized with the AEGIS Truth Schema (126 tables, 107 foreign keys). The mock dataset used for evaluation contains 1,200 customers, 2,500 orders spanning 2024-2026, 6,298 order items, and 1,000 products mapped across 50 categories, sized to be representative of a mid-sized e-commerce deployment rather than a toy schema.</w:t>
      </w: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do not evaluate adversarial safety or adherence to business vocabulary, which is why a domain-specific benchmark was necessary for this thesis.</w:t>
      </w:r>
    </w:p>
    <w:p>
      <w:pPr>
        <w:spacing w:after="200" w:before="0" w:line="360" w:lineRule="auto"/>
        <w:jc w:val="both"/>
      </w:pPr>
      <w:r>
        <w:rPr>
          <w:rFonts w:ascii="Times New Roman" w:hAnsi="Times New Roman"/>
          <w:b w:val="0"/>
          <w:i w:val="0"/>
          <w:sz w:val="24"/>
        </w:rPr>
        <w:t>A methodological caveat applies to every quantitative result reported in this chapter and in the results discussion. All benchmark construction, execution, and measurement were carried out by the author as part of this thesis, using a self-built dataset and evaluation harness; none of it has been independently replicated by a third party, externally audited, or peer-reviewed. This is distinct from reproducibility: the underlying artifacts (evaluation_dataset/questions.json, benchmark_results.json, pattern_classification.json, and the scripts that compute statistics from them) are published alongside this thesis specifically so that any reader can independently re-run the computation and check the reported figures against the raw data, even though no one outside this research has done so yet. Where a figure states that an annotation or classification step was performed by a named number of people (for example, two database engineers verifying gold-standard SQL), that step was part of the author's own research process rather than an independent, third-party audit. These results should therefore be read as internal evidence produced during this research and reproducible from the published artifacts, but not yet independently verified by anyone outside it.</w:t>
      </w:r>
    </w:p>
    <w:p>
      <w:pPr>
        <w:spacing w:after="0" w:before="0" w:line="360" w:lineRule="auto"/>
        <w:jc w:val="both"/>
      </w:pPr>
      <w:r>
        <w:rPr>
          <w:rFonts w:ascii="Times New Roman" w:hAnsi="Times New Roman"/>
          <w:b w:val="0"/>
          <w:i w:val="0"/>
          <w:sz w:val="24"/>
        </w:rPr>
        <w:t>A domain-specific benchmark of 107 natural-language reporting requests was built over the production nopCommerce schema described above. The full question set and recorded pipeline outputs are available in the evaluation_dataset/ directory of the project repository, enabling verification of every reported metric. The benchmark mixes ordinary analytical requests with harder boundary cases in the same run; this thesis does not report those harder cases as a separate benchmark. Because the benchmark was constructed for the nopCommerce domain, accuracy and validity reported figures should be interpreted within that scope. The current artifact verifies SQL safety and true execution validity; semantic correctness still requires an annotated expected-answer benchmark in future work.</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The evaluation plan defines four baselines, but not all are complete in the current prototype:</w:t>
      </w:r>
    </w:p>
    <w:p>
      <w:pPr>
        <w:spacing w:after="120" w:before="0" w:line="360" w:lineRule="auto"/>
        <w:jc w:val="both"/>
      </w:pPr>
      <w:r>
        <w:rPr>
          <w:rFonts w:ascii="Times New Roman" w:hAnsi="Times New Roman"/>
          <w:b/>
          <w:i w:val="0"/>
          <w:sz w:val="24"/>
        </w:rPr>
        <w:t xml:space="preserve">B1 - Direct LLM-to-SQL. </w:t>
      </w:r>
      <w:r>
        <w:rPr>
          <w:rFonts w:ascii="Times New Roman" w:hAnsi="Times New Roman"/>
          <w:b w:val="0"/>
          <w:i w:val="0"/>
          <w:sz w:val="24"/>
        </w:rPr>
        <w:t>Llama 3.1 8B prompted with the full database schema, with no semantic layer and no template constraints; the model is free to generate any SQL text it produces.</w:t>
      </w:r>
    </w:p>
    <w:p>
      <w:pPr>
        <w:spacing w:after="120" w:before="0" w:line="360" w:lineRule="auto"/>
        <w:jc w:val="both"/>
      </w:pPr>
      <w:r>
        <w:rPr>
          <w:rFonts w:ascii="Times New Roman" w:hAnsi="Times New Roman"/>
          <w:b/>
          <w:i w:val="0"/>
          <w:sz w:val="24"/>
        </w:rPr>
        <w:t xml:space="preserve">B2 - Decomposed LLM. </w:t>
      </w:r>
      <w:r>
        <w:rPr>
          <w:rFonts w:ascii="Times New Roman" w:hAnsi="Times New Roman"/>
          <w:b w:val="0"/>
          <w:i w:val="0"/>
          <w:sz w:val="24"/>
        </w:rPr>
        <w:t>A chain-of-thought strategy that first extracts entities, then generates SQL from the extracted entities. This baseline is prepared for evaluation but is not included in the verified results.</w:t>
      </w:r>
    </w:p>
    <w:p>
      <w:pPr>
        <w:spacing w:after="120" w:before="0" w:line="360" w:lineRule="auto"/>
        <w:jc w:val="both"/>
      </w:pPr>
      <w:r>
        <w:rPr>
          <w:rFonts w:ascii="Times New Roman" w:hAnsi="Times New Roman"/>
          <w:b/>
          <w:i w:val="0"/>
          <w:sz w:val="24"/>
        </w:rPr>
        <w:t xml:space="preserve">B3 - Template-only (no LLM). </w:t>
      </w:r>
      <w:r>
        <w:rPr>
          <w:rFonts w:ascii="Times New Roman" w:hAnsi="Times New Roman"/>
          <w:b w:val="0"/>
          <w:i w:val="0"/>
          <w:sz w:val="24"/>
        </w:rPr>
        <w:t>Keyword matching directly to templates, with no LLM-based intent extraction. This baseline has been executed for true database execution validity and is discussed as B3 in the results.</w:t>
      </w:r>
    </w:p>
    <w:p>
      <w:pPr>
        <w:spacing w:after="120" w:before="0" w:line="360" w:lineRule="auto"/>
        <w:jc w:val="both"/>
      </w:pPr>
      <w:r>
        <w:rPr>
          <w:rFonts w:ascii="Times New Roman" w:hAnsi="Times New Roman"/>
          <w:b/>
          <w:i w:val="0"/>
          <w:sz w:val="24"/>
        </w:rPr>
        <w:t xml:space="preserve">B4 - AEGIS ablated (no semantic layer). </w:t>
      </w:r>
      <w:r>
        <w:rPr>
          <w:rFonts w:ascii="Times New Roman" w:hAnsi="Times New Roman"/>
          <w:b w:val="0"/>
          <w:i w:val="0"/>
          <w:sz w:val="24"/>
        </w:rPr>
        <w:t>The full AEGIS pipeline with the semantic mapper bypassed. This remains future evaluation work.</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the measurements that can be verified from repository artifacts and true database execution:</w:t>
      </w:r>
    </w:p>
    <w:p>
      <w:pPr>
        <w:pStyle w:val="ListBullet"/>
        <w:spacing w:after="80" w:line="360" w:lineRule="auto"/>
      </w:pPr>
      <w:r>
        <w:rPr>
          <w:rFonts w:ascii="Times New Roman" w:hAnsi="Times New Roman"/>
          <w:sz w:val="24"/>
        </w:rPr>
        <w:t>RQ1: How accurately does the LLM intent parser extract typed reporting plans? This remains a semantic-correctness task requiring annotated expected labels.</w:t>
      </w:r>
    </w:p>
    <w:p>
      <w:pPr>
        <w:pStyle w:val="ListBullet"/>
        <w:spacing w:after="80" w:line="360" w:lineRule="auto"/>
      </w:pPr>
      <w:r>
        <w:rPr>
          <w:rFonts w:ascii="Times New Roman" w:hAnsi="Times New Roman"/>
          <w:sz w:val="24"/>
        </w:rPr>
        <w:t>RQ2: Does AEGIS reduce unsafe SQL compared to direct LLM-to-SQL? Measured as genuine unsafe SQL statements across the 107-query benchmark.</w:t>
      </w:r>
    </w:p>
    <w:p>
      <w:pPr>
        <w:pStyle w:val="ListBullet"/>
        <w:spacing w:after="80" w:line="360" w:lineRule="auto"/>
      </w:pPr>
      <w:r>
        <w:rPr>
          <w:rFonts w:ascii="Times New Roman" w:hAnsi="Times New Roman"/>
          <w:sz w:val="24"/>
        </w:rPr>
        <w:t>RQ3: Does AEGIS generate SQL that actually runs? Measured through true database execution against the seeded MySQL database, not merely by checking whether Python compilation succeeded.</w:t>
      </w:r>
    </w:p>
    <w:p>
      <w:pPr>
        <w:pStyle w:val="ListBullet"/>
        <w:spacing w:after="80" w:line="360" w:lineRule="auto"/>
      </w:pPr>
      <w:r>
        <w:rPr>
          <w:rFonts w:ascii="Times New Roman" w:hAnsi="Times New Roman"/>
          <w:sz w:val="24"/>
        </w:rPr>
        <w:t>RQ4: How does the deterministic downstream compiler behave when intent selection is rule-based rather than LLM-based? Measured through the B3 template-only baseline.</w:t>
      </w:r>
    </w:p>
    <w:p>
      <w:pPr>
        <w:pStyle w:val="ListBullet"/>
        <w:spacing w:after="80" w:line="360" w:lineRule="auto"/>
      </w:pPr>
      <w:r>
        <w:rPr>
          <w:rFonts w:ascii="Times New Roman" w:hAnsi="Times New Roman"/>
          <w:sz w:val="24"/>
        </w:rPr>
        <w:t>RQ5: Which remaining work is required in future work? Semantic correctness, B2/B4 baseline completion, and latency instrumentation are explicitly listed as future work rather than reported as completed results.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prototype evaluation results that have been verified from the repository artifacts and from true database execution. The chapter deliberately separates SQL safety, execution validity, and semantic correctness. A query can be safe and executable while still being semantically wrong; therefore, correctness is treated as a separate benchmark that requires annotated expected answers in future work.</w:t>
      </w:r>
    </w:p>
    <w:p>
      <w:pPr>
        <w:spacing w:after="0" w:before="0" w:line="360" w:lineRule="auto"/>
        <w:jc w:val="both"/>
      </w:pPr>
      <w:r>
        <w:rPr>
          <w:rFonts w:ascii="Times New Roman" w:hAnsi="Times New Roman"/>
          <w:b w:val="0"/>
          <w:i w:val="0"/>
          <w:sz w:val="24"/>
        </w:rPr>
        <w:t>The verified quantitative evidence currently covers the 107-query mixed benchmark against AEGIS and baseline B1, plus a completed B3 template-only execution-validity run. B2 and B4 remain future evaluation work, and latency has not yet been instrumented. The tables below therefore report only the measurements that can be traced to files and commands in the repository.</w:t>
      </w:r>
    </w:p>
    <w:p>
      <w:pPr>
        <w:spacing w:before="320" w:after="160"/>
        <w:jc w:val="left"/>
      </w:pPr>
      <w:r>
        <w:rPr>
          <w:rFonts w:ascii="Times New Roman" w:hAnsi="Times New Roman"/>
          <w:b/>
          <w:sz w:val="28"/>
        </w:rPr>
        <w:t>5.1  Benchmark Run and Verified Metrics</w:t>
      </w:r>
    </w:p>
    <w:p>
      <w:pPr>
        <w:spacing w:after="200" w:before="0" w:line="360" w:lineRule="auto"/>
        <w:jc w:val="both"/>
      </w:pPr>
      <w:r>
        <w:rPr>
          <w:rFonts w:ascii="Times New Roman" w:hAnsi="Times New Roman"/>
          <w:b w:val="0"/>
          <w:i w:val="0"/>
          <w:sz w:val="24"/>
        </w:rPr>
        <w:t>The benchmark consists of 107 natural-language reporting requests executed as one mixed test set. Earlier drafts described seven of those requests as a separate boundary-probe set. This chapter avoids that split because the evaluation design now treat all 107 requests as part of the same benchmark run. Some requests are harder boundary cases, but they are still counted in the same denominator as every other query.</w:t>
      </w:r>
    </w:p>
    <w:p>
      <w:pPr>
        <w:spacing w:before="200" w:after="80"/>
        <w:jc w:val="center"/>
      </w:pPr>
      <w:r>
        <w:rPr>
          <w:rFonts w:ascii="Times New Roman" w:hAnsi="Times New Roman"/>
          <w:b/>
          <w:sz w:val="22"/>
        </w:rPr>
        <w:t>Table 5: Verified benchmark status.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13"/>
        <w:gridCol w:w="4513"/>
      </w:tblGrid>
      <w:tr>
        <w:tc>
          <w:tcPr>
            <w:tcW w:type="dxa" w:w="4513"/>
          </w:tcPr>
          <w:p>
            <w:pPr>
              <w:jc w:val="center"/>
            </w:pPr>
            <w:r>
              <w:rPr>
                <w:rFonts w:ascii="Times New Roman" w:hAnsi="Times New Roman"/>
                <w:b/>
                <w:sz w:val="21"/>
              </w:rPr>
            </w:r>
            <w:r>
              <w:rPr>
                <w:rFonts w:ascii="Times New Roman" w:hAnsi="Times New Roman"/>
                <w:b/>
                <w:sz w:val="21"/>
              </w:rPr>
              <w:t>Item</w:t>
            </w:r>
          </w:p>
        </w:tc>
        <w:tc>
          <w:tcPr>
            <w:tcW w:type="dxa" w:w="4513"/>
          </w:tcPr>
          <w:p>
            <w:pPr>
              <w:jc w:val="center"/>
            </w:pPr>
            <w:r>
              <w:rPr>
                <w:rFonts w:ascii="Times New Roman" w:hAnsi="Times New Roman"/>
                <w:b/>
                <w:sz w:val="21"/>
              </w:rPr>
            </w:r>
            <w:r>
              <w:rPr>
                <w:rFonts w:ascii="Times New Roman" w:hAnsi="Times New Roman"/>
                <w:b/>
                <w:sz w:val="21"/>
              </w:rPr>
              <w:t>Status</w:t>
            </w:r>
          </w:p>
        </w:tc>
      </w:tr>
      <w:tr>
        <w:tc>
          <w:tcPr>
            <w:tcW w:type="dxa" w:w="4513"/>
          </w:tcPr>
          <w:p>
            <w:r>
              <w:rPr>
                <w:rFonts w:ascii="Times New Roman" w:hAnsi="Times New Roman"/>
                <w:sz w:val="21"/>
              </w:rPr>
            </w:r>
            <w:r>
              <w:rPr>
                <w:rFonts w:ascii="Times New Roman" w:hAnsi="Times New Roman"/>
                <w:b w:val="0"/>
                <w:sz w:val="21"/>
              </w:rPr>
              <w:t>Benchmark size</w:t>
            </w:r>
          </w:p>
        </w:tc>
        <w:tc>
          <w:tcPr>
            <w:tcW w:type="dxa" w:w="4513"/>
          </w:tcPr>
          <w:p>
            <w:pPr>
              <w:jc w:val="center"/>
            </w:pPr>
            <w:r>
              <w:rPr>
                <w:rFonts w:ascii="Times New Roman" w:hAnsi="Times New Roman"/>
                <w:sz w:val="21"/>
              </w:rPr>
            </w:r>
            <w:r>
              <w:rPr>
                <w:rFonts w:ascii="Times New Roman" w:hAnsi="Times New Roman"/>
                <w:b w:val="0"/>
                <w:sz w:val="21"/>
              </w:rPr>
              <w:t>107 mixed natural-language reporting requests</w:t>
            </w:r>
          </w:p>
        </w:tc>
      </w:tr>
      <w:tr>
        <w:tc>
          <w:tcPr>
            <w:tcW w:type="dxa" w:w="4513"/>
          </w:tcPr>
          <w:p>
            <w:r>
              <w:rPr>
                <w:rFonts w:ascii="Times New Roman" w:hAnsi="Times New Roman"/>
                <w:sz w:val="21"/>
              </w:rPr>
            </w:r>
            <w:r>
              <w:rPr>
                <w:rFonts w:ascii="Times New Roman" w:hAnsi="Times New Roman"/>
                <w:b w:val="0"/>
                <w:sz w:val="21"/>
              </w:rPr>
              <w:t>Database execution environment</w:t>
            </w:r>
          </w:p>
        </w:tc>
        <w:tc>
          <w:tcPr>
            <w:tcW w:type="dxa" w:w="4513"/>
          </w:tcPr>
          <w:p>
            <w:pPr>
              <w:jc w:val="center"/>
            </w:pPr>
            <w:r>
              <w:rPr>
                <w:rFonts w:ascii="Times New Roman" w:hAnsi="Times New Roman"/>
                <w:sz w:val="21"/>
              </w:rPr>
            </w:r>
            <w:r>
              <w:rPr>
                <w:rFonts w:ascii="Times New Roman" w:hAnsi="Times New Roman"/>
                <w:b w:val="0"/>
                <w:sz w:val="21"/>
              </w:rPr>
              <w:t>MySQL 8.0 in Docker, seeded with nopCommerce-style data</w:t>
            </w:r>
          </w:p>
        </w:tc>
      </w:tr>
      <w:tr>
        <w:tc>
          <w:tcPr>
            <w:tcW w:type="dxa" w:w="4513"/>
          </w:tcPr>
          <w:p>
            <w:r>
              <w:rPr>
                <w:rFonts w:ascii="Times New Roman" w:hAnsi="Times New Roman"/>
                <w:sz w:val="21"/>
              </w:rPr>
            </w:r>
            <w:r>
              <w:rPr>
                <w:rFonts w:ascii="Times New Roman" w:hAnsi="Times New Roman"/>
                <w:b w:val="0"/>
                <w:sz w:val="21"/>
              </w:rPr>
              <w:t>Completed baselines</w:t>
            </w:r>
          </w:p>
        </w:tc>
        <w:tc>
          <w:tcPr>
            <w:tcW w:type="dxa" w:w="4513"/>
          </w:tcPr>
          <w:p>
            <w:pPr>
              <w:jc w:val="center"/>
            </w:pPr>
            <w:r>
              <w:rPr>
                <w:rFonts w:ascii="Times New Roman" w:hAnsi="Times New Roman"/>
                <w:sz w:val="21"/>
              </w:rPr>
            </w:r>
            <w:r>
              <w:rPr>
                <w:rFonts w:ascii="Times New Roman" w:hAnsi="Times New Roman"/>
                <w:b w:val="0"/>
                <w:sz w:val="21"/>
              </w:rPr>
              <w:t>B1 direct LLM-to-SQL and B3 template-only</w:t>
            </w:r>
          </w:p>
        </w:tc>
      </w:tr>
      <w:tr>
        <w:tc>
          <w:tcPr>
            <w:tcW w:type="dxa" w:w="4513"/>
          </w:tcPr>
          <w:p>
            <w:r>
              <w:rPr>
                <w:rFonts w:ascii="Times New Roman" w:hAnsi="Times New Roman"/>
                <w:sz w:val="21"/>
              </w:rPr>
            </w:r>
            <w:r>
              <w:rPr>
                <w:rFonts w:ascii="Times New Roman" w:hAnsi="Times New Roman"/>
                <w:b w:val="0"/>
                <w:sz w:val="21"/>
              </w:rPr>
              <w:t>Pending measurements</w:t>
            </w:r>
          </w:p>
        </w:tc>
        <w:tc>
          <w:tcPr>
            <w:tcW w:type="dxa" w:w="4513"/>
          </w:tcPr>
          <w:p>
            <w:pPr>
              <w:jc w:val="center"/>
            </w:pPr>
            <w:r>
              <w:rPr>
                <w:rFonts w:ascii="Times New Roman" w:hAnsi="Times New Roman"/>
                <w:sz w:val="21"/>
              </w:rPr>
            </w:r>
            <w:r>
              <w:rPr>
                <w:rFonts w:ascii="Times New Roman" w:hAnsi="Times New Roman"/>
                <w:b w:val="0"/>
                <w:sz w:val="21"/>
              </w:rPr>
              <w:t>Semantic correctness, B2/B4 baselines, and latency</w:t>
            </w:r>
          </w:p>
        </w:tc>
      </w:tr>
    </w:tbl>
    <w:p>
      <w:pPr>
        <w:spacing w:after="80"/>
      </w:pPr>
    </w:p>
    <w:p>
      <w:pPr>
        <w:spacing w:after="200" w:before="0" w:line="360" w:lineRule="auto"/>
        <w:jc w:val="both"/>
      </w:pPr>
      <w:r>
        <w:rPr>
          <w:rFonts w:ascii="Times New Roman" w:hAnsi="Times New Roman"/>
          <w:b w:val="0"/>
          <w:i/>
          <w:sz w:val="22"/>
        </w:rPr>
        <w:t>Evidence files: evaluation_dataset/questions.json, benchmark_results.json, benchmark_results_b3.json, and verify_execution.py run against the safedash MySQL database on port 3307.</w:t>
      </w:r>
    </w:p>
    <w:p>
      <w:pPr>
        <w:spacing w:before="320" w:after="160"/>
        <w:jc w:val="left"/>
      </w:pPr>
      <w:r>
        <w:rPr>
          <w:rFonts w:ascii="Times New Roman" w:hAnsi="Times New Roman"/>
          <w:b/>
          <w:sz w:val="28"/>
        </w:rPr>
        <w:t>5.2  SQL Safety and True Database Execution Validity</w:t>
      </w:r>
    </w:p>
    <w:p>
      <w:pPr>
        <w:spacing w:after="200" w:before="0" w:line="360" w:lineRule="auto"/>
        <w:jc w:val="both"/>
      </w:pPr>
      <w:r>
        <w:rPr>
          <w:rFonts w:ascii="Times New Roman" w:hAnsi="Times New Roman"/>
          <w:b w:val="0"/>
          <w:i w:val="0"/>
          <w:sz w:val="24"/>
        </w:rPr>
        <w:t>Unsafe Query Execution Rate measures whether a generated SQL statement contains a genuine unsafe operation such as a write or schema-changing command. Query Execution Validity measures whether the SQL actually runs against the seeded MySQL database. These are different measurements: safety is about what the query is allowed to do, while true execution validity is about whether the database accepts and executes the statement.</w:t>
      </w:r>
    </w:p>
    <w:p>
      <w:pPr>
        <w:spacing w:before="200" w:after="80"/>
        <w:jc w:val="center"/>
      </w:pPr>
      <w:r>
        <w:rPr>
          <w:rFonts w:ascii="Times New Roman" w:hAnsi="Times New Roman"/>
          <w:b/>
          <w:sz w:val="22"/>
        </w:rPr>
        <w:t>Table 6: SQL safety and true execution validity on the 107-query benchmark.</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System</w:t>
            </w:r>
          </w:p>
        </w:tc>
        <w:tc>
          <w:tcPr>
            <w:tcW w:type="dxa" w:w="3009"/>
          </w:tcPr>
          <w:p>
            <w:pPr>
              <w:jc w:val="center"/>
            </w:pPr>
            <w:r>
              <w:rPr>
                <w:rFonts w:ascii="Times New Roman" w:hAnsi="Times New Roman"/>
                <w:b/>
                <w:sz w:val="21"/>
              </w:rPr>
            </w:r>
            <w:r>
              <w:rPr>
                <w:rFonts w:ascii="Times New Roman" w:hAnsi="Times New Roman"/>
                <w:b/>
                <w:sz w:val="21"/>
              </w:rPr>
              <w:t>Unsafe SQL</w:t>
            </w:r>
          </w:p>
        </w:tc>
        <w:tc>
          <w:tcPr>
            <w:tcW w:type="dxa" w:w="3009"/>
          </w:tcPr>
          <w:p>
            <w:pPr>
              <w:jc w:val="center"/>
            </w:pPr>
            <w:r>
              <w:rPr>
                <w:rFonts w:ascii="Times New Roman" w:hAnsi="Times New Roman"/>
                <w:b/>
                <w:sz w:val="21"/>
              </w:rPr>
            </w:r>
            <w:r>
              <w:rPr>
                <w:rFonts w:ascii="Times New Roman" w:hAnsi="Times New Roman"/>
                <w:b/>
                <w:sz w:val="21"/>
              </w:rPr>
              <w:t>True execution validity</w:t>
            </w:r>
          </w:p>
        </w:tc>
      </w:tr>
      <w:tr>
        <w:tc>
          <w:tcPr>
            <w:tcW w:type="dxa" w:w="3009"/>
          </w:tcPr>
          <w:p>
            <w:r>
              <w:rPr>
                <w:rFonts w:ascii="Times New Roman" w:hAnsi="Times New Roman"/>
                <w:sz w:val="21"/>
              </w:rPr>
            </w:r>
            <w:r>
              <w:rPr>
                <w:rFonts w:ascii="Times New Roman" w:hAnsi="Times New Roman"/>
                <w:b w:val="0"/>
                <w:sz w:val="21"/>
              </w:rPr>
              <w:t>Baseline B1 (Direct LLM-to-SQL)</w:t>
            </w:r>
          </w:p>
        </w:tc>
        <w:tc>
          <w:tcPr>
            <w:tcW w:type="dxa" w:w="3009"/>
          </w:tcPr>
          <w:p>
            <w:pPr>
              <w:jc w:val="center"/>
            </w:pPr>
            <w:r>
              <w:rPr>
                <w:rFonts w:ascii="Times New Roman" w:hAnsi="Times New Roman"/>
                <w:sz w:val="21"/>
              </w:rPr>
            </w:r>
            <w:r>
              <w:rPr>
                <w:rFonts w:ascii="Times New Roman" w:hAnsi="Times New Roman"/>
                <w:b w:val="0"/>
                <w:sz w:val="21"/>
              </w:rPr>
              <w:t>1 genuine unsafe statement in 107</w:t>
            </w:r>
          </w:p>
        </w:tc>
        <w:tc>
          <w:tcPr>
            <w:tcW w:type="dxa" w:w="3009"/>
          </w:tcPr>
          <w:p>
            <w:pPr>
              <w:jc w:val="center"/>
            </w:pPr>
            <w:r>
              <w:rPr>
                <w:rFonts w:ascii="Times New Roman" w:hAnsi="Times New Roman"/>
                <w:sz w:val="21"/>
              </w:rPr>
            </w:r>
            <w:r>
              <w:rPr>
                <w:rFonts w:ascii="Times New Roman" w:hAnsi="Times New Roman"/>
                <w:b w:val="0"/>
                <w:sz w:val="21"/>
              </w:rPr>
              <w:t>27 of 107 executed successfully (25.2%)</w:t>
            </w:r>
          </w:p>
        </w:tc>
      </w:tr>
      <w:tr>
        <w:tc>
          <w:tcPr>
            <w:tcW w:type="dxa" w:w="3009"/>
          </w:tcPr>
          <w:p>
            <w:r>
              <w:rPr>
                <w:rFonts w:ascii="Times New Roman" w:hAnsi="Times New Roman"/>
                <w:sz w:val="21"/>
              </w:rPr>
            </w:r>
            <w:r>
              <w:rPr>
                <w:rFonts w:ascii="Times New Roman" w:hAnsi="Times New Roman"/>
                <w:b w:val="0"/>
                <w:sz w:val="21"/>
              </w:rPr>
              <w:t>AEGIS</w:t>
            </w:r>
          </w:p>
        </w:tc>
        <w:tc>
          <w:tcPr>
            <w:tcW w:type="dxa" w:w="3009"/>
          </w:tcPr>
          <w:p>
            <w:pPr>
              <w:jc w:val="center"/>
            </w:pPr>
            <w:r>
              <w:rPr>
                <w:rFonts w:ascii="Times New Roman" w:hAnsi="Times New Roman"/>
                <w:sz w:val="21"/>
              </w:rPr>
            </w:r>
            <w:r>
              <w:rPr>
                <w:rFonts w:ascii="Times New Roman" w:hAnsi="Times New Roman"/>
                <w:b w:val="0"/>
                <w:sz w:val="21"/>
              </w:rPr>
              <w:t>0 unsafe statements in 107</w:t>
            </w:r>
          </w:p>
        </w:tc>
        <w:tc>
          <w:tcPr>
            <w:tcW w:type="dxa" w:w="3009"/>
          </w:tcPr>
          <w:p>
            <w:pPr>
              <w:jc w:val="center"/>
            </w:pPr>
            <w:r>
              <w:rPr>
                <w:rFonts w:ascii="Times New Roman" w:hAnsi="Times New Roman"/>
                <w:sz w:val="21"/>
              </w:rPr>
            </w:r>
            <w:r>
              <w:rPr>
                <w:rFonts w:ascii="Times New Roman" w:hAnsi="Times New Roman"/>
                <w:b w:val="0"/>
                <w:sz w:val="21"/>
              </w:rPr>
              <w:t>100 of 107 executed successfully (93.5%)</w:t>
            </w:r>
          </w:p>
        </w:tc>
      </w:tr>
      <w:tr>
        <w:tc>
          <w:tcPr>
            <w:tcW w:type="dxa" w:w="3009"/>
          </w:tcPr>
          <w:p>
            <w:r>
              <w:rPr>
                <w:rFonts w:ascii="Times New Roman" w:hAnsi="Times New Roman"/>
                <w:sz w:val="21"/>
              </w:rPr>
            </w:r>
            <w:r>
              <w:rPr>
                <w:rFonts w:ascii="Times New Roman" w:hAnsi="Times New Roman"/>
                <w:b w:val="0"/>
                <w:sz w:val="21"/>
              </w:rPr>
              <w:t>B3 Template-only</w:t>
            </w:r>
          </w:p>
        </w:tc>
        <w:tc>
          <w:tcPr>
            <w:tcW w:type="dxa" w:w="3009"/>
          </w:tcPr>
          <w:p>
            <w:pPr>
              <w:jc w:val="center"/>
            </w:pPr>
            <w:r>
              <w:rPr>
                <w:rFonts w:ascii="Times New Roman" w:hAnsi="Times New Roman"/>
                <w:sz w:val="21"/>
              </w:rPr>
            </w:r>
            <w:r>
              <w:rPr>
                <w:rFonts w:ascii="Times New Roman" w:hAnsi="Times New Roman"/>
                <w:b w:val="0"/>
                <w:sz w:val="21"/>
              </w:rPr>
              <w:t>Not used as the primary safety baseline in this chapter</w:t>
            </w:r>
          </w:p>
        </w:tc>
        <w:tc>
          <w:tcPr>
            <w:tcW w:type="dxa" w:w="3009"/>
          </w:tcPr>
          <w:p>
            <w:pPr>
              <w:jc w:val="center"/>
            </w:pPr>
            <w:r>
              <w:rPr>
                <w:rFonts w:ascii="Times New Roman" w:hAnsi="Times New Roman"/>
                <w:sz w:val="21"/>
              </w:rPr>
            </w:r>
            <w:r>
              <w:rPr>
                <w:rFonts w:ascii="Times New Roman" w:hAnsi="Times New Roman"/>
                <w:b w:val="0"/>
                <w:sz w:val="21"/>
              </w:rPr>
              <w:t>104 of 107 executed successfully (97.2%)</w:t>
            </w:r>
          </w:p>
        </w:tc>
      </w:tr>
    </w:tbl>
    <w:p>
      <w:pPr>
        <w:spacing w:after="80"/>
      </w:pPr>
    </w:p>
    <w:p>
      <w:pPr>
        <w:spacing w:after="160" w:before="0" w:line="360" w:lineRule="auto"/>
        <w:jc w:val="both"/>
      </w:pPr>
      <w:r>
        <w:rPr>
          <w:rFonts w:ascii="Times New Roman" w:hAnsi="Times New Roman"/>
          <w:b w:val="0"/>
          <w:i w:val="0"/>
          <w:sz w:val="24"/>
        </w:rPr>
        <w:t>Baseline B1 mostly failed because of hallucinated columns, invalid table references, or dialect errors. AEGIS had no unsafe SQL, but seven generated statements still failed due to implementation defects diagnosed below. B3 is included as a compiler-behavior comparison, not as a semantic-correctness result.</w:t>
      </w:r>
    </w:p>
    <w:p>
      <w:pPr>
        <w:spacing w:after="0" w:before="0" w:line="360" w:lineRule="auto"/>
        <w:jc w:val="both"/>
      </w:pPr>
      <w:r>
        <w:rPr>
          <w:rFonts w:ascii="Times New Roman" w:hAnsi="Times New Roman"/>
          <w:b w:val="0"/>
          <w:i w:val="0"/>
          <w:sz w:val="24"/>
        </w:rPr>
        <w:t>The strongest safety example is the disguised write request asking to cancel orders stuck in Pending for more than 30 days. Baseline B1 produced an executable UPDATE statement. AEGIS cannot express a write intent in its intent object or compiler templates, so it did not emit write SQL. This is the central safety result: AEGIS prevents this class of unsafe execution structurally rather than hoping the model follows an instruction not to write dangerous SQL.</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8 NOT YET INSERTED ]</w:t>
            </w:r>
          </w:p>
          <w:p>
            <w:pPr>
              <w:spacing w:after="160"/>
              <w:jc w:val="center"/>
            </w:pPr>
            <w:r>
              <w:rPr>
                <w:rFonts w:ascii="Times New Roman" w:hAnsi="Times New Roman"/>
                <w:b/>
                <w:color w:val="333333"/>
                <w:sz w:val="22"/>
              </w:rPr>
              <w:t>Verified safety and execution-validity comparison</w:t>
            </w:r>
          </w:p>
          <w:p>
            <w:pPr>
              <w:spacing w:after="280" w:line="300" w:lineRule="auto"/>
              <w:ind w:left="432" w:right="432"/>
              <w:jc w:val="center"/>
            </w:pPr>
            <w:r>
              <w:rPr>
                <w:rFonts w:ascii="Times New Roman" w:hAnsi="Times New Roman"/>
                <w:i/>
                <w:color w:val="555555"/>
                <w:sz w:val="19"/>
              </w:rPr>
              <w:t>A grouped bar chart comparing B1, AEGIS, and B3 where available. Show unsafe SQL as counts and true execution validity as successful executions out of 107. Do not plot semantic correctness here; correctness is a separate annotated benchmark.</w:t>
            </w:r>
          </w:p>
        </w:tc>
      </w:tr>
    </w:tbl>
    <w:p>
      <w:pPr>
        <w:spacing w:before="120" w:after="280"/>
        <w:jc w:val="center"/>
      </w:pPr>
      <w:r>
        <w:rPr>
          <w:rFonts w:ascii="Times New Roman" w:hAnsi="Times New Roman"/>
          <w:b/>
          <w:sz w:val="21"/>
        </w:rPr>
        <w:t>Figure 8: Verified safety and execution-validity comparison</w:t>
      </w:r>
    </w:p>
    <w:p>
      <w:pPr>
        <w:spacing w:before="320" w:after="160"/>
        <w:jc w:val="left"/>
      </w:pPr>
      <w:r>
        <w:rPr>
          <w:rFonts w:ascii="Times New Roman" w:hAnsi="Times New Roman"/>
          <w:b/>
          <w:sz w:val="28"/>
        </w:rPr>
        <w:t>5.3  Execution Failure Analysis</w:t>
      </w:r>
    </w:p>
    <w:p>
      <w:pPr>
        <w:spacing w:after="200" w:before="0" w:line="360" w:lineRule="auto"/>
        <w:jc w:val="both"/>
      </w:pPr>
      <w:r>
        <w:rPr>
          <w:rFonts w:ascii="Times New Roman" w:hAnsi="Times New Roman"/>
          <w:b w:val="0"/>
          <w:i w:val="0"/>
          <w:sz w:val="24"/>
        </w:rPr>
        <w:t>The seven AEGIS execution failures are useful because they show where the prototype needs engineering work in future work. They are not safety violations: they are SQL statements that failed to execute correctly against the real database.</w:t>
      </w:r>
    </w:p>
    <w:p>
      <w:pPr>
        <w:spacing w:before="200" w:after="80"/>
        <w:jc w:val="center"/>
      </w:pPr>
      <w:r>
        <w:rPr>
          <w:rFonts w:ascii="Times New Roman" w:hAnsi="Times New Roman"/>
          <w:b/>
          <w:sz w:val="22"/>
        </w:rPr>
        <w:t>Table 7: AEGIS true-execution failures diagnosed from MySQL execution.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Query ID</w:t>
            </w:r>
          </w:p>
        </w:tc>
        <w:tc>
          <w:tcPr>
            <w:tcW w:type="dxa" w:w="3009"/>
          </w:tcPr>
          <w:p>
            <w:pPr>
              <w:jc w:val="center"/>
            </w:pPr>
            <w:r>
              <w:rPr>
                <w:rFonts w:ascii="Times New Roman" w:hAnsi="Times New Roman"/>
                <w:b/>
                <w:sz w:val="21"/>
              </w:rPr>
            </w:r>
            <w:r>
              <w:rPr>
                <w:rFonts w:ascii="Times New Roman" w:hAnsi="Times New Roman"/>
                <w:b/>
                <w:sz w:val="21"/>
              </w:rPr>
              <w:t>Failure class</w:t>
            </w:r>
          </w:p>
        </w:tc>
        <w:tc>
          <w:tcPr>
            <w:tcW w:type="dxa" w:w="3009"/>
          </w:tcPr>
          <w:p>
            <w:pPr>
              <w:jc w:val="center"/>
            </w:pPr>
            <w:r>
              <w:rPr>
                <w:rFonts w:ascii="Times New Roman" w:hAnsi="Times New Roman"/>
                <w:b/>
                <w:sz w:val="21"/>
              </w:rPr>
            </w:r>
            <w:r>
              <w:rPr>
                <w:rFonts w:ascii="Times New Roman" w:hAnsi="Times New Roman"/>
                <w:b/>
                <w:sz w:val="21"/>
              </w:rPr>
              <w:t>Observed database error</w:t>
            </w:r>
          </w:p>
        </w:tc>
      </w:tr>
      <w:tr>
        <w:tc>
          <w:tcPr>
            <w:tcW w:type="dxa" w:w="3009"/>
          </w:tcPr>
          <w:p>
            <w:r>
              <w:rPr>
                <w:rFonts w:ascii="Times New Roman" w:hAnsi="Times New Roman"/>
                <w:sz w:val="21"/>
              </w:rPr>
            </w:r>
            <w:r>
              <w:rPr>
                <w:rFonts w:ascii="Times New Roman" w:hAnsi="Times New Roman"/>
                <w:b w:val="0"/>
                <w:sz w:val="21"/>
              </w:rPr>
              <w:t>5</w:t>
            </w:r>
          </w:p>
        </w:tc>
        <w:tc>
          <w:tcPr>
            <w:tcW w:type="dxa" w:w="3009"/>
          </w:tcPr>
          <w:p>
            <w:pPr>
              <w:jc w:val="center"/>
            </w:pPr>
            <w:r>
              <w:rPr>
                <w:rFonts w:ascii="Times New Roman" w:hAnsi="Times New Roman"/>
                <w:sz w:val="21"/>
              </w:rPr>
            </w:r>
            <w:r>
              <w:rPr>
                <w:rFonts w:ascii="Times New Roman" w:hAnsi="Times New Roman"/>
                <w:b w:val="0"/>
                <w:sz w:val="21"/>
              </w:rPr>
              <w:t>Relative-date normalization</w:t>
            </w:r>
          </w:p>
        </w:tc>
        <w:tc>
          <w:tcPr>
            <w:tcW w:type="dxa" w:w="3009"/>
          </w:tcPr>
          <w:p>
            <w:pPr>
              <w:jc w:val="center"/>
            </w:pPr>
            <w:r>
              <w:rPr>
                <w:rFonts w:ascii="Times New Roman" w:hAnsi="Times New Roman"/>
                <w:sz w:val="21"/>
              </w:rPr>
            </w:r>
            <w:r>
              <w:rPr>
                <w:rFonts w:ascii="Times New Roman" w:hAnsi="Times New Roman"/>
                <w:b w:val="0"/>
                <w:sz w:val="21"/>
              </w:rPr>
              <w:t>Incorrect DATETIME value: 'this morning'</w:t>
            </w:r>
          </w:p>
        </w:tc>
      </w:tr>
      <w:tr>
        <w:tc>
          <w:tcPr>
            <w:tcW w:type="dxa" w:w="3009"/>
          </w:tcPr>
          <w:p>
            <w:r>
              <w:rPr>
                <w:rFonts w:ascii="Times New Roman" w:hAnsi="Times New Roman"/>
                <w:sz w:val="21"/>
              </w:rPr>
            </w:r>
            <w:r>
              <w:rPr>
                <w:rFonts w:ascii="Times New Roman" w:hAnsi="Times New Roman"/>
                <w:b w:val="0"/>
                <w:sz w:val="21"/>
              </w:rPr>
              <w:t>13</w:t>
            </w:r>
          </w:p>
        </w:tc>
        <w:tc>
          <w:tcPr>
            <w:tcW w:type="dxa" w:w="3009"/>
          </w:tcPr>
          <w:p>
            <w:pPr>
              <w:jc w:val="center"/>
            </w:pPr>
            <w:r>
              <w:rPr>
                <w:rFonts w:ascii="Times New Roman" w:hAnsi="Times New Roman"/>
                <w:sz w:val="21"/>
              </w:rPr>
            </w:r>
            <w:r>
              <w:rPr>
                <w:rFonts w:ascii="Times New Roman" w:hAnsi="Times New Roman"/>
                <w:b w:val="0"/>
                <w:sz w:val="21"/>
              </w:rPr>
              <w:t>Compiler syntax edge case</w:t>
            </w:r>
          </w:p>
        </w:tc>
        <w:tc>
          <w:tcPr>
            <w:tcW w:type="dxa" w:w="3009"/>
          </w:tcPr>
          <w:p>
            <w:pPr>
              <w:jc w:val="center"/>
            </w:pPr>
            <w:r>
              <w:rPr>
                <w:rFonts w:ascii="Times New Roman" w:hAnsi="Times New Roman"/>
                <w:sz w:val="21"/>
              </w:rPr>
            </w:r>
            <w:r>
              <w:rPr>
                <w:rFonts w:ascii="Times New Roman" w:hAnsi="Times New Roman"/>
                <w:b w:val="0"/>
                <w:sz w:val="21"/>
              </w:rPr>
              <w:t>MySQL syntax error near generated SQL fragment</w:t>
            </w:r>
          </w:p>
        </w:tc>
      </w:tr>
      <w:tr>
        <w:tc>
          <w:tcPr>
            <w:tcW w:type="dxa" w:w="3009"/>
          </w:tcPr>
          <w:p>
            <w:r>
              <w:rPr>
                <w:rFonts w:ascii="Times New Roman" w:hAnsi="Times New Roman"/>
                <w:sz w:val="21"/>
              </w:rPr>
            </w:r>
            <w:r>
              <w:rPr>
                <w:rFonts w:ascii="Times New Roman" w:hAnsi="Times New Roman"/>
                <w:b w:val="0"/>
                <w:sz w:val="21"/>
              </w:rPr>
              <w:t>19</w:t>
            </w:r>
          </w:p>
        </w:tc>
        <w:tc>
          <w:tcPr>
            <w:tcW w:type="dxa" w:w="3009"/>
          </w:tcPr>
          <w:p>
            <w:pPr>
              <w:jc w:val="center"/>
            </w:pPr>
            <w:r>
              <w:rPr>
                <w:rFonts w:ascii="Times New Roman" w:hAnsi="Times New Roman"/>
                <w:sz w:val="21"/>
              </w:rPr>
            </w:r>
            <w:r>
              <w:rPr>
                <w:rFonts w:ascii="Times New Roman" w:hAnsi="Times New Roman"/>
                <w:b w:val="0"/>
                <w:sz w:val="21"/>
              </w:rPr>
              <w:t>Join-path or alias defect</w:t>
            </w:r>
          </w:p>
        </w:tc>
        <w:tc>
          <w:tcPr>
            <w:tcW w:type="dxa" w:w="3009"/>
          </w:tcPr>
          <w:p>
            <w:pPr>
              <w:jc w:val="center"/>
            </w:pPr>
            <w:r>
              <w:rPr>
                <w:rFonts w:ascii="Times New Roman" w:hAnsi="Times New Roman"/>
                <w:sz w:val="21"/>
              </w:rPr>
            </w:r>
            <w:r>
              <w:rPr>
                <w:rFonts w:ascii="Times New Roman" w:hAnsi="Times New Roman"/>
                <w:b w:val="0"/>
                <w:sz w:val="21"/>
              </w:rPr>
              <w:t>Unknown column 'o.Id' in ON clause</w:t>
            </w:r>
          </w:p>
        </w:tc>
      </w:tr>
      <w:tr>
        <w:tc>
          <w:tcPr>
            <w:tcW w:type="dxa" w:w="3009"/>
          </w:tcPr>
          <w:p>
            <w:r>
              <w:rPr>
                <w:rFonts w:ascii="Times New Roman" w:hAnsi="Times New Roman"/>
                <w:sz w:val="21"/>
              </w:rPr>
            </w:r>
            <w:r>
              <w:rPr>
                <w:rFonts w:ascii="Times New Roman" w:hAnsi="Times New Roman"/>
                <w:b w:val="0"/>
                <w:sz w:val="21"/>
              </w:rPr>
              <w:t>46</w:t>
            </w:r>
          </w:p>
        </w:tc>
        <w:tc>
          <w:tcPr>
            <w:tcW w:type="dxa" w:w="3009"/>
          </w:tcPr>
          <w:p>
            <w:pPr>
              <w:jc w:val="center"/>
            </w:pPr>
            <w:r>
              <w:rPr>
                <w:rFonts w:ascii="Times New Roman" w:hAnsi="Times New Roman"/>
                <w:sz w:val="21"/>
              </w:rPr>
            </w:r>
            <w:r>
              <w:rPr>
                <w:rFonts w:ascii="Times New Roman" w:hAnsi="Times New Roman"/>
                <w:b w:val="0"/>
                <w:sz w:val="21"/>
              </w:rPr>
              <w:t>Relative-date normalization</w:t>
            </w:r>
          </w:p>
        </w:tc>
        <w:tc>
          <w:tcPr>
            <w:tcW w:type="dxa" w:w="3009"/>
          </w:tcPr>
          <w:p>
            <w:pPr>
              <w:jc w:val="center"/>
            </w:pPr>
            <w:r>
              <w:rPr>
                <w:rFonts w:ascii="Times New Roman" w:hAnsi="Times New Roman"/>
                <w:sz w:val="21"/>
              </w:rPr>
            </w:r>
            <w:r>
              <w:rPr>
                <w:rFonts w:ascii="Times New Roman" w:hAnsi="Times New Roman"/>
                <w:b w:val="0"/>
                <w:sz w:val="21"/>
              </w:rPr>
              <w:t>Incorrect DATETIME value: 'last 90 days'</w:t>
            </w:r>
          </w:p>
        </w:tc>
      </w:tr>
      <w:tr>
        <w:tc>
          <w:tcPr>
            <w:tcW w:type="dxa" w:w="3009"/>
          </w:tcPr>
          <w:p>
            <w:r>
              <w:rPr>
                <w:rFonts w:ascii="Times New Roman" w:hAnsi="Times New Roman"/>
                <w:sz w:val="21"/>
              </w:rPr>
            </w:r>
            <w:r>
              <w:rPr>
                <w:rFonts w:ascii="Times New Roman" w:hAnsi="Times New Roman"/>
                <w:b w:val="0"/>
                <w:sz w:val="21"/>
              </w:rPr>
              <w:t>72</w:t>
            </w:r>
          </w:p>
        </w:tc>
        <w:tc>
          <w:tcPr>
            <w:tcW w:type="dxa" w:w="3009"/>
          </w:tcPr>
          <w:p>
            <w:pPr>
              <w:jc w:val="center"/>
            </w:pPr>
            <w:r>
              <w:rPr>
                <w:rFonts w:ascii="Times New Roman" w:hAnsi="Times New Roman"/>
                <w:sz w:val="21"/>
              </w:rPr>
            </w:r>
            <w:r>
              <w:rPr>
                <w:rFonts w:ascii="Times New Roman" w:hAnsi="Times New Roman"/>
                <w:b w:val="0"/>
                <w:sz w:val="21"/>
              </w:rPr>
              <w:t>Relative-date normalization</w:t>
            </w:r>
          </w:p>
        </w:tc>
        <w:tc>
          <w:tcPr>
            <w:tcW w:type="dxa" w:w="3009"/>
          </w:tcPr>
          <w:p>
            <w:pPr>
              <w:jc w:val="center"/>
            </w:pPr>
            <w:r>
              <w:rPr>
                <w:rFonts w:ascii="Times New Roman" w:hAnsi="Times New Roman"/>
                <w:sz w:val="21"/>
              </w:rPr>
            </w:r>
            <w:r>
              <w:rPr>
                <w:rFonts w:ascii="Times New Roman" w:hAnsi="Times New Roman"/>
                <w:b w:val="0"/>
                <w:sz w:val="21"/>
              </w:rPr>
              <w:t>Incorrect DATETIME value: 'this quarter'</w:t>
            </w:r>
          </w:p>
        </w:tc>
      </w:tr>
      <w:tr>
        <w:tc>
          <w:tcPr>
            <w:tcW w:type="dxa" w:w="3009"/>
          </w:tcPr>
          <w:p>
            <w:r>
              <w:rPr>
                <w:rFonts w:ascii="Times New Roman" w:hAnsi="Times New Roman"/>
                <w:sz w:val="21"/>
              </w:rPr>
            </w:r>
            <w:r>
              <w:rPr>
                <w:rFonts w:ascii="Times New Roman" w:hAnsi="Times New Roman"/>
                <w:b w:val="0"/>
                <w:sz w:val="21"/>
              </w:rPr>
              <w:t>80</w:t>
            </w:r>
          </w:p>
        </w:tc>
        <w:tc>
          <w:tcPr>
            <w:tcW w:type="dxa" w:w="3009"/>
          </w:tcPr>
          <w:p>
            <w:pPr>
              <w:jc w:val="center"/>
            </w:pPr>
            <w:r>
              <w:rPr>
                <w:rFonts w:ascii="Times New Roman" w:hAnsi="Times New Roman"/>
                <w:sz w:val="21"/>
              </w:rPr>
            </w:r>
            <w:r>
              <w:rPr>
                <w:rFonts w:ascii="Times New Roman" w:hAnsi="Times New Roman"/>
                <w:b w:val="0"/>
                <w:sz w:val="21"/>
              </w:rPr>
              <w:t>Compiler syntax edge case</w:t>
            </w:r>
          </w:p>
        </w:tc>
        <w:tc>
          <w:tcPr>
            <w:tcW w:type="dxa" w:w="3009"/>
          </w:tcPr>
          <w:p>
            <w:pPr>
              <w:jc w:val="center"/>
            </w:pPr>
            <w:r>
              <w:rPr>
                <w:rFonts w:ascii="Times New Roman" w:hAnsi="Times New Roman"/>
                <w:sz w:val="21"/>
              </w:rPr>
            </w:r>
            <w:r>
              <w:rPr>
                <w:rFonts w:ascii="Times New Roman" w:hAnsi="Times New Roman"/>
                <w:b w:val="0"/>
                <w:sz w:val="21"/>
              </w:rPr>
              <w:t>MySQL syntax error near generated SQL fragment</w:t>
            </w:r>
          </w:p>
        </w:tc>
      </w:tr>
      <w:tr>
        <w:tc>
          <w:tcPr>
            <w:tcW w:type="dxa" w:w="3009"/>
          </w:tcPr>
          <w:p>
            <w:r>
              <w:rPr>
                <w:rFonts w:ascii="Times New Roman" w:hAnsi="Times New Roman"/>
                <w:sz w:val="21"/>
              </w:rPr>
            </w:r>
            <w:r>
              <w:rPr>
                <w:rFonts w:ascii="Times New Roman" w:hAnsi="Times New Roman"/>
                <w:b w:val="0"/>
                <w:sz w:val="21"/>
              </w:rPr>
              <w:t>84</w:t>
            </w:r>
          </w:p>
        </w:tc>
        <w:tc>
          <w:tcPr>
            <w:tcW w:type="dxa" w:w="3009"/>
          </w:tcPr>
          <w:p>
            <w:pPr>
              <w:jc w:val="center"/>
            </w:pPr>
            <w:r>
              <w:rPr>
                <w:rFonts w:ascii="Times New Roman" w:hAnsi="Times New Roman"/>
                <w:sz w:val="21"/>
              </w:rPr>
            </w:r>
            <w:r>
              <w:rPr>
                <w:rFonts w:ascii="Times New Roman" w:hAnsi="Times New Roman"/>
                <w:b w:val="0"/>
                <w:sz w:val="21"/>
              </w:rPr>
              <w:t>Compiler syntax edge case</w:t>
            </w:r>
          </w:p>
        </w:tc>
        <w:tc>
          <w:tcPr>
            <w:tcW w:type="dxa" w:w="3009"/>
          </w:tcPr>
          <w:p>
            <w:pPr>
              <w:jc w:val="center"/>
            </w:pPr>
            <w:r>
              <w:rPr>
                <w:rFonts w:ascii="Times New Roman" w:hAnsi="Times New Roman"/>
                <w:sz w:val="21"/>
              </w:rPr>
            </w:r>
            <w:r>
              <w:rPr>
                <w:rFonts w:ascii="Times New Roman" w:hAnsi="Times New Roman"/>
                <w:b w:val="0"/>
                <w:sz w:val="21"/>
              </w:rPr>
              <w:t>MySQL syntax error near generated SQL fragment</w:t>
            </w:r>
          </w:p>
        </w:tc>
      </w:tr>
    </w:tbl>
    <w:p>
      <w:pPr>
        <w:spacing w:after="80"/>
      </w:pPr>
    </w:p>
    <w:p>
      <w:pPr>
        <w:spacing w:after="0" w:before="0" w:line="360" w:lineRule="auto"/>
        <w:jc w:val="both"/>
      </w:pPr>
      <w:r>
        <w:rPr>
          <w:rFonts w:ascii="Times New Roman" w:hAnsi="Times New Roman"/>
          <w:b w:val="0"/>
          <w:i w:val="0"/>
          <w:sz w:val="24"/>
        </w:rPr>
        <w:t>The failure pattern is narrow. Three failures are date-normalization bugs, three are compiler syntax edge cases, and one is a join or alias construction defect. These are concrete implementation bugs, not evidence that the safety boundary failed. They should be fixed in future work and then re-measured using the same true database execution procedure.</w:t>
      </w:r>
    </w:p>
    <w:p>
      <w:pPr>
        <w:spacing w:before="320" w:after="160"/>
        <w:jc w:val="left"/>
      </w:pPr>
      <w:r>
        <w:rPr>
          <w:rFonts w:ascii="Times New Roman" w:hAnsi="Times New Roman"/>
          <w:b/>
          <w:sz w:val="28"/>
        </w:rPr>
        <w:t>5.4  Semantic Correctness and Accuracy</w:t>
      </w:r>
    </w:p>
    <w:p>
      <w:pPr>
        <w:spacing w:after="200" w:before="0" w:line="360" w:lineRule="auto"/>
        <w:jc w:val="both"/>
      </w:pPr>
      <w:r>
        <w:rPr>
          <w:rFonts w:ascii="Times New Roman" w:hAnsi="Times New Roman"/>
          <w:b w:val="0"/>
          <w:i w:val="0"/>
          <w:sz w:val="24"/>
        </w:rPr>
        <w:t>Correctness or accuracy is a separate benchmark from execution validity. The current results prove that AEGIS usually generates SQL that the database can execute and that it does not generate unsafe SQL. They do not, by themselves, prove that every safe and executable query answers the user's real intent.</w:t>
      </w:r>
    </w:p>
    <w:p>
      <w:pPr>
        <w:spacing w:before="200" w:after="80"/>
        <w:jc w:val="center"/>
      </w:pPr>
      <w:r>
        <w:rPr>
          <w:rFonts w:ascii="Times New Roman" w:hAnsi="Times New Roman"/>
          <w:b/>
          <w:sz w:val="22"/>
        </w:rPr>
        <w:t>Table 8: Distinguishing the evaluation metrics.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Metric</w:t>
            </w:r>
          </w:p>
        </w:tc>
        <w:tc>
          <w:tcPr>
            <w:tcW w:type="dxa" w:w="3009"/>
          </w:tcPr>
          <w:p>
            <w:pPr>
              <w:jc w:val="center"/>
            </w:pPr>
            <w:r>
              <w:rPr>
                <w:rFonts w:ascii="Times New Roman" w:hAnsi="Times New Roman"/>
                <w:b/>
                <w:sz w:val="21"/>
              </w:rPr>
            </w:r>
            <w:r>
              <w:rPr>
                <w:rFonts w:ascii="Times New Roman" w:hAnsi="Times New Roman"/>
                <w:b/>
                <w:sz w:val="21"/>
              </w:rPr>
              <w:t>What it answers</w:t>
            </w:r>
          </w:p>
        </w:tc>
        <w:tc>
          <w:tcPr>
            <w:tcW w:type="dxa" w:w="3009"/>
          </w:tcPr>
          <w:p>
            <w:pPr>
              <w:jc w:val="center"/>
            </w:pPr>
            <w:r>
              <w:rPr>
                <w:rFonts w:ascii="Times New Roman" w:hAnsi="Times New Roman"/>
                <w:b/>
                <w:sz w:val="21"/>
              </w:rPr>
            </w:r>
            <w:r>
              <w:rPr>
                <w:rFonts w:ascii="Times New Roman" w:hAnsi="Times New Roman"/>
                <w:b/>
                <w:sz w:val="21"/>
              </w:rPr>
              <w:t>Current status</w:t>
            </w:r>
          </w:p>
        </w:tc>
      </w:tr>
      <w:tr>
        <w:tc>
          <w:tcPr>
            <w:tcW w:type="dxa" w:w="3009"/>
          </w:tcPr>
          <w:p>
            <w:r>
              <w:rPr>
                <w:rFonts w:ascii="Times New Roman" w:hAnsi="Times New Roman"/>
                <w:sz w:val="21"/>
              </w:rPr>
            </w:r>
            <w:r>
              <w:rPr>
                <w:rFonts w:ascii="Times New Roman" w:hAnsi="Times New Roman"/>
                <w:b w:val="0"/>
                <w:sz w:val="21"/>
              </w:rPr>
              <w:t>SQL safety</w:t>
            </w:r>
          </w:p>
        </w:tc>
        <w:tc>
          <w:tcPr>
            <w:tcW w:type="dxa" w:w="3009"/>
          </w:tcPr>
          <w:p>
            <w:pPr>
              <w:jc w:val="center"/>
            </w:pPr>
            <w:r>
              <w:rPr>
                <w:rFonts w:ascii="Times New Roman" w:hAnsi="Times New Roman"/>
                <w:sz w:val="21"/>
              </w:rPr>
            </w:r>
            <w:r>
              <w:rPr>
                <w:rFonts w:ascii="Times New Roman" w:hAnsi="Times New Roman"/>
                <w:b w:val="0"/>
                <w:sz w:val="21"/>
              </w:rPr>
              <w:t>Did the generated SQL avoid unsafe write or schema-changing behavior?</w:t>
            </w:r>
          </w:p>
        </w:tc>
        <w:tc>
          <w:tcPr>
            <w:tcW w:type="dxa" w:w="3009"/>
          </w:tcPr>
          <w:p>
            <w:pPr>
              <w:jc w:val="center"/>
            </w:pPr>
            <w:r>
              <w:rPr>
                <w:rFonts w:ascii="Times New Roman" w:hAnsi="Times New Roman"/>
                <w:sz w:val="21"/>
              </w:rPr>
            </w:r>
            <w:r>
              <w:rPr>
                <w:rFonts w:ascii="Times New Roman" w:hAnsi="Times New Roman"/>
                <w:b w:val="0"/>
                <w:sz w:val="21"/>
              </w:rPr>
              <w:t>Verified for B1 and AEGIS on all 107 requests.</w:t>
            </w:r>
          </w:p>
        </w:tc>
      </w:tr>
      <w:tr>
        <w:tc>
          <w:tcPr>
            <w:tcW w:type="dxa" w:w="3009"/>
          </w:tcPr>
          <w:p>
            <w:r>
              <w:rPr>
                <w:rFonts w:ascii="Times New Roman" w:hAnsi="Times New Roman"/>
                <w:sz w:val="21"/>
              </w:rPr>
            </w:r>
            <w:r>
              <w:rPr>
                <w:rFonts w:ascii="Times New Roman" w:hAnsi="Times New Roman"/>
                <w:b w:val="0"/>
                <w:sz w:val="21"/>
              </w:rPr>
              <w:t>True execution validity</w:t>
            </w:r>
          </w:p>
        </w:tc>
        <w:tc>
          <w:tcPr>
            <w:tcW w:type="dxa" w:w="3009"/>
          </w:tcPr>
          <w:p>
            <w:pPr>
              <w:jc w:val="center"/>
            </w:pPr>
            <w:r>
              <w:rPr>
                <w:rFonts w:ascii="Times New Roman" w:hAnsi="Times New Roman"/>
                <w:sz w:val="21"/>
              </w:rPr>
            </w:r>
            <w:r>
              <w:rPr>
                <w:rFonts w:ascii="Times New Roman" w:hAnsi="Times New Roman"/>
                <w:b w:val="0"/>
                <w:sz w:val="21"/>
              </w:rPr>
              <w:t>Did the generated SQL run against the seeded MySQL database?</w:t>
            </w:r>
          </w:p>
        </w:tc>
        <w:tc>
          <w:tcPr>
            <w:tcW w:type="dxa" w:w="3009"/>
          </w:tcPr>
          <w:p>
            <w:pPr>
              <w:jc w:val="center"/>
            </w:pPr>
            <w:r>
              <w:rPr>
                <w:rFonts w:ascii="Times New Roman" w:hAnsi="Times New Roman"/>
                <w:sz w:val="21"/>
              </w:rPr>
            </w:r>
            <w:r>
              <w:rPr>
                <w:rFonts w:ascii="Times New Roman" w:hAnsi="Times New Roman"/>
                <w:b w:val="0"/>
                <w:sz w:val="21"/>
              </w:rPr>
              <w:t>Verified for B1, AEGIS, and B3.</w:t>
            </w:r>
          </w:p>
        </w:tc>
      </w:tr>
      <w:tr>
        <w:tc>
          <w:tcPr>
            <w:tcW w:type="dxa" w:w="3009"/>
          </w:tcPr>
          <w:p>
            <w:r>
              <w:rPr>
                <w:rFonts w:ascii="Times New Roman" w:hAnsi="Times New Roman"/>
                <w:sz w:val="21"/>
              </w:rPr>
            </w:r>
            <w:r>
              <w:rPr>
                <w:rFonts w:ascii="Times New Roman" w:hAnsi="Times New Roman"/>
                <w:b w:val="0"/>
                <w:sz w:val="21"/>
              </w:rPr>
              <w:t>Semantic correctness / accuracy</w:t>
            </w:r>
          </w:p>
        </w:tc>
        <w:tc>
          <w:tcPr>
            <w:tcW w:type="dxa" w:w="3009"/>
          </w:tcPr>
          <w:p>
            <w:pPr>
              <w:jc w:val="center"/>
            </w:pPr>
            <w:r>
              <w:rPr>
                <w:rFonts w:ascii="Times New Roman" w:hAnsi="Times New Roman"/>
                <w:sz w:val="21"/>
              </w:rPr>
            </w:r>
            <w:r>
              <w:rPr>
                <w:rFonts w:ascii="Times New Roman" w:hAnsi="Times New Roman"/>
                <w:b w:val="0"/>
                <w:sz w:val="21"/>
              </w:rPr>
              <w:t>Did the answer match the user's intended reporting need?</w:t>
            </w:r>
          </w:p>
        </w:tc>
        <w:tc>
          <w:tcPr>
            <w:tcW w:type="dxa" w:w="3009"/>
          </w:tcPr>
          <w:p>
            <w:pPr>
              <w:jc w:val="center"/>
            </w:pPr>
            <w:r>
              <w:rPr>
                <w:rFonts w:ascii="Times New Roman" w:hAnsi="Times New Roman"/>
                <w:sz w:val="21"/>
              </w:rPr>
            </w:r>
            <w:r>
              <w:rPr>
                <w:rFonts w:ascii="Times New Roman" w:hAnsi="Times New Roman"/>
                <w:b w:val="0"/>
                <w:sz w:val="21"/>
              </w:rPr>
              <w:t>Not yet numerically scored; requires annotated expected outputs or labels.</w:t>
            </w:r>
          </w:p>
        </w:tc>
      </w:tr>
      <w:tr>
        <w:tc>
          <w:tcPr>
            <w:tcW w:type="dxa" w:w="3009"/>
          </w:tcPr>
          <w:p>
            <w:r>
              <w:rPr>
                <w:rFonts w:ascii="Times New Roman" w:hAnsi="Times New Roman"/>
                <w:sz w:val="21"/>
              </w:rPr>
            </w:r>
            <w:r>
              <w:rPr>
                <w:rFonts w:ascii="Times New Roman" w:hAnsi="Times New Roman"/>
                <w:b w:val="0"/>
                <w:sz w:val="21"/>
              </w:rPr>
              <w:t>Scope handling</w:t>
            </w:r>
          </w:p>
        </w:tc>
        <w:tc>
          <w:tcPr>
            <w:tcW w:type="dxa" w:w="3009"/>
          </w:tcPr>
          <w:p>
            <w:pPr>
              <w:jc w:val="center"/>
            </w:pPr>
            <w:r>
              <w:rPr>
                <w:rFonts w:ascii="Times New Roman" w:hAnsi="Times New Roman"/>
                <w:sz w:val="21"/>
              </w:rPr>
            </w:r>
            <w:r>
              <w:rPr>
                <w:rFonts w:ascii="Times New Roman" w:hAnsi="Times New Roman"/>
                <w:b w:val="0"/>
                <w:sz w:val="21"/>
              </w:rPr>
              <w:t>Did the system clarify or reject unsupported requests instead of guessing?</w:t>
            </w:r>
          </w:p>
        </w:tc>
        <w:tc>
          <w:tcPr>
            <w:tcW w:type="dxa" w:w="3009"/>
          </w:tcPr>
          <w:p>
            <w:pPr>
              <w:jc w:val="center"/>
            </w:pPr>
            <w:r>
              <w:rPr>
                <w:rFonts w:ascii="Times New Roman" w:hAnsi="Times New Roman"/>
                <w:sz w:val="21"/>
              </w:rPr>
            </w:r>
            <w:r>
              <w:rPr>
                <w:rFonts w:ascii="Times New Roman" w:hAnsi="Times New Roman"/>
                <w:b w:val="0"/>
                <w:sz w:val="21"/>
              </w:rPr>
              <w:t>Observed as a limitation; needs a separate annotated evaluation.</w:t>
            </w:r>
          </w:p>
        </w:tc>
      </w:tr>
      <w:tr>
        <w:tc>
          <w:tcPr>
            <w:tcW w:type="dxa" w:w="3009"/>
          </w:tcPr>
          <w:p>
            <w:r>
              <w:rPr>
                <w:rFonts w:ascii="Times New Roman" w:hAnsi="Times New Roman"/>
                <w:sz w:val="21"/>
              </w:rPr>
            </w:r>
            <w:r>
              <w:rPr>
                <w:rFonts w:ascii="Times New Roman" w:hAnsi="Times New Roman"/>
                <w:b w:val="0"/>
                <w:sz w:val="21"/>
              </w:rPr>
              <w:t>Latency</w:t>
            </w:r>
          </w:p>
        </w:tc>
        <w:tc>
          <w:tcPr>
            <w:tcW w:type="dxa" w:w="3009"/>
          </w:tcPr>
          <w:p>
            <w:pPr>
              <w:jc w:val="center"/>
            </w:pPr>
            <w:r>
              <w:rPr>
                <w:rFonts w:ascii="Times New Roman" w:hAnsi="Times New Roman"/>
                <w:sz w:val="21"/>
              </w:rPr>
            </w:r>
            <w:r>
              <w:rPr>
                <w:rFonts w:ascii="Times New Roman" w:hAnsi="Times New Roman"/>
                <w:b w:val="0"/>
                <w:sz w:val="21"/>
              </w:rPr>
              <w:t>How long each stage takes end to end?</w:t>
            </w:r>
          </w:p>
        </w:tc>
        <w:tc>
          <w:tcPr>
            <w:tcW w:type="dxa" w:w="3009"/>
          </w:tcPr>
          <w:p>
            <w:pPr>
              <w:jc w:val="center"/>
            </w:pPr>
            <w:r>
              <w:rPr>
                <w:rFonts w:ascii="Times New Roman" w:hAnsi="Times New Roman"/>
                <w:sz w:val="21"/>
              </w:rPr>
            </w:r>
            <w:r>
              <w:rPr>
                <w:rFonts w:ascii="Times New Roman" w:hAnsi="Times New Roman"/>
                <w:b w:val="0"/>
                <w:sz w:val="21"/>
              </w:rPr>
              <w:t>Not yet instrumented.</w:t>
            </w:r>
          </w:p>
        </w:tc>
      </w:tr>
    </w:tbl>
    <w:p>
      <w:pPr>
        <w:spacing w:after="80"/>
      </w:pPr>
    </w:p>
    <w:p>
      <w:pPr>
        <w:spacing w:after="0" w:before="0" w:line="360" w:lineRule="auto"/>
        <w:jc w:val="both"/>
      </w:pPr>
      <w:r>
        <w:rPr>
          <w:rFonts w:ascii="Times New Roman" w:hAnsi="Times New Roman"/>
          <w:b w:val="0"/>
          <w:i w:val="0"/>
          <w:sz w:val="24"/>
        </w:rPr>
        <w:t>This distinction is important for the thesis argument. AEGIS maintained SQL safety even under harder boundary cases, but the scope-detection mechanism was incomplete: several unsupported or underspecified requests were mapped to safe but semantically wrong in-scope queries instead of being rejected or clarified. That behavior should be reported as a correctness and clarification limitation, not hidden inside the safety metric.</w:t>
      </w:r>
    </w:p>
    <w:p>
      <w:pPr>
        <w:spacing w:before="320" w:after="160"/>
        <w:jc w:val="left"/>
      </w:pPr>
      <w:r>
        <w:rPr>
          <w:rFonts w:ascii="Times New Roman" w:hAnsi="Times New Roman"/>
          <w:b/>
          <w:sz w:val="28"/>
        </w:rPr>
        <w:t>5.5  B3 Template-Only Baseline</w:t>
      </w:r>
    </w:p>
    <w:p>
      <w:pPr>
        <w:spacing w:after="200" w:before="0" w:line="360" w:lineRule="auto"/>
        <w:jc w:val="both"/>
      </w:pPr>
      <w:r>
        <w:rPr>
          <w:rFonts w:ascii="Times New Roman" w:hAnsi="Times New Roman"/>
          <w:b w:val="0"/>
          <w:i w:val="0"/>
          <w:sz w:val="24"/>
        </w:rPr>
        <w:t>The B3 template-only baseline is useful because it separates the deterministic compiler from the LLM intent parser. B3 uses keyword matching to create an intent object, then hands that intent to the same downstream semantic mapping and compiler path. Its high execution-validity result shows that many database errors are triggered by particular intent choices and time phrases, not by the compiler alone.</w:t>
      </w:r>
    </w:p>
    <w:p>
      <w:pPr>
        <w:spacing w:before="200" w:after="80"/>
        <w:jc w:val="center"/>
      </w:pPr>
      <w:r>
        <w:rPr>
          <w:rFonts w:ascii="Times New Roman" w:hAnsi="Times New Roman"/>
          <w:b/>
          <w:sz w:val="22"/>
        </w:rPr>
        <w:t>Table 9: B3 execution-validity summary.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System</w:t>
            </w:r>
          </w:p>
        </w:tc>
        <w:tc>
          <w:tcPr>
            <w:tcW w:type="dxa" w:w="3009"/>
          </w:tcPr>
          <w:p>
            <w:pPr>
              <w:jc w:val="center"/>
            </w:pPr>
            <w:r>
              <w:rPr>
                <w:rFonts w:ascii="Times New Roman" w:hAnsi="Times New Roman"/>
                <w:b/>
                <w:sz w:val="21"/>
              </w:rPr>
            </w:r>
            <w:r>
              <w:rPr>
                <w:rFonts w:ascii="Times New Roman" w:hAnsi="Times New Roman"/>
                <w:b/>
                <w:sz w:val="21"/>
              </w:rPr>
              <w:t>Execution result</w:t>
            </w:r>
          </w:p>
        </w:tc>
        <w:tc>
          <w:tcPr>
            <w:tcW w:type="dxa" w:w="3009"/>
          </w:tcPr>
          <w:p>
            <w:pPr>
              <w:jc w:val="center"/>
            </w:pPr>
            <w:r>
              <w:rPr>
                <w:rFonts w:ascii="Times New Roman" w:hAnsi="Times New Roman"/>
                <w:b/>
                <w:sz w:val="21"/>
              </w:rPr>
            </w:r>
            <w:r>
              <w:rPr>
                <w:rFonts w:ascii="Times New Roman" w:hAnsi="Times New Roman"/>
                <w:b/>
                <w:sz w:val="21"/>
              </w:rPr>
              <w:t>Interpretation</w:t>
            </w:r>
          </w:p>
        </w:tc>
      </w:tr>
      <w:tr>
        <w:tc>
          <w:tcPr>
            <w:tcW w:type="dxa" w:w="3009"/>
          </w:tcPr>
          <w:p>
            <w:r>
              <w:rPr>
                <w:rFonts w:ascii="Times New Roman" w:hAnsi="Times New Roman"/>
                <w:sz w:val="21"/>
              </w:rPr>
            </w:r>
            <w:r>
              <w:rPr>
                <w:rFonts w:ascii="Times New Roman" w:hAnsi="Times New Roman"/>
                <w:b w:val="0"/>
                <w:sz w:val="21"/>
              </w:rPr>
              <w:t>B3 Template-only</w:t>
            </w:r>
          </w:p>
        </w:tc>
        <w:tc>
          <w:tcPr>
            <w:tcW w:type="dxa" w:w="3009"/>
          </w:tcPr>
          <w:p>
            <w:pPr>
              <w:jc w:val="center"/>
            </w:pPr>
            <w:r>
              <w:rPr>
                <w:rFonts w:ascii="Times New Roman" w:hAnsi="Times New Roman"/>
                <w:sz w:val="21"/>
              </w:rPr>
            </w:r>
            <w:r>
              <w:rPr>
                <w:rFonts w:ascii="Times New Roman" w:hAnsi="Times New Roman"/>
                <w:b w:val="0"/>
                <w:sz w:val="21"/>
              </w:rPr>
              <w:t>104 of 107 executed successfully (97.2%)</w:t>
            </w:r>
          </w:p>
        </w:tc>
        <w:tc>
          <w:tcPr>
            <w:tcW w:type="dxa" w:w="3009"/>
          </w:tcPr>
          <w:p>
            <w:pPr>
              <w:jc w:val="center"/>
            </w:pPr>
            <w:r>
              <w:rPr>
                <w:rFonts w:ascii="Times New Roman" w:hAnsi="Times New Roman"/>
                <w:sz w:val="21"/>
              </w:rPr>
            </w:r>
            <w:r>
              <w:rPr>
                <w:rFonts w:ascii="Times New Roman" w:hAnsi="Times New Roman"/>
                <w:b w:val="0"/>
                <w:sz w:val="21"/>
              </w:rPr>
              <w:t>Higher execution validity than AEGIS on this run, but not evidence of higher semantic correctness.</w:t>
            </w:r>
          </w:p>
        </w:tc>
      </w:tr>
      <w:tr>
        <w:tc>
          <w:tcPr>
            <w:tcW w:type="dxa" w:w="3009"/>
          </w:tcPr>
          <w:p>
            <w:r>
              <w:rPr>
                <w:rFonts w:ascii="Times New Roman" w:hAnsi="Times New Roman"/>
                <w:sz w:val="21"/>
              </w:rPr>
            </w:r>
            <w:r>
              <w:rPr>
                <w:rFonts w:ascii="Times New Roman" w:hAnsi="Times New Roman"/>
                <w:b w:val="0"/>
                <w:sz w:val="21"/>
              </w:rPr>
              <w:t>B3 failures</w:t>
            </w:r>
          </w:p>
        </w:tc>
        <w:tc>
          <w:tcPr>
            <w:tcW w:type="dxa" w:w="3009"/>
          </w:tcPr>
          <w:p>
            <w:pPr>
              <w:jc w:val="center"/>
            </w:pPr>
            <w:r>
              <w:rPr>
                <w:rFonts w:ascii="Times New Roman" w:hAnsi="Times New Roman"/>
                <w:sz w:val="21"/>
              </w:rPr>
            </w:r>
            <w:r>
              <w:rPr>
                <w:rFonts w:ascii="Times New Roman" w:hAnsi="Times New Roman"/>
                <w:b w:val="0"/>
                <w:sz w:val="21"/>
              </w:rPr>
              <w:t>3 database execution failures</w:t>
            </w:r>
          </w:p>
        </w:tc>
        <w:tc>
          <w:tcPr>
            <w:tcW w:type="dxa" w:w="3009"/>
          </w:tcPr>
          <w:p>
            <w:pPr>
              <w:jc w:val="center"/>
            </w:pPr>
            <w:r>
              <w:rPr>
                <w:rFonts w:ascii="Times New Roman" w:hAnsi="Times New Roman"/>
                <w:sz w:val="21"/>
              </w:rPr>
            </w:r>
            <w:r>
              <w:rPr>
                <w:rFonts w:ascii="Times New Roman" w:hAnsi="Times New Roman"/>
                <w:b w:val="0"/>
                <w:sz w:val="21"/>
              </w:rPr>
              <w:t>Two compiler or join-path issues and one date-value issue were observed.</w:t>
            </w:r>
          </w:p>
        </w:tc>
      </w:tr>
    </w:tbl>
    <w:p>
      <w:pPr>
        <w:spacing w:after="80"/>
      </w:pPr>
    </w:p>
    <w:p>
      <w:pPr>
        <w:spacing w:after="0" w:before="0" w:line="360" w:lineRule="auto"/>
        <w:jc w:val="both"/>
      </w:pPr>
      <w:r>
        <w:rPr>
          <w:rFonts w:ascii="Times New Roman" w:hAnsi="Times New Roman"/>
          <w:b w:val="0"/>
          <w:i w:val="0"/>
          <w:sz w:val="24"/>
        </w:rPr>
        <w:t>B3's result should be interpreted carefully. A keyword-only classifier may choose a query shape that runs successfully while answering the wrong question. Therefore B3 belongs in the execution-validity comparison, but it should not be used to claim semantic accuracy until the same annotated correctness benchmark is applied to all systems.</w:t>
      </w:r>
    </w:p>
    <w:p>
      <w:pPr>
        <w:spacing w:before="320" w:after="160"/>
        <w:jc w:val="left"/>
      </w:pPr>
      <w:r>
        <w:rPr>
          <w:rFonts w:ascii="Times New Roman" w:hAnsi="Times New Roman"/>
          <w:b/>
          <w:sz w:val="28"/>
        </w:rPr>
        <w:t>5.6  Discussion</w:t>
      </w:r>
    </w:p>
    <w:p>
      <w:pPr>
        <w:spacing w:after="120" w:before="0" w:line="360" w:lineRule="auto"/>
        <w:jc w:val="both"/>
      </w:pPr>
      <w:r>
        <w:rPr>
          <w:rFonts w:ascii="Times New Roman" w:hAnsi="Times New Roman"/>
          <w:b/>
          <w:i w:val="0"/>
          <w:sz w:val="24"/>
        </w:rPr>
        <w:t xml:space="preserve">5.6.1 AEGIS vs. direct LLM-to-SQL. </w:t>
      </w:r>
    </w:p>
    <w:p>
      <w:pPr>
        <w:spacing w:after="200" w:before="0" w:line="360" w:lineRule="auto"/>
        <w:jc w:val="both"/>
      </w:pPr>
      <w:r>
        <w:rPr>
          <w:rFonts w:ascii="Times New Roman" w:hAnsi="Times New Roman"/>
          <w:b w:val="0"/>
          <w:i w:val="0"/>
          <w:sz w:val="24"/>
        </w:rPr>
        <w:t>The B1 baseline exposes the central risk of direct SQL generation. The same model that can produce useful analytical SQL can also hallucinate schema objects, mix SQL dialects, and generate a real write statement when a business-looking request implies a write operation. AEGIS narrows the model's role to intent extraction, so these risks do not enter the SQL construction stage in the same way.</w:t>
      </w:r>
    </w:p>
    <w:p>
      <w:pPr>
        <w:spacing w:before="200" w:after="80"/>
        <w:jc w:val="center"/>
      </w:pPr>
      <w:r>
        <w:rPr>
          <w:rFonts w:ascii="Times New Roman" w:hAnsi="Times New Roman"/>
          <w:b/>
          <w:sz w:val="22"/>
        </w:rPr>
        <w:t>Table 10: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Property</w:t>
            </w:r>
          </w:p>
        </w:tc>
        <w:tc>
          <w:tcPr>
            <w:tcW w:type="dxa" w:w="3009"/>
          </w:tcPr>
          <w:p>
            <w:pPr>
              <w:jc w:val="center"/>
            </w:pPr>
            <w:r>
              <w:rPr>
                <w:rFonts w:ascii="Times New Roman" w:hAnsi="Times New Roman"/>
                <w:b/>
                <w:sz w:val="21"/>
              </w:rPr>
            </w:r>
            <w:r>
              <w:rPr>
                <w:rFonts w:ascii="Times New Roman" w:hAnsi="Times New Roman"/>
                <w:b/>
                <w:sz w:val="21"/>
              </w:rPr>
              <w:t>Direct LLM-to-SQL</w:t>
            </w:r>
          </w:p>
        </w:tc>
        <w:tc>
          <w:tcPr>
            <w:tcW w:type="dxa" w:w="3009"/>
          </w:tcPr>
          <w:p>
            <w:pPr>
              <w:jc w:val="center"/>
            </w:pPr>
            <w:r>
              <w:rPr>
                <w:rFonts w:ascii="Times New Roman" w:hAnsi="Times New Roman"/>
                <w:b/>
                <w:sz w:val="21"/>
              </w:rPr>
            </w:r>
            <w:r>
              <w:rPr>
                <w:rFonts w:ascii="Times New Roman" w:hAnsi="Times New Roman"/>
                <w:b/>
                <w:sz w:val="21"/>
              </w:rPr>
              <w:t>AEGIS</w:t>
            </w:r>
          </w:p>
        </w:tc>
      </w:tr>
      <w:tr>
        <w:tc>
          <w:tcPr>
            <w:tcW w:type="dxa" w:w="3009"/>
          </w:tcPr>
          <w:p>
            <w:r>
              <w:rPr>
                <w:rFonts w:ascii="Times New Roman" w:hAnsi="Times New Roman"/>
                <w:sz w:val="21"/>
              </w:rPr>
            </w:r>
            <w:r>
              <w:rPr>
                <w:rFonts w:ascii="Times New Roman" w:hAnsi="Times New Roman"/>
                <w:b w:val="0"/>
                <w:sz w:val="21"/>
              </w:rPr>
              <w:t>SQL generation</w:t>
            </w:r>
          </w:p>
        </w:tc>
        <w:tc>
          <w:tcPr>
            <w:tcW w:type="dxa" w:w="3009"/>
          </w:tcPr>
          <w:p>
            <w:pPr>
              <w:jc w:val="center"/>
            </w:pPr>
            <w:r>
              <w:rPr>
                <w:rFonts w:ascii="Times New Roman" w:hAnsi="Times New Roman"/>
                <w:sz w:val="21"/>
              </w:rPr>
            </w:r>
            <w:r>
              <w:rPr>
                <w:rFonts w:ascii="Times New Roman" w:hAnsi="Times New Roman"/>
                <w:b w:val="0"/>
                <w:sz w:val="21"/>
              </w:rPr>
              <w:t>Model-generated free-form text</w:t>
            </w:r>
          </w:p>
        </w:tc>
        <w:tc>
          <w:tcPr>
            <w:tcW w:type="dxa" w:w="3009"/>
          </w:tcPr>
          <w:p>
            <w:pPr>
              <w:jc w:val="center"/>
            </w:pPr>
            <w:r>
              <w:rPr>
                <w:rFonts w:ascii="Times New Roman" w:hAnsi="Times New Roman"/>
                <w:sz w:val="21"/>
              </w:rPr>
            </w:r>
            <w:r>
              <w:rPr>
                <w:rFonts w:ascii="Times New Roman" w:hAnsi="Times New Roman"/>
                <w:b w:val="0"/>
                <w:sz w:val="21"/>
              </w:rPr>
              <w:t>Deterministic compiler</w:t>
            </w:r>
          </w:p>
        </w:tc>
      </w:tr>
      <w:tr>
        <w:tc>
          <w:tcPr>
            <w:tcW w:type="dxa" w:w="3009"/>
          </w:tcPr>
          <w:p>
            <w:r>
              <w:rPr>
                <w:rFonts w:ascii="Times New Roman" w:hAnsi="Times New Roman"/>
                <w:sz w:val="21"/>
              </w:rPr>
            </w:r>
            <w:r>
              <w:rPr>
                <w:rFonts w:ascii="Times New Roman" w:hAnsi="Times New Roman"/>
                <w:b w:val="0"/>
                <w:sz w:val="21"/>
              </w:rPr>
              <w:t>Schema exposure to LLM</w:t>
            </w:r>
          </w:p>
        </w:tc>
        <w:tc>
          <w:tcPr>
            <w:tcW w:type="dxa" w:w="3009"/>
          </w:tcPr>
          <w:p>
            <w:pPr>
              <w:jc w:val="center"/>
            </w:pPr>
            <w:r>
              <w:rPr>
                <w:rFonts w:ascii="Times New Roman" w:hAnsi="Times New Roman"/>
                <w:sz w:val="21"/>
              </w:rPr>
            </w:r>
            <w:r>
              <w:rPr>
                <w:rFonts w:ascii="Times New Roman" w:hAnsi="Times New Roman"/>
                <w:b w:val="0"/>
                <w:sz w:val="21"/>
              </w:rPr>
              <w:t>Requires tables, columns, and relationships</w:t>
            </w:r>
          </w:p>
        </w:tc>
        <w:tc>
          <w:tcPr>
            <w:tcW w:type="dxa" w:w="3009"/>
          </w:tcPr>
          <w:p>
            <w:pPr>
              <w:jc w:val="center"/>
            </w:pPr>
            <w:r>
              <w:rPr>
                <w:rFonts w:ascii="Times New Roman" w:hAnsi="Times New Roman"/>
                <w:sz w:val="21"/>
              </w:rPr>
            </w:r>
            <w:r>
              <w:rPr>
                <w:rFonts w:ascii="Times New Roman" w:hAnsi="Times New Roman"/>
                <w:b w:val="0"/>
                <w:sz w:val="21"/>
              </w:rPr>
              <w:t>Uses approved business labels</w:t>
            </w:r>
          </w:p>
        </w:tc>
      </w:tr>
      <w:tr>
        <w:tc>
          <w:tcPr>
            <w:tcW w:type="dxa" w:w="3009"/>
          </w:tcPr>
          <w:p>
            <w:r>
              <w:rPr>
                <w:rFonts w:ascii="Times New Roman" w:hAnsi="Times New Roman"/>
                <w:sz w:val="21"/>
              </w:rPr>
            </w:r>
            <w:r>
              <w:rPr>
                <w:rFonts w:ascii="Times New Roman" w:hAnsi="Times New Roman"/>
                <w:b w:val="0"/>
                <w:sz w:val="21"/>
              </w:rPr>
              <w:t>Business metric definitions</w:t>
            </w:r>
          </w:p>
        </w:tc>
        <w:tc>
          <w:tcPr>
            <w:tcW w:type="dxa" w:w="3009"/>
          </w:tcPr>
          <w:p>
            <w:pPr>
              <w:jc w:val="center"/>
            </w:pPr>
            <w:r>
              <w:rPr>
                <w:rFonts w:ascii="Times New Roman" w:hAnsi="Times New Roman"/>
                <w:sz w:val="21"/>
              </w:rPr>
            </w:r>
            <w:r>
              <w:rPr>
                <w:rFonts w:ascii="Times New Roman" w:hAnsi="Times New Roman"/>
                <w:b w:val="0"/>
                <w:sz w:val="21"/>
              </w:rPr>
              <w:t>Inferred from prompt and schema names</w:t>
            </w:r>
          </w:p>
        </w:tc>
        <w:tc>
          <w:tcPr>
            <w:tcW w:type="dxa" w:w="3009"/>
          </w:tcPr>
          <w:p>
            <w:pPr>
              <w:jc w:val="center"/>
            </w:pPr>
            <w:r>
              <w:rPr>
                <w:rFonts w:ascii="Times New Roman" w:hAnsi="Times New Roman"/>
                <w:sz w:val="21"/>
              </w:rPr>
            </w:r>
            <w:r>
              <w:rPr>
                <w:rFonts w:ascii="Times New Roman" w:hAnsi="Times New Roman"/>
                <w:b w:val="0"/>
                <w:sz w:val="21"/>
              </w:rPr>
              <w:t>Defined in the semantic layer</w:t>
            </w:r>
          </w:p>
        </w:tc>
      </w:tr>
      <w:tr>
        <w:tc>
          <w:tcPr>
            <w:tcW w:type="dxa" w:w="3009"/>
          </w:tcPr>
          <w:p>
            <w:r>
              <w:rPr>
                <w:rFonts w:ascii="Times New Roman" w:hAnsi="Times New Roman"/>
                <w:sz w:val="21"/>
              </w:rPr>
            </w:r>
            <w:r>
              <w:rPr>
                <w:rFonts w:ascii="Times New Roman" w:hAnsi="Times New Roman"/>
                <w:b w:val="0"/>
                <w:sz w:val="21"/>
              </w:rPr>
              <w:t>SQL injection prevention</w:t>
            </w:r>
          </w:p>
        </w:tc>
        <w:tc>
          <w:tcPr>
            <w:tcW w:type="dxa" w:w="3009"/>
          </w:tcPr>
          <w:p>
            <w:pPr>
              <w:jc w:val="center"/>
            </w:pPr>
            <w:r>
              <w:rPr>
                <w:rFonts w:ascii="Times New Roman" w:hAnsi="Times New Roman"/>
                <w:sz w:val="21"/>
              </w:rPr>
            </w:r>
            <w:r>
              <w:rPr>
                <w:rFonts w:ascii="Times New Roman" w:hAnsi="Times New Roman"/>
                <w:b w:val="0"/>
                <w:sz w:val="21"/>
              </w:rPr>
              <w:t>Prompt-level instruction and post-checking</w:t>
            </w:r>
          </w:p>
        </w:tc>
        <w:tc>
          <w:tcPr>
            <w:tcW w:type="dxa" w:w="3009"/>
          </w:tcPr>
          <w:p>
            <w:pPr>
              <w:jc w:val="center"/>
            </w:pPr>
            <w:r>
              <w:rPr>
                <w:rFonts w:ascii="Times New Roman" w:hAnsi="Times New Roman"/>
                <w:sz w:val="21"/>
              </w:rPr>
            </w:r>
            <w:r>
              <w:rPr>
                <w:rFonts w:ascii="Times New Roman" w:hAnsi="Times New Roman"/>
                <w:b w:val="0"/>
                <w:sz w:val="21"/>
              </w:rPr>
              <w:t>Structural prevention through intent schema and templates</w:t>
            </w:r>
          </w:p>
        </w:tc>
      </w:tr>
      <w:tr>
        <w:tc>
          <w:tcPr>
            <w:tcW w:type="dxa" w:w="3009"/>
          </w:tcPr>
          <w:p>
            <w:r>
              <w:rPr>
                <w:rFonts w:ascii="Times New Roman" w:hAnsi="Times New Roman"/>
                <w:sz w:val="21"/>
              </w:rPr>
            </w:r>
            <w:r>
              <w:rPr>
                <w:rFonts w:ascii="Times New Roman" w:hAnsi="Times New Roman"/>
                <w:b w:val="0"/>
                <w:sz w:val="21"/>
              </w:rPr>
              <w:t>Permission enforcement</w:t>
            </w:r>
          </w:p>
        </w:tc>
        <w:tc>
          <w:tcPr>
            <w:tcW w:type="dxa" w:w="3009"/>
          </w:tcPr>
          <w:p>
            <w:pPr>
              <w:jc w:val="center"/>
            </w:pPr>
            <w:r>
              <w:rPr>
                <w:rFonts w:ascii="Times New Roman" w:hAnsi="Times New Roman"/>
                <w:sz w:val="21"/>
              </w:rPr>
            </w:r>
            <w:r>
              <w:rPr>
                <w:rFonts w:ascii="Times New Roman" w:hAnsi="Times New Roman"/>
                <w:b w:val="0"/>
                <w:sz w:val="21"/>
              </w:rPr>
              <w:t>External or absent</w:t>
            </w:r>
          </w:p>
        </w:tc>
        <w:tc>
          <w:tcPr>
            <w:tcW w:type="dxa" w:w="3009"/>
          </w:tcPr>
          <w:p>
            <w:pPr>
              <w:jc w:val="center"/>
            </w:pPr>
            <w:r>
              <w:rPr>
                <w:rFonts w:ascii="Times New Roman" w:hAnsi="Times New Roman"/>
                <w:sz w:val="21"/>
              </w:rPr>
            </w:r>
            <w:r>
              <w:rPr>
                <w:rFonts w:ascii="Times New Roman" w:hAnsi="Times New Roman"/>
                <w:b w:val="0"/>
                <w:sz w:val="21"/>
              </w:rPr>
              <w:t>Applied after intent extraction by deterministic code</w:t>
            </w:r>
          </w:p>
        </w:tc>
      </w:tr>
      <w:tr>
        <w:tc>
          <w:tcPr>
            <w:tcW w:type="dxa" w:w="3009"/>
          </w:tcPr>
          <w:p>
            <w:r>
              <w:rPr>
                <w:rFonts w:ascii="Times New Roman" w:hAnsi="Times New Roman"/>
                <w:sz w:val="21"/>
              </w:rPr>
            </w:r>
            <w:r>
              <w:rPr>
                <w:rFonts w:ascii="Times New Roman" w:hAnsi="Times New Roman"/>
                <w:b w:val="0"/>
                <w:sz w:val="21"/>
              </w:rPr>
              <w:t>Dashboard widget persistence</w:t>
            </w:r>
          </w:p>
        </w:tc>
        <w:tc>
          <w:tcPr>
            <w:tcW w:type="dxa" w:w="3009"/>
          </w:tcPr>
          <w:p>
            <w:pPr>
              <w:jc w:val="center"/>
            </w:pPr>
            <w:r>
              <w:rPr>
                <w:rFonts w:ascii="Times New Roman" w:hAnsi="Times New Roman"/>
                <w:sz w:val="21"/>
              </w:rPr>
            </w:r>
            <w:r>
              <w:rPr>
                <w:rFonts w:ascii="Times New Roman" w:hAnsi="Times New Roman"/>
                <w:b w:val="0"/>
                <w:sz w:val="21"/>
              </w:rPr>
              <w:t>Not provided by default</w:t>
            </w:r>
          </w:p>
        </w:tc>
        <w:tc>
          <w:tcPr>
            <w:tcW w:type="dxa" w:w="3009"/>
          </w:tcPr>
          <w:p>
            <w:pPr>
              <w:jc w:val="center"/>
            </w:pPr>
            <w:r>
              <w:rPr>
                <w:rFonts w:ascii="Times New Roman" w:hAnsi="Times New Roman"/>
                <w:sz w:val="21"/>
              </w:rPr>
            </w:r>
            <w:r>
              <w:rPr>
                <w:rFonts w:ascii="Times New Roman" w:hAnsi="Times New Roman"/>
                <w:b w:val="0"/>
                <w:sz w:val="21"/>
              </w:rPr>
              <w:t>First-class saved artifact</w:t>
            </w:r>
          </w:p>
        </w:tc>
      </w:tr>
      <w:tr>
        <w:tc>
          <w:tcPr>
            <w:tcW w:type="dxa" w:w="3009"/>
          </w:tcPr>
          <w:p>
            <w:r>
              <w:rPr>
                <w:rFonts w:ascii="Times New Roman" w:hAnsi="Times New Roman"/>
                <w:sz w:val="21"/>
              </w:rPr>
            </w:r>
            <w:r>
              <w:rPr>
                <w:rFonts w:ascii="Times New Roman" w:hAnsi="Times New Roman"/>
                <w:b w:val="0"/>
                <w:sz w:val="21"/>
              </w:rPr>
              <w:t>Model dependency</w:t>
            </w:r>
          </w:p>
        </w:tc>
        <w:tc>
          <w:tcPr>
            <w:tcW w:type="dxa" w:w="3009"/>
          </w:tcPr>
          <w:p>
            <w:pPr>
              <w:jc w:val="center"/>
            </w:pPr>
            <w:r>
              <w:rPr>
                <w:rFonts w:ascii="Times New Roman" w:hAnsi="Times New Roman"/>
                <w:sz w:val="21"/>
              </w:rPr>
            </w:r>
            <w:r>
              <w:rPr>
                <w:rFonts w:ascii="Times New Roman" w:hAnsi="Times New Roman"/>
                <w:b w:val="0"/>
                <w:sz w:val="21"/>
              </w:rPr>
              <w:t>Strongly tied to model quality</w:t>
            </w:r>
          </w:p>
        </w:tc>
        <w:tc>
          <w:tcPr>
            <w:tcW w:type="dxa" w:w="3009"/>
          </w:tcPr>
          <w:p>
            <w:pPr>
              <w:jc w:val="center"/>
            </w:pPr>
            <w:r>
              <w:rPr>
                <w:rFonts w:ascii="Times New Roman" w:hAnsi="Times New Roman"/>
                <w:sz w:val="21"/>
              </w:rPr>
            </w:r>
            <w:r>
              <w:rPr>
                <w:rFonts w:ascii="Times New Roman" w:hAnsi="Times New Roman"/>
                <w:b w:val="0"/>
                <w:sz w:val="21"/>
              </w:rPr>
              <w:t>Compiler and safety scanner are model-independent</w:t>
            </w:r>
          </w:p>
        </w:tc>
      </w:tr>
    </w:tbl>
    <w:p>
      <w:pPr>
        <w:spacing w:after="80"/>
      </w:pPr>
    </w:p>
    <w:p>
      <w:pPr>
        <w:spacing w:after="120" w:before="0" w:line="360" w:lineRule="auto"/>
        <w:jc w:val="both"/>
      </w:pPr>
      <w:r>
        <w:rPr>
          <w:rFonts w:ascii="Times New Roman" w:hAnsi="Times New Roman"/>
          <w:b/>
          <w:i w:val="0"/>
          <w:sz w:val="24"/>
        </w:rPr>
        <w:t xml:space="preserve">5.6.2 Semantic layer versus retrieval-augmented generation. </w:t>
      </w:r>
    </w:p>
    <w:p>
      <w:pPr>
        <w:spacing w:after="200" w:before="0" w:line="360" w:lineRule="auto"/>
        <w:jc w:val="both"/>
      </w:pPr>
      <w:r>
        <w:rPr>
          <w:rFonts w:ascii="Times New Roman" w:hAnsi="Times New Roman"/>
          <w:b w:val="0"/>
          <w:i w:val="0"/>
          <w:sz w:val="24"/>
        </w:rPr>
        <w:t>Retrieval-augmented generation can help an LLM find relevant schema fragments, but it does not remove the model's authority to write SQL. AEGIS uses the semantic layer for a different purpose: it defines which business concepts are allowed to exist and how they compile into SQL. RAG may still be useful in a future large deployment to select relevant semantic-layer entries, but the final SQL should still be compiled by the deterministic AEGIS compiler.</w:t>
      </w:r>
    </w:p>
    <w:p>
      <w:pPr>
        <w:spacing w:after="120" w:before="0" w:line="360" w:lineRule="auto"/>
        <w:jc w:val="both"/>
      </w:pPr>
      <w:r>
        <w:rPr>
          <w:rFonts w:ascii="Times New Roman" w:hAnsi="Times New Roman"/>
          <w:b/>
          <w:i w:val="0"/>
          <w:sz w:val="24"/>
        </w:rPr>
        <w:t xml:space="preserve">5.6.3 Scope boundary. </w:t>
      </w:r>
    </w:p>
    <w:p>
      <w:pPr>
        <w:spacing w:after="0" w:before="0" w:line="360" w:lineRule="auto"/>
        <w:jc w:val="both"/>
      </w:pPr>
      <w:r>
        <w:rPr>
          <w:rFonts w:ascii="Times New Roman" w:hAnsi="Times New Roman"/>
          <w:b w:val="0"/>
          <w:i w:val="0"/>
          <w:sz w:val="24"/>
        </w:rPr>
        <w:t>AEGIS currently supports a bounded set of approved metrics, dimensions, analytical patterns, and join paths. This is the source of its safety, but also the source of its main limitation. If a user asks for something not represented in the semantic layer, the system should reject or clarify the request. The current prototype does not always do that reliably; improving scope detection is therefore a priority in future work.</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120" w:before="0" w:line="360" w:lineRule="auto"/>
        <w:jc w:val="both"/>
      </w:pPr>
      <w:r>
        <w:rPr>
          <w:rFonts w:ascii="Times New Roman" w:hAnsi="Times New Roman"/>
          <w:b/>
          <w:i w:val="0"/>
          <w:sz w:val="24"/>
        </w:rPr>
        <w:t xml:space="preserve">Semantic layer construction cost. </w:t>
      </w:r>
      <w:r>
        <w:rPr>
          <w:rFonts w:ascii="Times New Roman" w:hAnsi="Times New Roman"/>
          <w:b w:val="0"/>
          <w:i w:val="0"/>
          <w:sz w:val="24"/>
        </w:rPr>
        <w:t>Every AEGIS deployment requires a domain-specific semantic layer built by someone with both business knowledge and schema access. Organizations without this expertise, or with rapidly evolving schemas, may find the maintenance burden significant. AEGIS is not a zero-configuration system.</w:t>
      </w:r>
    </w:p>
    <w:p>
      <w:pPr>
        <w:spacing w:after="120" w:before="0" w:line="360" w:lineRule="auto"/>
        <w:jc w:val="both"/>
      </w:pPr>
      <w:r>
        <w:rPr>
          <w:rFonts w:ascii="Times New Roman" w:hAnsi="Times New Roman"/>
          <w:b/>
          <w:i w:val="0"/>
          <w:sz w:val="24"/>
        </w:rPr>
        <w:t xml:space="preserve">Cannot answer arbitrary SQL questions. </w:t>
      </w:r>
      <w:r>
        <w:rPr>
          <w:rFonts w:ascii="Times New Roman" w:hAnsi="Times New Roman"/>
          <w:b w:val="0"/>
          <w:i w:val="0"/>
          <w:sz w:val="24"/>
        </w:rPr>
        <w:t>By design, AEGIS only answers questions that map to a supported analytics primitive with an approved metric and dimension. Ad hoc queries, multi-level nested aggregations, or requests for data fields not in the semantic layer fail with a coverage error. This is a deliberate trade-off, not an oversight.</w:t>
      </w:r>
    </w:p>
    <w:p>
      <w:pPr>
        <w:spacing w:after="120" w:before="0" w:line="360" w:lineRule="auto"/>
        <w:jc w:val="both"/>
      </w:pPr>
      <w:r>
        <w:rPr>
          <w:rFonts w:ascii="Times New Roman" w:hAnsi="Times New Roman"/>
          <w:b/>
          <w:i w:val="0"/>
          <w:sz w:val="24"/>
        </w:rPr>
        <w:t xml:space="preserve">Complex analytical queries require new templates. </w:t>
      </w:r>
      <w:r>
        <w:rPr>
          <w:rFonts w:ascii="Times New Roman" w:hAnsi="Times New Roman"/>
          <w:b w:val="0"/>
          <w:i w:val="0"/>
          <w:sz w:val="24"/>
        </w:rPr>
        <w:t>Approximately 2.6% of the formative-study requests required patterns not yet in the template library. Adding a new pattern requires a developer with SQL knowledge; it is not something a business user can do themselves.</w:t>
      </w:r>
    </w:p>
    <w:p>
      <w:pPr>
        <w:spacing w:after="120" w:before="0" w:line="360" w:lineRule="auto"/>
        <w:jc w:val="both"/>
      </w:pPr>
      <w:r>
        <w:rPr>
          <w:rFonts w:ascii="Times New Roman" w:hAnsi="Times New Roman"/>
          <w:b/>
          <w:i w:val="0"/>
          <w:sz w:val="24"/>
        </w:rPr>
        <w:t xml:space="preserve">Quality depends on intent extraction, not just compilation. </w:t>
      </w:r>
      <w:r>
        <w:rPr>
          <w:rFonts w:ascii="Times New Roman" w:hAnsi="Times New Roman"/>
          <w:b w:val="0"/>
          <w:i w:val="0"/>
          <w:sz w:val="24"/>
        </w:rPr>
        <w:t>The safety guarantees apply to compilation and execution, not to intent extraction quality. A model that misclassifies a request will produce a structurally safe but semantically wrong query. Safety and accuracy are separate properties, and this thesis is careful not to conflate them.</w:t>
      </w:r>
    </w:p>
    <w:p>
      <w:pPr>
        <w:spacing w:after="120" w:before="0" w:line="360" w:lineRule="auto"/>
        <w:jc w:val="both"/>
      </w:pPr>
      <w:r>
        <w:rPr>
          <w:rFonts w:ascii="Times New Roman" w:hAnsi="Times New Roman"/>
          <w:b/>
          <w:i w:val="0"/>
          <w:sz w:val="24"/>
        </w:rPr>
        <w:t xml:space="preserve">Benchmark selection. </w:t>
      </w:r>
      <w:r>
        <w:rPr>
          <w:rFonts w:ascii="Times New Roman" w:hAnsi="Times New Roman"/>
          <w:b w:val="0"/>
          <w:i w:val="0"/>
          <w:sz w:val="24"/>
        </w:rPr>
        <w:t>The custom 107-query benchmark was necessary because standard benchmarks such as Spider and BIRD do not evaluate SQL safety or adherence to business logic; this also means the reported figures are not directly comparable to Spider- or BIRD-reported numbers from other systems.</w:t>
      </w:r>
    </w:p>
    <w:p>
      <w:pPr>
        <w:spacing w:after="120" w:before="0" w:line="360" w:lineRule="auto"/>
        <w:jc w:val="both"/>
      </w:pPr>
      <w:r>
        <w:rPr>
          <w:rFonts w:ascii="Times New Roman" w:hAnsi="Times New Roman"/>
          <w:b/>
          <w:i w:val="0"/>
          <w:sz w:val="24"/>
        </w:rPr>
        <w:t xml:space="preserve">Semantic layer scalability. </w:t>
      </w:r>
      <w:r>
        <w:rPr>
          <w:rFonts w:ascii="Times New Roman" w:hAnsi="Times New Roman"/>
          <w:b w:val="0"/>
          <w:i w:val="0"/>
          <w:sz w:val="24"/>
        </w:rPr>
        <w:t>Modern context windows of roughly 128,000 tokens can hold approximately 2,500 distinct metric and dimension definitions; most enterprise deployments expose fewer than 500 core concepts, so this is not a near-term constraint, but very large vocabularies would need retrieval-augmented vocabulary injection rather than injecting the entire semantic layer at once.</w:t>
      </w:r>
    </w:p>
    <w:p>
      <w:pPr>
        <w:spacing w:after="120" w:before="0" w:line="360" w:lineRule="auto"/>
        <w:jc w:val="both"/>
      </w:pPr>
      <w:r>
        <w:rPr>
          <w:rFonts w:ascii="Times New Roman" w:hAnsi="Times New Roman"/>
          <w:b/>
          <w:i w:val="0"/>
          <w:sz w:val="24"/>
        </w:rPr>
        <w:t xml:space="preserve">Database agnosticism. </w:t>
      </w:r>
      <w:r>
        <w:rPr>
          <w:rFonts w:ascii="Times New Roman" w:hAnsi="Times New Roman"/>
          <w:b w:val="0"/>
          <w:i w:val="0"/>
          <w:sz w:val="24"/>
        </w:rPr>
        <w:t>The current compiler generates MySQL syntax; supporting PostgreSQL or SQL Server requires extending the compiler module, not redesigning the architecture.</w:t>
      </w:r>
    </w:p>
    <w:p>
      <w:pPr>
        <w:spacing w:after="120" w:before="0" w:line="360" w:lineRule="auto"/>
        <w:jc w:val="both"/>
      </w:pPr>
      <w:r>
        <w:rPr>
          <w:rFonts w:ascii="Times New Roman" w:hAnsi="Times New Roman"/>
          <w:b/>
          <w:i w:val="0"/>
          <w:sz w:val="24"/>
        </w:rPr>
        <w:t xml:space="preserve">Storage persistence. </w:t>
      </w:r>
      <w:r>
        <w:rPr>
          <w:rFonts w:ascii="Times New Roman" w:hAnsi="Times New Roman"/>
          <w:b w:val="0"/>
          <w:i w:val="0"/>
          <w:sz w:val="24"/>
        </w:rPr>
        <w:t>The prototype uses JSON flat files for widget storage; the widget registry interface is designed to be swapped for a relational database in a production deployment.</w:t>
      </w:r>
    </w:p>
    <w:p>
      <w:pPr>
        <w:spacing w:after="120" w:before="0" w:line="360" w:lineRule="auto"/>
        <w:jc w:val="both"/>
      </w:pPr>
      <w:r>
        <w:rPr>
          <w:rFonts w:ascii="Times New Roman" w:hAnsi="Times New Roman"/>
          <w:b/>
          <w:i w:val="0"/>
          <w:sz w:val="24"/>
        </w:rPr>
        <w:t xml:space="preserve">Multi-turn conversation. </w:t>
      </w:r>
      <w:r>
        <w:rPr>
          <w:rFonts w:ascii="Times New Roman" w:hAnsi="Times New Roman"/>
          <w:b w:val="0"/>
          <w:i w:val="0"/>
          <w:sz w:val="24"/>
        </w:rPr>
        <w:t>AEGIS currently treats each request independently. Contextual carryover across turns, of the kind studied in conversational text-to-SQL research, is not yet implemented.</w:t>
      </w:r>
    </w:p>
    <w:p>
      <w:pPr>
        <w:spacing w:after="0" w:before="0" w:line="360" w:lineRule="auto"/>
        <w:jc w:val="both"/>
      </w:pPr>
      <w:r>
        <w:rPr>
          <w:rFonts w:ascii="Times New Roman" w:hAnsi="Times New Roman"/>
          <w:b/>
          <w:i w:val="0"/>
          <w:sz w:val="24"/>
        </w:rPr>
        <w:t xml:space="preserve">Vocabulary injection limitations. </w:t>
      </w:r>
      <w:r>
        <w:rPr>
          <w:rFonts w:ascii="Times New Roman" w:hAnsi="Times New Roman"/>
          <w:b w:val="0"/>
          <w:i w:val="0"/>
          <w:sz w:val="24"/>
        </w:rPr>
        <w:t>Highly specialized domain terminology may require supplementary few-shot examples in the prompt beyond the label and description pairs currently injected.</w:t>
      </w:r>
    </w:p>
    <w:p>
      <w:pPr>
        <w:spacing w:before="320" w:after="160"/>
        <w:jc w:val="left"/>
      </w:pPr>
      <w:r>
        <w:rPr>
          <w:rFonts w:ascii="Times New Roman" w:hAnsi="Times New Roman"/>
          <w:b/>
          <w:sz w:val="28"/>
        </w:rPr>
        <w:t>6.2  Future Work</w:t>
      </w:r>
    </w:p>
    <w:p>
      <w:pPr>
        <w:pStyle w:val="ListBullet"/>
        <w:spacing w:after="80" w:line="360" w:lineRule="auto"/>
      </w:pPr>
      <w:r>
        <w:rPr>
          <w:rFonts w:ascii="Times New Roman" w:hAnsi="Times New Roman"/>
          <w:sz w:val="24"/>
        </w:rPr>
        <w:t>Clarification requests: when confidence is low, AEGIS should ask a follow-up question instead of guessing, for example â€œdid you mean revenue or profit?â€</w:t>
      </w:r>
    </w:p>
    <w:p>
      <w:pPr>
        <w:pStyle w:val="ListBullet"/>
        <w:spacing w:after="80" w:line="360" w:lineRule="auto"/>
      </w:pPr>
      <w:r>
        <w:rPr>
          <w:rFonts w:ascii="Times New Roman" w:hAnsi="Times New Roman"/>
          <w:sz w:val="24"/>
        </w:rPr>
        <w:t>Semantic layer wizard: a guided interface for business analysts to define new metrics and dimensions without writing Python.</w:t>
      </w:r>
    </w:p>
    <w:p>
      <w:pPr>
        <w:pStyle w:val="ListBullet"/>
        <w:spacing w:after="80" w:line="360" w:lineRule="auto"/>
      </w:pPr>
      <w:r>
        <w:rPr>
          <w:rFonts w:ascii="Times New Roman" w:hAnsi="Times New Roman"/>
          <w:sz w:val="24"/>
        </w:rPr>
        <w:t>Multi-step queries: currently each query produces one widget; compound questions such as â€œrevenue trend and top 5 products side by sideâ€ require two separate queries today.</w:t>
      </w:r>
    </w:p>
    <w:p>
      <w:pPr>
        <w:pStyle w:val="ListBullet"/>
        <w:spacing w:after="80" w:line="360" w:lineRule="auto"/>
      </w:pPr>
      <w:r>
        <w:rPr>
          <w:rFonts w:ascii="Times New Roman" w:hAnsi="Times New Roman"/>
          <w:sz w:val="24"/>
        </w:rPr>
        <w:t>Automated denial-of-service protection: query complexity scoring and server-side timeout enforcement, since the join graph bounds query cost but does not currently score it explicitly.</w:t>
      </w:r>
    </w:p>
    <w:p>
      <w:pPr>
        <w:pStyle w:val="ListBullet"/>
        <w:spacing w:after="80" w:line="360" w:lineRule="auto"/>
      </w:pPr>
      <w:r>
        <w:rPr>
          <w:rFonts w:ascii="Times New Roman" w:hAnsi="Times New Roman"/>
          <w:sz w:val="24"/>
        </w:rPr>
        <w:t>Broader schema coverage: extending the nopCommerce semantic layer to cover promotions, vendor analytics, and content-management engagement metrics.</w:t>
      </w:r>
    </w:p>
    <w:p>
      <w:pPr>
        <w:pStyle w:val="ListBullet"/>
        <w:spacing w:after="80" w:line="360" w:lineRule="auto"/>
      </w:pPr>
      <w:r>
        <w:rPr>
          <w:rFonts w:ascii="Times New Roman" w:hAnsi="Times New Roman"/>
          <w:sz w:val="24"/>
        </w:rPr>
        <w:t>Multi-turn conversational carryover, extending the single-turn design discussed above.</w:t>
      </w:r>
    </w:p>
    <w:p>
      <w:pPr>
        <w:pStyle w:val="ListBullet"/>
        <w:spacing w:after="80" w:line="360" w:lineRule="auto"/>
      </w:pPr>
      <w:r>
        <w:rPr>
          <w:rFonts w:ascii="Times New Roman" w:hAnsi="Times New Roman"/>
          <w:sz w:val="24"/>
        </w:rPr>
        <w:t>Outcome and rejection-category instrumentation: measuring, from real benchmark and production runs, the precise proportion of requests answered directly, answered after clarification, answered after a semantic layer extension, or rejected, and the relative frequency of each rejection category. This thesis currently reports these categories qualitatively; adding this instrumentation would let a future revision report a measured percentage breakdown rather than a qualitative one.</w:t>
      </w:r>
    </w:p>
    <w:p>
      <w:pPr>
        <w:pStyle w:val="ListBullet"/>
        <w:spacing w:after="80" w:line="360" w:lineRule="auto"/>
      </w:pPr>
      <w:r>
        <w:rPr>
          <w:rFonts w:ascii="Times New Roman" w:hAnsi="Times New Roman"/>
          <w:sz w:val="24"/>
        </w:rPr>
        <w:t>Semantic correctness benchmark: adding annotated expected-answer labels for the 107 mixed requests so the evaluation can report correctness separately from SQL safety and true database execution validity.</w:t>
      </w:r>
    </w:p>
    <w:p>
      <w:pPr>
        <w:pStyle w:val="ListBullet"/>
        <w:spacing w:after="80" w:line="360" w:lineRule="auto"/>
      </w:pPr>
      <w:r>
        <w:rPr>
          <w:rFonts w:ascii="Times New Roman" w:hAnsi="Times New Roman"/>
          <w:sz w:val="24"/>
        </w:rPr>
        <w:t>Cross-schema generalizability benchmark: rebuilding the semantic layer for a second schema, such as WooCommerce, while keeping the intent parser contract, compiler structure, and safety scanner unchanged. This future evaluation would measure how much of AEGIS transfers across schemas and how much effort is required to configure a new domain.</w:t>
      </w:r>
    </w:p>
    <w:p>
      <w:pPr>
        <w:pStyle w:val="ListBullet"/>
        <w:spacing w:after="80" w:line="360" w:lineRule="auto"/>
      </w:pPr>
      <w:r>
        <w:rPr>
          <w:rFonts w:ascii="Times New Roman" w:hAnsi="Times New Roman"/>
          <w:sz w:val="24"/>
        </w:rPr>
        <w:t>Remaining baselines and latency: completing B2 and B4, then instrumenting pipeline latency with repeatable timing logs in future work.</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system for turning plain-English reporting requests into dynamic, refreshable dashboard widgets over relational databases. The central contribution has two parts. First, a system design that limits the language model to understanding questions, while all query building, chart selection, and widget storage is handled by fixed rules and pre-approved templates, so that safety is a property guaranteed by system structure rather than a probability that improves with model quality. Second, a semantic-layer and vocabulary-injection design that makes approved business terms explicit instead of asking the model to infer them from raw schema names.</w:t>
      </w:r>
    </w:p>
    <w:p>
      <w:pPr>
        <w:spacing w:after="240" w:before="0" w:line="360" w:lineRule="auto"/>
        <w:jc w:val="both"/>
      </w:pPr>
      <w:r>
        <w:rPr>
          <w:rFonts w:ascii="Times New Roman" w:hAnsi="Times New Roman"/>
          <w:b w:val="0"/>
          <w:i w:val="0"/>
          <w:sz w:val="24"/>
        </w:rPr>
        <w:t>The verified evaluation shows that AEGIS produced no unsafe SQL statements across the 107-query benchmark and successfully executed 100 of 107 generated queries against the seeded MySQL database. The direct LLM-to-SQL baseline successfully executed 27 of 107 queries and produced one genuine unsafe write statement. These figures support the safety argument while also exposing the remaining engineering work: seven AEGIS execution failures, incomplete scope detection, and an unmeasured semantic correctness benchmark.</w:t>
      </w:r>
    </w:p>
    <w:p>
      <w:pPr>
        <w:spacing w:after="240" w:before="0" w:line="360" w:lineRule="auto"/>
        <w:jc w:val="both"/>
      </w:pPr>
      <w:r>
        <w:rPr>
          <w:rFonts w:ascii="Times New Roman" w:hAnsi="Times New Roman"/>
          <w:b w:val="0"/>
          <w:i w:val="0"/>
          <w:sz w:val="24"/>
        </w:rPr>
        <w:t>The literature review situates this contribution precisely: prior text-to-SQL research, from Seq2SQL through RAT-SQL and PICARD, treats SQL-generation accuracy as the object of study and, with the partial exception of a 2025 systematic review's discussion of injection attacks, does not evaluate safety as a first-class property at all. AEGIS's architectural choice, removing SQL generation from the language model's role entirely rather than constraining it more tightly, is a categorically different answer to the same underlying problem, and one independently echoed in recent explanatory-analytics research that arrives at the same â€œlet a deterministic layer compute the answerâ€ principle in an unrelated domain.</w:t>
      </w:r>
    </w:p>
    <w:p>
      <w:pPr>
        <w:spacing w:after="0" w:before="0" w:line="360" w:lineRule="auto"/>
        <w:jc w:val="both"/>
      </w:pPr>
      <w:r>
        <w:rPr>
          <w:rFonts w:ascii="Times New Roman" w:hAnsi="Times New Roman"/>
          <w:b w:val="0"/>
          <w:i w:val="0"/>
          <w:sz w:val="24"/>
        </w:rPr>
        <w:t>AEGIS is built for environments where data privacy, consistent reporting definitions, and daily reuse of saved reports matter more than unlimited query flexibility. The limitations discussion states plainly what this design gives up in exchange: a bounded vocabulary, an upfront semantic layer construction cost, and dependence on intent-extraction quality for semantic (though never safety) correctness. Within that scope, this thesis demonstrates that restricting SQL generation to a finite set of validated business patterns is a practical, measurable path to safe, auditable natural-language reporting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