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Main Result Summary</w:t>
        <w:tab/>
        <w:t>25</w:t>
      </w:r>
    </w:p>
    <w:p>
      <w:pPr>
        <w:spacing w:after="80" w:before="0" w:line="360" w:lineRule="auto"/>
        <w:ind w:left="432"/>
        <w:jc w:val="both"/>
        <w:tabs>
          <w:tab w:val="right" w:leader="dot" w:pos="8640"/>
        </w:tabs>
      </w:pPr>
      <w:r>
        <w:rPr>
          <w:rFonts w:ascii="Times New Roman" w:hAnsi="Times New Roman"/>
          <w:b w:val="0"/>
          <w:sz w:val="23"/>
        </w:rPr>
        <w:t>5.3 SQL Safety</w:t>
        <w:tab/>
        <w:t>26</w:t>
      </w:r>
    </w:p>
    <w:p>
      <w:pPr>
        <w:spacing w:after="80" w:before="0" w:line="360" w:lineRule="auto"/>
        <w:ind w:left="432"/>
        <w:jc w:val="both"/>
        <w:tabs>
          <w:tab w:val="right" w:leader="dot" w:pos="8640"/>
        </w:tabs>
      </w:pPr>
      <w:r>
        <w:rPr>
          <w:rFonts w:ascii="Times New Roman" w:hAnsi="Times New Roman"/>
          <w:b w:val="0"/>
          <w:sz w:val="23"/>
        </w:rPr>
        <w:t>5.4 True Database Execution Validity</w:t>
        <w:tab/>
        <w:t>27</w:t>
      </w:r>
    </w:p>
    <w:p>
      <w:pPr>
        <w:spacing w:after="80" w:before="0" w:line="360" w:lineRule="auto"/>
        <w:ind w:left="432"/>
        <w:jc w:val="both"/>
        <w:tabs>
          <w:tab w:val="right" w:leader="dot" w:pos="8640"/>
        </w:tabs>
      </w:pPr>
      <w:r>
        <w:rPr>
          <w:rFonts w:ascii="Times New Roman" w:hAnsi="Times New Roman"/>
          <w:b w:val="0"/>
          <w:sz w:val="23"/>
        </w:rPr>
        <w:t>5.5 Execution Failure Analysis</w:t>
        <w:tab/>
        <w:t>27</w:t>
      </w:r>
    </w:p>
    <w:p>
      <w:pPr>
        <w:spacing w:after="80" w:before="0" w:line="360" w:lineRule="auto"/>
        <w:ind w:left="432"/>
        <w:jc w:val="both"/>
        <w:tabs>
          <w:tab w:val="right" w:leader="dot" w:pos="8640"/>
        </w:tabs>
      </w:pPr>
      <w:r>
        <w:rPr>
          <w:rFonts w:ascii="Times New Roman" w:hAnsi="Times New Roman"/>
          <w:b w:val="0"/>
          <w:sz w:val="23"/>
        </w:rPr>
        <w:t>5.6 Semantic Correctness Limitation</w:t>
        <w:tab/>
        <w:t>28</w:t>
      </w:r>
    </w:p>
    <w:p>
      <w:pPr>
        <w:spacing w:after="80" w:before="0" w:line="360" w:lineRule="auto"/>
        <w:ind w:left="432"/>
        <w:jc w:val="both"/>
        <w:tabs>
          <w:tab w:val="right" w:leader="dot" w:pos="8640"/>
        </w:tabs>
      </w:pPr>
      <w:r>
        <w:rPr>
          <w:rFonts w:ascii="Times New Roman" w:hAnsi="Times New Roman"/>
          <w:b w:val="0"/>
          <w:sz w:val="23"/>
        </w:rPr>
        <w:t>5.7 B3 Template-Only Baseline</w:t>
        <w:tab/>
        <w:t>29</w:t>
      </w:r>
    </w:p>
    <w:p>
      <w:pPr>
        <w:spacing w:after="80" w:before="0" w:line="360" w:lineRule="auto"/>
        <w:ind w:left="432"/>
        <w:jc w:val="both"/>
        <w:tabs>
          <w:tab w:val="right" w:leader="dot" w:pos="8640"/>
        </w:tabs>
      </w:pPr>
      <w:r>
        <w:rPr>
          <w:rFonts w:ascii="Times New Roman" w:hAnsi="Times New Roman"/>
          <w:b w:val="0"/>
          <w:sz w:val="23"/>
        </w:rPr>
        <w:t>5.8 Comparative Discussion</w:t>
        <w:tab/>
        <w:t>29</w:t>
      </w:r>
    </w:p>
    <w:p>
      <w:pPr>
        <w:spacing w:after="160" w:before="80" w:line="360" w:lineRule="auto"/>
        <w:ind w:left="0"/>
        <w:jc w:val="both"/>
        <w:tabs>
          <w:tab w:val="right" w:leader="dot" w:pos="8640"/>
        </w:tabs>
      </w:pPr>
      <w:r>
        <w:rPr>
          <w:rFonts w:ascii="Times New Roman" w:hAnsi="Times New Roman"/>
          <w:b/>
          <w:sz w:val="24"/>
        </w:rPr>
        <w:t>Chapter 6: Limitations and Future Work</w:t>
        <w:tab/>
        <w:t>31</w:t>
      </w:r>
    </w:p>
    <w:p>
      <w:pPr>
        <w:spacing w:after="160" w:before="80" w:line="360" w:lineRule="auto"/>
        <w:ind w:left="0"/>
        <w:jc w:val="both"/>
        <w:tabs>
          <w:tab w:val="right" w:leader="dot" w:pos="8640"/>
        </w:tabs>
      </w:pPr>
      <w:r>
        <w:rPr>
          <w:rFonts w:ascii="Times New Roman" w:hAnsi="Times New Roman"/>
          <w:b/>
          <w:sz w:val="24"/>
        </w:rPr>
        <w:t>Chapter 7: Conclusion</w:t>
        <w:tab/>
        <w:t>32</w:t>
      </w:r>
    </w:p>
    <w:p>
      <w:pPr>
        <w:spacing w:after="160" w:before="80" w:line="360" w:lineRule="auto"/>
        <w:ind w:left="0"/>
        <w:jc w:val="both"/>
        <w:tabs>
          <w:tab w:val="right" w:leader="dot" w:pos="8640"/>
        </w:tabs>
      </w:pPr>
      <w:r>
        <w:rPr>
          <w:rFonts w:ascii="Times New Roman" w:hAnsi="Times New Roman"/>
          <w:b/>
          <w:sz w:val="24"/>
        </w:rPr>
        <w:t>References</w:t>
        <w:tab/>
        <w:t>33</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27</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25</w:t>
      </w:r>
    </w:p>
    <w:p>
      <w:pPr>
        <w:spacing w:after="80" w:before="0" w:line="360" w:lineRule="auto"/>
        <w:jc w:val="both"/>
        <w:tabs>
          <w:tab w:val="right" w:leader="dot" w:pos="8640"/>
        </w:tabs>
      </w:pPr>
      <w:r>
        <w:rPr>
          <w:rFonts w:ascii="Times New Roman" w:hAnsi="Times New Roman"/>
          <w:sz w:val="24"/>
        </w:rPr>
        <w:t>Table 5.2: Main evaluation result summary</w:t>
        <w:tab/>
        <w:t>26</w:t>
      </w:r>
    </w:p>
    <w:p>
      <w:pPr>
        <w:spacing w:after="80" w:before="0" w:line="360" w:lineRule="auto"/>
        <w:jc w:val="both"/>
        <w:tabs>
          <w:tab w:val="right" w:leader="dot" w:pos="8640"/>
        </w:tabs>
      </w:pPr>
      <w:r>
        <w:rPr>
          <w:rFonts w:ascii="Times New Roman" w:hAnsi="Times New Roman"/>
          <w:sz w:val="24"/>
        </w:rPr>
        <w:t>Table 5.3: SQL safety</w:t>
        <w:tab/>
        <w:t>26</w:t>
      </w:r>
    </w:p>
    <w:p>
      <w:pPr>
        <w:spacing w:after="80" w:before="0" w:line="360" w:lineRule="auto"/>
        <w:jc w:val="both"/>
        <w:tabs>
          <w:tab w:val="right" w:leader="dot" w:pos="8640"/>
        </w:tabs>
      </w:pPr>
      <w:r>
        <w:rPr>
          <w:rFonts w:ascii="Times New Roman" w:hAnsi="Times New Roman"/>
          <w:sz w:val="24"/>
        </w:rPr>
        <w:t>Table 5.4: True execution validity</w:t>
        <w:tab/>
        <w:t>27</w:t>
      </w:r>
    </w:p>
    <w:p>
      <w:pPr>
        <w:spacing w:after="80" w:before="0" w:line="360" w:lineRule="auto"/>
        <w:jc w:val="both"/>
        <w:tabs>
          <w:tab w:val="right" w:leader="dot" w:pos="8640"/>
        </w:tabs>
      </w:pPr>
      <w:r>
        <w:rPr>
          <w:rFonts w:ascii="Times New Roman" w:hAnsi="Times New Roman"/>
          <w:sz w:val="24"/>
        </w:rPr>
        <w:t>Table 5.5: True-execution failure analysis</w:t>
        <w:tab/>
        <w:t>28</w:t>
      </w:r>
    </w:p>
    <w:p>
      <w:pPr>
        <w:spacing w:after="80" w:before="0" w:line="360" w:lineRule="auto"/>
        <w:jc w:val="both"/>
        <w:tabs>
          <w:tab w:val="right" w:leader="dot" w:pos="8640"/>
        </w:tabs>
      </w:pPr>
      <w:r>
        <w:rPr>
          <w:rFonts w:ascii="Times New Roman" w:hAnsi="Times New Roman"/>
          <w:sz w:val="24"/>
        </w:rPr>
        <w:t>Table 5.6: Evaluation metric distinction</w:t>
        <w:tab/>
        <w:t>28</w:t>
      </w:r>
    </w:p>
    <w:p>
      <w:pPr>
        <w:spacing w:after="80" w:before="0" w:line="360" w:lineRule="auto"/>
        <w:jc w:val="both"/>
        <w:tabs>
          <w:tab w:val="right" w:leader="dot" w:pos="8640"/>
        </w:tabs>
      </w:pPr>
      <w:r>
        <w:rPr>
          <w:rFonts w:ascii="Times New Roman" w:hAnsi="Times New Roman"/>
          <w:sz w:val="24"/>
        </w:rPr>
        <w:t>Table 5.7: Template-only baseline summary</w:t>
        <w:tab/>
        <w:t>29</w:t>
      </w:r>
    </w:p>
    <w:p>
      <w:pPr>
        <w:spacing w:after="80" w:before="0" w:line="360" w:lineRule="auto"/>
        <w:jc w:val="both"/>
        <w:tabs>
          <w:tab w:val="right" w:leader="dot" w:pos="8640"/>
        </w:tabs>
      </w:pPr>
      <w:r>
        <w:rPr>
          <w:rFonts w:ascii="Times New Roman" w:hAnsi="Times New Roman"/>
          <w:sz w:val="24"/>
        </w:rPr>
        <w:t>Table 5.8: AEGIS vs. direct LLM-to-SQL</w:t>
        <w:tab/>
        <w:t>30</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Benchmark evidence from 107 mixed requests showing SQL safety and true execution validity, while keeping semantic correctness as a separate metric.</w:t>
      </w:r>
    </w:p>
    <w:p>
      <w:pPr>
        <w:pStyle w:val="ListNumber"/>
        <w:spacing w:after="80" w:line="360" w:lineRule="auto"/>
      </w:pPr>
      <w:r>
        <w:rPr>
          <w:rFonts w:ascii="Times New Roman" w:hAnsi="Times New Roman"/>
          <w:sz w:val="24"/>
        </w:rPr>
        <w:t>A future cross-schema evaluation objective to test reuse of the same compiler and safety architecture with another e-commerce schema.</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how the 107 custom benchmark requests are distributed across these reporting patterns. The first 100 requests represent answerable analytical questions, while the remaining seven mixed requests test harder boundary behavior. This classification is used as a design and evaluation aid, not as an independently validated user study.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The classification shaped the methodology in three ways. First, the benchmark is concentrated around a small number of common reporting needs: KPI, Ranking, and Exception/Filter requests account for 67 of the 107 requests. Second, the requests use business terms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the reported results include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A misclassified intent can produce a safe but semantically wrong query, so semantic correctness must be annotated and measured separately from SQL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Annotated expected answers, B2 and B4 baselines, latency measurements, and correctness reporting should be added to strengthen the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