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typed intent object is a structured, checkable record of what the user asked for). The final evaluation uses two static nopCommerce corpora (nopCommerce is an open-source online-store platform that ships with its own admin reports):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2</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17</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21</w:t>
      </w:r>
    </w:p>
    <w:p>
      <w:pPr>
        <w:spacing w:after="80" w:before="0" w:line="360" w:lineRule="auto"/>
        <w:ind w:left="432"/>
        <w:jc w:val="both"/>
        <w:tabs>
          <w:tab w:val="right" w:leader="dot" w:pos="8640"/>
        </w:tabs>
      </w:pPr>
      <w:r>
        <w:rPr>
          <w:rFonts w:ascii="Times New Roman" w:hAnsi="Times New Roman"/>
          <w:b w:val="0"/>
          <w:sz w:val="23"/>
        </w:rPr>
        <w:t>4.1 Implementation</w:t>
        <w:tab/>
        <w:t>21</w:t>
      </w:r>
    </w:p>
    <w:p>
      <w:pPr>
        <w:spacing w:after="80" w:before="0" w:line="360" w:lineRule="auto"/>
        <w:ind w:left="432"/>
        <w:jc w:val="both"/>
        <w:tabs>
          <w:tab w:val="right" w:leader="dot" w:pos="8640"/>
        </w:tabs>
      </w:pPr>
      <w:r>
        <w:rPr>
          <w:rFonts w:ascii="Times New Roman" w:hAnsi="Times New Roman"/>
          <w:b w:val="0"/>
          <w:sz w:val="23"/>
        </w:rPr>
        <w:t>4.2 Experimental Environment</w:t>
        <w:tab/>
        <w:t>22</w:t>
      </w:r>
    </w:p>
    <w:p>
      <w:pPr>
        <w:spacing w:after="80" w:before="0" w:line="360" w:lineRule="auto"/>
        <w:ind w:left="432"/>
        <w:jc w:val="both"/>
        <w:tabs>
          <w:tab w:val="right" w:leader="dot" w:pos="8640"/>
        </w:tabs>
      </w:pPr>
      <w:r>
        <w:rPr>
          <w:rFonts w:ascii="Times New Roman" w:hAnsi="Times New Roman"/>
          <w:b w:val="0"/>
          <w:sz w:val="23"/>
        </w:rPr>
        <w:t>4.3 Benchmark Dataset Construction</w:t>
        <w:tab/>
        <w:t>22</w:t>
      </w:r>
    </w:p>
    <w:p>
      <w:pPr>
        <w:spacing w:after="80" w:before="0" w:line="360" w:lineRule="auto"/>
        <w:ind w:left="432"/>
        <w:jc w:val="both"/>
        <w:tabs>
          <w:tab w:val="right" w:leader="dot" w:pos="8640"/>
        </w:tabs>
      </w:pPr>
      <w:r>
        <w:rPr>
          <w:rFonts w:ascii="Times New Roman" w:hAnsi="Times New Roman"/>
          <w:b w:val="0"/>
          <w:sz w:val="23"/>
        </w:rPr>
        <w:t>4.4 Baseline and Oracle Comparisons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25</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26</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28</w:t>
      </w:r>
    </w:p>
    <w:p>
      <w:pPr>
        <w:spacing w:after="80" w:before="0" w:line="360" w:lineRule="auto"/>
        <w:ind w:left="432"/>
        <w:jc w:val="both"/>
        <w:tabs>
          <w:tab w:val="right" w:leader="dot" w:pos="8640"/>
        </w:tabs>
      </w:pPr>
      <w:r>
        <w:rPr>
          <w:rFonts w:ascii="Times New Roman" w:hAnsi="Times New Roman"/>
          <w:b w:val="0"/>
          <w:sz w:val="23"/>
        </w:rPr>
        <w:t>5.4 Latency</w:t>
        <w:tab/>
        <w:t>29</w:t>
      </w:r>
    </w:p>
    <w:p>
      <w:pPr>
        <w:spacing w:after="80" w:before="0" w:line="360" w:lineRule="auto"/>
        <w:ind w:left="432"/>
        <w:jc w:val="both"/>
        <w:tabs>
          <w:tab w:val="right" w:leader="dot" w:pos="8640"/>
        </w:tabs>
      </w:pPr>
      <w:r>
        <w:rPr>
          <w:rFonts w:ascii="Times New Roman" w:hAnsi="Times New Roman"/>
          <w:b w:val="0"/>
          <w:sz w:val="23"/>
        </w:rPr>
        <w:t>5.5 Safety Evaluation</w:t>
        <w:tab/>
        <w:t>29</w:t>
      </w:r>
    </w:p>
    <w:p>
      <w:pPr>
        <w:spacing w:after="80" w:before="0" w:line="360" w:lineRule="auto"/>
        <w:ind w:left="432"/>
        <w:jc w:val="both"/>
        <w:tabs>
          <w:tab w:val="right" w:leader="dot" w:pos="8640"/>
        </w:tabs>
      </w:pPr>
      <w:r>
        <w:rPr>
          <w:rFonts w:ascii="Times New Roman" w:hAnsi="Times New Roman"/>
          <w:b w:val="0"/>
          <w:sz w:val="23"/>
        </w:rPr>
        <w:t>5.6 Comparison With Direct LLM-to-SQL</w:t>
        <w:tab/>
        <w:t>30</w:t>
      </w:r>
    </w:p>
    <w:p>
      <w:pPr>
        <w:spacing w:after="80" w:before="0" w:line="360" w:lineRule="auto"/>
        <w:ind w:left="432"/>
        <w:jc w:val="both"/>
        <w:tabs>
          <w:tab w:val="right" w:leader="dot" w:pos="8640"/>
        </w:tabs>
      </w:pPr>
      <w:r>
        <w:rPr>
          <w:rFonts w:ascii="Times New Roman" w:hAnsi="Times New Roman"/>
          <w:b w:val="0"/>
          <w:sz w:val="23"/>
        </w:rPr>
        <w:t>5.7 Interpretation</w:t>
        <w:tab/>
        <w:t>31</w:t>
      </w:r>
    </w:p>
    <w:p>
      <w:pPr>
        <w:spacing w:after="160" w:before="80" w:line="360" w:lineRule="auto"/>
        <w:ind w:left="0"/>
        <w:jc w:val="both"/>
        <w:tabs>
          <w:tab w:val="right" w:leader="dot" w:pos="8640"/>
        </w:tabs>
      </w:pPr>
      <w:r>
        <w:rPr>
          <w:rFonts w:ascii="Times New Roman" w:hAnsi="Times New Roman"/>
          <w:b/>
          <w:sz w:val="24"/>
        </w:rPr>
        <w:t>Chapter 6: Limitations and Future Work</w:t>
        <w:tab/>
        <w:t>32</w:t>
      </w:r>
    </w:p>
    <w:p>
      <w:pPr>
        <w:spacing w:after="80" w:before="0" w:line="360" w:lineRule="auto"/>
        <w:ind w:left="432"/>
        <w:jc w:val="both"/>
        <w:tabs>
          <w:tab w:val="right" w:leader="dot" w:pos="8640"/>
        </w:tabs>
      </w:pPr>
      <w:r>
        <w:rPr>
          <w:rFonts w:ascii="Times New Roman" w:hAnsi="Times New Roman"/>
          <w:b w:val="0"/>
          <w:sz w:val="23"/>
        </w:rPr>
        <w:t>6.1 Limitations</w:t>
        <w:tab/>
        <w:t>32</w:t>
      </w:r>
    </w:p>
    <w:p>
      <w:pPr>
        <w:spacing w:after="80" w:before="0" w:line="360" w:lineRule="auto"/>
        <w:ind w:left="432"/>
        <w:jc w:val="both"/>
        <w:tabs>
          <w:tab w:val="right" w:leader="dot" w:pos="8640"/>
        </w:tabs>
      </w:pPr>
      <w:r>
        <w:rPr>
          <w:rFonts w:ascii="Times New Roman" w:hAnsi="Times New Roman"/>
          <w:b w:val="0"/>
          <w:sz w:val="23"/>
        </w:rPr>
        <w:t>6.2 Future Work</w:t>
        <w:tab/>
        <w:t>33</w:t>
      </w:r>
    </w:p>
    <w:p>
      <w:pPr>
        <w:spacing w:after="160" w:before="80" w:line="360" w:lineRule="auto"/>
        <w:ind w:left="0"/>
        <w:jc w:val="both"/>
        <w:tabs>
          <w:tab w:val="right" w:leader="dot" w:pos="8640"/>
        </w:tabs>
      </w:pPr>
      <w:r>
        <w:rPr>
          <w:rFonts w:ascii="Times New Roman" w:hAnsi="Times New Roman"/>
          <w:b/>
          <w:sz w:val="24"/>
        </w:rPr>
        <w:t>Chapter 7: Conclusion</w:t>
        <w:tab/>
        <w:t>35</w:t>
      </w:r>
    </w:p>
    <w:p>
      <w:pPr>
        <w:spacing w:after="160" w:before="80" w:line="360" w:lineRule="auto"/>
        <w:ind w:left="0"/>
        <w:jc w:val="both"/>
        <w:tabs>
          <w:tab w:val="right" w:leader="dot" w:pos="8640"/>
        </w:tabs>
      </w:pPr>
      <w:r>
        <w:rPr>
          <w:rFonts w:ascii="Times New Roman" w:hAnsi="Times New Roman"/>
          <w:b/>
          <w:sz w:val="24"/>
        </w:rPr>
        <w:t>References</w:t>
        <w:tab/>
        <w:t>36</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22</w:t>
      </w:r>
    </w:p>
    <w:p>
      <w:pPr>
        <w:spacing w:after="80" w:before="0" w:line="360" w:lineRule="auto"/>
        <w:jc w:val="both"/>
        <w:tabs>
          <w:tab w:val="right" w:leader="dot" w:pos="8640"/>
        </w:tabs>
      </w:pPr>
      <w:r>
        <w:rPr>
          <w:rFonts w:ascii="Times New Roman" w:hAnsi="Times New Roman"/>
          <w:sz w:val="24"/>
        </w:rPr>
        <w:t>Table 4.2: Experimental setup</w:t>
        <w:tab/>
        <w:t>22</w:t>
      </w:r>
    </w:p>
    <w:p>
      <w:pPr>
        <w:spacing w:after="80" w:before="0" w:line="360" w:lineRule="auto"/>
        <w:jc w:val="both"/>
        <w:tabs>
          <w:tab w:val="right" w:leader="dot" w:pos="8640"/>
        </w:tabs>
      </w:pPr>
      <w:r>
        <w:rPr>
          <w:rFonts w:ascii="Times New Roman" w:hAnsi="Times New Roman"/>
          <w:sz w:val="24"/>
        </w:rPr>
        <w:t>Table 4.3: Static evaluation datasets</w:t>
        <w:tab/>
        <w:t>23</w:t>
      </w:r>
    </w:p>
    <w:p>
      <w:pPr>
        <w:spacing w:after="80" w:before="0" w:line="360" w:lineRule="auto"/>
        <w:jc w:val="both"/>
        <w:tabs>
          <w:tab w:val="right" w:leader="dot" w:pos="8640"/>
        </w:tabs>
      </w:pPr>
      <w:r>
        <w:rPr>
          <w:rFonts w:ascii="Times New Roman" w:hAnsi="Times New Roman"/>
          <w:sz w:val="24"/>
        </w:rPr>
        <w:t>Table 5.1: Evaluation artifacts</w:t>
        <w:tab/>
        <w:t>26</w:t>
      </w:r>
    </w:p>
    <w:p>
      <w:pPr>
        <w:spacing w:after="80" w:before="0" w:line="360" w:lineRule="auto"/>
        <w:jc w:val="both"/>
        <w:tabs>
          <w:tab w:val="right" w:leader="dot" w:pos="8640"/>
        </w:tabs>
      </w:pPr>
      <w:r>
        <w:rPr>
          <w:rFonts w:ascii="Times New Roman" w:hAnsi="Times New Roman"/>
          <w:sz w:val="24"/>
        </w:rPr>
        <w:t>Table 5.2: 500-question live benchmark results</w:t>
        <w:tab/>
        <w:t>27</w:t>
      </w:r>
    </w:p>
    <w:p>
      <w:pPr>
        <w:spacing w:after="80" w:before="0" w:line="360" w:lineRule="auto"/>
        <w:jc w:val="both"/>
        <w:tabs>
          <w:tab w:val="right" w:leader="dot" w:pos="8640"/>
        </w:tabs>
      </w:pPr>
      <w:r>
        <w:rPr>
          <w:rFonts w:ascii="Times New Roman" w:hAnsi="Times New Roman"/>
          <w:sz w:val="24"/>
        </w:rPr>
        <w:t>Table 5.3: nopCommerce standard admin report fidelity</w:t>
        <w:tab/>
        <w:t>28</w:t>
      </w:r>
    </w:p>
    <w:p>
      <w:pPr>
        <w:spacing w:after="80" w:before="0" w:line="360" w:lineRule="auto"/>
        <w:jc w:val="both"/>
        <w:tabs>
          <w:tab w:val="right" w:leader="dot" w:pos="8640"/>
        </w:tabs>
      </w:pPr>
      <w:r>
        <w:rPr>
          <w:rFonts w:ascii="Times New Roman" w:hAnsi="Times New Roman"/>
          <w:sz w:val="24"/>
        </w:rPr>
        <w:t>Table 5.4: Per-stage latency over 425 supported questions</w:t>
        <w:tab/>
        <w:t>29</w:t>
      </w:r>
    </w:p>
    <w:p>
      <w:pPr>
        <w:spacing w:after="80" w:before="0" w:line="360" w:lineRule="auto"/>
        <w:jc w:val="both"/>
        <w:tabs>
          <w:tab w:val="right" w:leader="dot" w:pos="8640"/>
        </w:tabs>
      </w:pPr>
      <w:r>
        <w:rPr>
          <w:rFonts w:ascii="Times New Roman" w:hAnsi="Times New Roman"/>
          <w:sz w:val="24"/>
        </w:rPr>
        <w:t>Table 5.5: Safety interpretation</w:t>
        <w:tab/>
        <w:t>30</w:t>
      </w:r>
    </w:p>
    <w:p>
      <w:pPr>
        <w:spacing w:after="80" w:before="0" w:line="360" w:lineRule="auto"/>
        <w:jc w:val="both"/>
        <w:tabs>
          <w:tab w:val="right" w:leader="dot" w:pos="8640"/>
        </w:tabs>
      </w:pPr>
      <w:r>
        <w:rPr>
          <w:rFonts w:ascii="Times New Roman" w:hAnsi="Times New Roman"/>
          <w:sz w:val="24"/>
        </w:rPr>
        <w:t>Table 5.6: Measured comparison over the same 500 questions</w:t>
        <w:tab/>
        <w:t>30</w:t>
      </w:r>
    </w:p>
    <w:p>
      <w:pPr>
        <w:spacing w:after="80" w:before="0" w:line="360" w:lineRule="auto"/>
        <w:jc w:val="both"/>
        <w:tabs>
          <w:tab w:val="right" w:leader="dot" w:pos="8640"/>
        </w:tabs>
      </w:pPr>
      <w:r>
        <w:rPr>
          <w:rFonts w:ascii="Times New Roman" w:hAnsi="Times New Roman"/>
          <w:sz w:val="24"/>
        </w:rPr>
        <w:t>Table 5.7: Structural comparison</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(large language model)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(running attacker-supplied text as SQL)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Prototype</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fixed list of approved terms (a bounded vocabulary), a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spacing w:after="80" w:line="360" w:lineRule="auto"/>
        <w:ind w:left="504" w:hanging="504"/>
      </w:pPr>
      <w:r>
        <w:rPr>
          <w:rFonts w:ascii="Times New Roman" w:hAnsi="Times New Roman"/>
          <w:sz w:val="24"/>
        </w:rPr>
        <w:t>1.</w:t>
      </w:r>
      <w:r>
        <w:rPr>
          <w:rFonts w:ascii="Times New Roman" w:hAnsi="Times New Roman"/>
          <w:sz w:val="24"/>
        </w:rPr>
        <w:tab/>
        <w:t>Separate understanding from execution. The LLM understands the question; fixed rules handle everything else.</w:t>
      </w:r>
    </w:p>
    <w:p>
      <w:pPr>
        <w:spacing w:after="80" w:line="360" w:lineRule="auto"/>
        <w:ind w:left="504" w:hanging="504"/>
      </w:pPr>
      <w:r>
        <w:rPr>
          <w:rFonts w:ascii="Times New Roman" w:hAnsi="Times New Roman"/>
          <w:sz w:val="24"/>
        </w:rPr>
        <w:t>2.</w:t>
      </w:r>
      <w:r>
        <w:rPr>
          <w:rFonts w:ascii="Times New Roman" w:hAnsi="Times New Roman"/>
          <w:sz w:val="24"/>
        </w:rPr>
        <w:tab/>
        <w:t>Define business terms explicitly. Metrics, dimensions, joins, and time rules are written once in a semantic layer, not inferred per query.</w:t>
      </w:r>
    </w:p>
    <w:p>
      <w:pPr>
        <w:spacing w:after="80" w:line="360" w:lineRule="auto"/>
        <w:ind w:left="504" w:hanging="504"/>
      </w:pPr>
      <w:r>
        <w:rPr>
          <w:rFonts w:ascii="Times New Roman" w:hAnsi="Times New Roman"/>
          <w:sz w:val="24"/>
        </w:rPr>
        <w:t>3.</w:t>
      </w:r>
      <w:r>
        <w:rPr>
          <w:rFonts w:ascii="Times New Roman" w:hAnsi="Times New Roman"/>
          <w:sz w:val="24"/>
        </w:rPr>
        <w:tab/>
        <w:t>Limit what SQL can be generated. SQL is built only from pre-approved, parameterized templates.</w:t>
      </w:r>
    </w:p>
    <w:p>
      <w:pPr>
        <w:spacing w:after="80" w:line="360" w:lineRule="auto"/>
        <w:ind w:left="504" w:hanging="504"/>
      </w:pPr>
      <w:r>
        <w:rPr>
          <w:rFonts w:ascii="Times New Roman" w:hAnsi="Times New Roman"/>
          <w:sz w:val="24"/>
        </w:rPr>
        <w:t>4.</w:t>
      </w:r>
      <w:r>
        <w:rPr>
          <w:rFonts w:ascii="Times New Roman" w:hAnsi="Times New Roman"/>
          <w:sz w:val="24"/>
        </w:rPr>
        <w:tab/>
        <w:t>Select visualizations by rule. Chart type is decided by question type, result shape, and established visualization design guidance, not by a learned model.</w:t>
      </w:r>
    </w:p>
    <w:p>
      <w:pPr>
        <w:spacing w:after="80" w:line="360" w:lineRule="auto"/>
        <w:ind w:left="504" w:hanging="504"/>
      </w:pPr>
      <w:r>
        <w:rPr>
          <w:rFonts w:ascii="Times New Roman" w:hAnsi="Times New Roman"/>
          <w:sz w:val="24"/>
        </w:rPr>
        <w:t>5.</w:t>
      </w:r>
      <w:r>
        <w:rPr>
          <w:rFonts w:ascii="Times New Roman" w:hAnsi="Times New Roman"/>
          <w:sz w:val="24"/>
        </w:rPr>
        <w:tab/>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after the LLM has already finished, so no natural-language content can influence it. The prototype demonstrates this stage rather than enforcing it: the shipped role predicates are illustrative, the demonstration server invokes the rewriter with a single unrestricted role, and the stage is outside the evaluated path reported in Chapter 5. Section 6.1 states the consequence.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(an automatic search for the shortest chain of table joins, run by code rather than the model) over the join graph finds the minimal join path connecting the tables required by the resolved metric and dimension, and pre-compiled SQL expressions are substituted into a parameterized template (a fixed query skeleton whose structural slots are filled only from approved semantic-layer pieces, while user-supplied values are bound separately as parameters rather than pasted into the text).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becomes a table or column name (a SQL identifier). Identifiers come from Metric and Dimension objects. The values a user supplies are passed to the database separately as parameters, never pasted into the query text.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pPr>
        <w:pageBreakBefore/>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plain HTML and JavaScript frontend and a Python FastAPI backend, targeting a nopCommerce-derived MySQL schema of 126 tables and 107 foreign-key constraints. The oracle queries (the trusted reference answers, taken from nopCommerce's own report code)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(the service that relays requests to the language model), is asked to write MySQL directly for the same 500 questions against the same database, with no semantic layer in between. The arms therefore differ only in whether the model authors the query, which isolates the architectural variable rather than mixing it up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mix up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(the step that matches request terms to semantic-layer definitions)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 total counted once per line item, which inflated revenue; a missing filter for rows marked deleted but kept (a soft-delete filter); and a customer breakdown grouped by display name, which merges different people who share a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one of the five (best customers by order count) differs in both.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(a name that stands in for a concrete model rather than naming one directly)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rewriting is not evaluated: </w:t>
      </w:r>
      <w:r>
        <w:rPr>
          <w:rFonts w:ascii="Times New Roman" w:hAnsi="Times New Roman"/>
          <w:sz w:val="24"/>
        </w:rPr>
        <w:t>Stage 4 is demonstrated, not enforced, and none of the results in Chapter 5 exercise it. The shipped role predicates reference illustrative columns rather than columns of the evaluation schema, role values are interpolated into the predicate text instead of being bound as parameters, and the demonstration server calls the rewriter with a single unrestricted role. A deployment serving more than one role would need the predicates rewritten against its own schema, parameter binding for role values, a hard failure when a scope cannot be applied to the compiled join path, and database-level row security underneath the application layer.</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