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and Scope Handling</w:t>
        <w:tab/>
        <w:t>29</w:t>
      </w:r>
    </w:p>
    <w:p>
      <w:pPr>
        <w:spacing w:after="80" w:before="0" w:line="360" w:lineRule="auto"/>
        <w:ind w:left="432"/>
        <w:jc w:val="both"/>
        <w:tabs>
          <w:tab w:val="right" w:leader="dot" w:pos="8640"/>
        </w:tabs>
      </w:pPr>
      <w:r>
        <w:rPr>
          <w:rFonts w:ascii="Times New Roman" w:hAnsi="Times New Roman"/>
          <w:b w:val="0"/>
          <w:sz w:val="23"/>
        </w:rPr>
        <w:t>5.7 Baseline and Runtime Analysis</w:t>
        <w:tab/>
        <w:t>30</w:t>
      </w:r>
    </w:p>
    <w:p>
      <w:pPr>
        <w:spacing w:after="80" w:before="0" w:line="360" w:lineRule="auto"/>
        <w:ind w:left="432"/>
        <w:jc w:val="both"/>
        <w:tabs>
          <w:tab w:val="right" w:leader="dot" w:pos="8640"/>
        </w:tabs>
      </w:pPr>
      <w:r>
        <w:rPr>
          <w:rFonts w:ascii="Times New Roman" w:hAnsi="Times New Roman"/>
          <w:b w:val="0"/>
          <w:sz w:val="23"/>
        </w:rPr>
        <w:t>5.8 Comparative Discussion and Robustness</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33</w:t>
      </w:r>
    </w:p>
    <w:p>
      <w:pPr>
        <w:spacing w:after="160" w:before="80" w:line="360" w:lineRule="auto"/>
        <w:ind w:left="0"/>
        <w:jc w:val="both"/>
        <w:tabs>
          <w:tab w:val="right" w:leader="dot" w:pos="8640"/>
        </w:tabs>
      </w:pPr>
      <w:r>
        <w:rPr>
          <w:rFonts w:ascii="Times New Roman" w:hAnsi="Times New Roman"/>
          <w:b/>
          <w:sz w:val="24"/>
        </w:rPr>
        <w:t>Chapter 7: Conclusion</w:t>
        <w:tab/>
        <w:t>34</w:t>
      </w:r>
    </w:p>
    <w:p>
      <w:pPr>
        <w:spacing w:after="160" w:before="80" w:line="360" w:lineRule="auto"/>
        <w:ind w:left="0"/>
        <w:jc w:val="both"/>
        <w:tabs>
          <w:tab w:val="right" w:leader="dot" w:pos="8640"/>
        </w:tabs>
      </w:pPr>
      <w:r>
        <w:rPr>
          <w:rFonts w:ascii="Times New Roman" w:hAnsi="Times New Roman"/>
          <w:b/>
          <w:sz w:val="24"/>
        </w:rPr>
        <w:t>References</w:t>
        <w:tab/>
        <w:t>35</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Semantic-correctness annotation summary</w:t>
        <w:tab/>
        <w:t>29</w:t>
      </w:r>
    </w:p>
    <w:p>
      <w:pPr>
        <w:spacing w:after="80" w:before="0" w:line="360" w:lineRule="auto"/>
        <w:jc w:val="both"/>
        <w:tabs>
          <w:tab w:val="right" w:leader="dot" w:pos="8640"/>
        </w:tabs>
      </w:pPr>
      <w:r>
        <w:rPr>
          <w:rFonts w:ascii="Times New Roman" w:hAnsi="Times New Roman"/>
          <w:sz w:val="24"/>
        </w:rPr>
        <w:t>Table 5.7: Completed baseline comparison</w:t>
        <w:tab/>
        <w:t>30</w:t>
      </w:r>
    </w:p>
    <w:p>
      <w:pPr>
        <w:spacing w:after="80" w:before="0" w:line="360" w:lineRule="auto"/>
        <w:jc w:val="both"/>
        <w:tabs>
          <w:tab w:val="right" w:leader="dot" w:pos="8640"/>
        </w:tabs>
      </w:pPr>
      <w:r>
        <w:rPr>
          <w:rFonts w:ascii="Times New Roman" w:hAnsi="Times New Roman"/>
          <w:sz w:val="24"/>
        </w:rPr>
        <w:t>Table 5.8: Runtime evidence</w:t>
        <w:tab/>
        <w:t>30</w:t>
      </w:r>
    </w:p>
    <w:p>
      <w:pPr>
        <w:spacing w:after="80" w:before="0" w:line="360" w:lineRule="auto"/>
        <w:jc w:val="both"/>
        <w:tabs>
          <w:tab w:val="right" w:leader="dot" w:pos="8640"/>
        </w:tabs>
      </w:pPr>
      <w:r>
        <w:rPr>
          <w:rFonts w:ascii="Times New Roman" w:hAnsi="Times New Roman"/>
          <w:sz w:val="24"/>
        </w:rPr>
        <w:t>Table 5.9: Structural comparison</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true execution validity, a first-pass semantic-correctness annotation, runtime evidence, and completed baseline execution for the baselines retained in this thesis.</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uses three baselines that are all executed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tests whether decomposition alone improves SQL generation without AEGIS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tests the deterministic mapper and compiler when the LLM intent parser is removed.</w:t>
      </w:r>
    </w:p>
    <w:p>
      <w:pPr>
        <w:spacing w:after="0" w:before="0" w:line="360" w:lineRule="auto"/>
        <w:jc w:val="both"/>
      </w:pPr>
      <w:r>
        <w:rPr>
          <w:rFonts w:ascii="Times New Roman" w:hAnsi="Times New Roman"/>
          <w:b w:val="0"/>
          <w:i w:val="0"/>
          <w:sz w:val="24"/>
        </w:rPr>
        <w:t>An earlier possible B4 idea was not retained as a thesis baseline because bypassing the semantic layer would no longer test the proposed AEGIS architecture. It is therefore treated as future ablation work rather than an unevaluated baseline in the current results.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accurate are the generated answers at the semantic level? Measured through a machine-assisted first-pass annotation that checks expected metric, grouping, time/filter, and required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How does the system behave under harder requests? Measured by scope-handling annotation for unsupported, vague, compound, and write-style requests in the same 107-request benchmark.</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AEGIS and three completed baselines: B1 direct LLM-to-SQL, B2 decomposed LLM-to-SQL, and B3 template-only. It also includes a machine-assisted first-pass semantic-correctness annotation and runtime evidence from the live LLM gateway and Docker MySQL execution.</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B2 decomposed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Correctness annotation</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Machine-assisted first pass over all 107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Runtime evidence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LLM gateway responses observed around 12-30 seconds; SQL replay measured in milliseconds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Remaining manual step</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Human spot-checking of semantic-correctness annotations before final submission</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B2: 33 of 107; B3: 104 of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LLM-to-SQL baselines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32 of 107 overall; 32 of 54 answerable requests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16; B2: 19; B3: 21 correct overall</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had the strongest answerable-request correctness in the annotation</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First-pass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Runtime</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SQL replay mean 13.22 ms; live LLM responses commonly 12-30 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B2 requires two LLM calls per request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LLM response time dominates user-visible latency</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 / observed</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B2 (Decomposed LLM)</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33 of 107 executed successfully (30.8%)</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Decomposition improved slightly over B1, but many SQL errors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and Scope Handling</w:t>
      </w:r>
    </w:p>
    <w:p>
      <w:pPr>
        <w:spacing w:after="200" w:before="0" w:line="360" w:lineRule="auto"/>
        <w:jc w:val="both"/>
      </w:pPr>
      <w:r>
        <w:rPr>
          <w:rFonts w:ascii="Times New Roman" w:hAnsi="Times New Roman"/>
          <w:b w:val="0"/>
          <w:i w:val="0"/>
          <w:sz w:val="24"/>
        </w:rPr>
        <w:t>Correctness or accuracy must be treated separately from execution validity. A machine-assisted annotation pass was therefore added after the supervisor review. Each row was checked against the expected metric, grouping, time or filter, and required behavior. This annotation is a first pass and should be manually spot-checked before final submission, but it gives the thesis a concrete correctness measurement instead of relying only on SQL execution.</w:t>
      </w:r>
    </w:p>
    <w:p>
      <w:pPr>
        <w:spacing w:before="200" w:after="80"/>
        <w:jc w:val="center"/>
        <w:keepNext/>
      </w:pPr>
      <w:r>
        <w:rPr>
          <w:rFonts w:ascii="Times New Roman" w:hAnsi="Times New Roman"/>
          <w:b/>
          <w:sz w:val="22"/>
        </w:rPr>
        <w:t>Table 5.6: Semantic-correctness annotation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016"/>
        <w:gridCol w:w="2088"/>
        <w:gridCol w:w="201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Overall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Answerable requests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Scope/write handling</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32 of 54 (59.3%)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15 of 54 (27.8%)</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18 of 54 (33.3%)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21 of 54 (38.9%)</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bl>
    <w:p>
      <w:pPr>
        <w:spacing w:after="80"/>
      </w:pPr>
    </w:p>
    <w:p>
      <w:pPr>
        <w:spacing w:after="0" w:before="0" w:line="360" w:lineRule="auto"/>
        <w:jc w:val="both"/>
      </w:pPr>
      <w:r>
        <w:rPr>
          <w:rFonts w:ascii="Times New Roman" w:hAnsi="Times New Roman"/>
          <w:b w:val="0"/>
          <w:i w:val="0"/>
          <w:sz w:val="24"/>
        </w:rPr>
        <w:t>The annotation shows two findings. For answerable requests, AEGIS scored higher than the LLM-to-SQL and template-only baselines. For unsupported, vague, compound, or write-style requests, none of the evaluated systems handled the scope boundary correctly in this first pass. AEGIS still maintained SQL safety, but it often mapped unsupported requests to safe but semantically wrong in-scope queries. This is a correctness and robustness limitation, not a SQL-safety failure.</w:t>
      </w:r>
    </w:p>
    <w:p>
      <w:pPr>
        <w:spacing w:before="320" w:after="160"/>
        <w:jc w:val="left"/>
      </w:pPr>
      <w:r>
        <w:rPr>
          <w:rFonts w:ascii="Times New Roman" w:hAnsi="Times New Roman"/>
          <w:b/>
          <w:sz w:val="28"/>
        </w:rPr>
        <w:t>5.7  Baseline and Runtime Analysis</w:t>
      </w:r>
    </w:p>
    <w:p>
      <w:pPr>
        <w:spacing w:after="200" w:before="0" w:line="360" w:lineRule="auto"/>
        <w:jc w:val="both"/>
      </w:pPr>
      <w:r>
        <w:rPr>
          <w:rFonts w:ascii="Times New Roman" w:hAnsi="Times New Roman"/>
          <w:b w:val="0"/>
          <w:i w:val="0"/>
          <w:sz w:val="24"/>
        </w:rPr>
        <w:t>The completed baselines show different failure modes. B1 and B2 rely on unconstrained LLM-written SQL and therefore suffer from dialect errors, missing tables, hallucinated columns, and unsafe write behavior. B3 removes the LLM and uses keyword templates, so it produces highly executable SQL but often misses the user's intended meaning.</w:t>
      </w:r>
    </w:p>
    <w:p>
      <w:pPr>
        <w:spacing w:before="200" w:after="80"/>
        <w:jc w:val="center"/>
        <w:keepNext/>
      </w:pPr>
      <w:r>
        <w:rPr>
          <w:rFonts w:ascii="Times New Roman" w:hAnsi="Times New Roman"/>
          <w:b/>
          <w:sz w:val="22"/>
        </w:rPr>
        <w:t>Table 5.7: Completed baseline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1800"/>
        <w:gridCol w:w="1800"/>
        <w:gridCol w:w="3240"/>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Semantic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Main observation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27 of 107 (25.2%)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Lowest execution validity and one unsafe write statement.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33 of 107 (30.8%)</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Two-step prompting improved execution slightly but did not solve schema errors.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104 of 107 (97.2%)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SQL often runs, but keyword intent selection is semantically brittle.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100 of 107 (93.5%)</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Best correctness among evaluated systems while preserving SQL safety.</w:t>
            </w:r>
          </w:p>
        </w:tc>
      </w:tr>
    </w:tbl>
    <w:p>
      <w:pPr>
        <w:spacing w:after="80"/>
      </w:pPr>
    </w:p>
    <w:p>
      <w:pPr>
        <w:spacing w:before="200" w:after="80"/>
        <w:jc w:val="center"/>
        <w:keepNext/>
      </w:pPr>
      <w:r>
        <w:rPr>
          <w:rFonts w:ascii="Times New Roman" w:hAnsi="Times New Roman"/>
          <w:b/>
          <w:sz w:val="22"/>
        </w:rPr>
        <w:t>Table 5.8: Runtime evidence from benchmark replay and live LLM gateway.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736"/>
        <w:gridCol w:w="410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Measurement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13.22 ms; median 2.59 ms; p95 72.55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Database execution and deterministic post-LLM stages are fast.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6.88 ms; median 0.74 ms; p95 28.55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SQL execution time is small compared with LLM response time.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pipeline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13.66 ms; median 3.80 ms; p95 59.17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Template-only classification, mapping, compilation, and execution are lightweight.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Live LLM response</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Observed around 12-30 seconds per request in the gateway screenshot</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User-visible runtime is dominated by model response duration.</w:t>
            </w:r>
          </w:p>
        </w:tc>
      </w:tr>
    </w:tbl>
    <w:p>
      <w:pPr>
        <w:spacing w:after="80"/>
      </w:pPr>
    </w:p>
    <w:p>
      <w:pPr>
        <w:spacing w:after="0" w:before="0" w:line="360" w:lineRule="auto"/>
        <w:jc w:val="both"/>
      </w:pPr>
      <w:r>
        <w:rPr>
          <w:rFonts w:ascii="Times New Roman" w:hAnsi="Times New Roman"/>
          <w:b w:val="0"/>
          <w:i w:val="0"/>
          <w:sz w:val="24"/>
        </w:rPr>
        <w:t>The runtime results show why end-to-end latency must be discussed separately from SQL execution time. Once the intent or SQL text exists, database replay takes milliseconds. The visible delay comes mainly from LLM calls. B2 is especially costly because each benchmark request uses two model calls: one for reasoning and one for SQL generation.</w:t>
      </w:r>
    </w:p>
    <w:p>
      <w:pPr>
        <w:spacing w:before="320" w:after="160"/>
        <w:jc w:val="left"/>
      </w:pPr>
      <w:r>
        <w:rPr>
          <w:rFonts w:ascii="Times New Roman" w:hAnsi="Times New Roman"/>
          <w:b/>
          <w:sz w:val="28"/>
        </w:rPr>
        <w:t>5.8  Comparative Discussion and Robustness</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5.9: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The first-pass annotation found that safe SQL can still answer the wrong business question, especially when requests are unsupported or vague.</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The machine-assisted correctness annotation should be reviewed manually, and future work should add stronger robustness tests and cross-schema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A first-pass semantic-correctness annotation also showed stronger answerable-request correctness for AEGIS than for the evaluated baselines.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