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11</w:t>
      </w:r>
    </w:p>
    <w:p>
      <w:pPr>
        <w:spacing w:after="80" w:before="0" w:line="360" w:lineRule="auto"/>
        <w:ind w:left="432"/>
        <w:jc w:val="both"/>
        <w:tabs>
          <w:tab w:val="right" w:leader="dot" w:pos="8640"/>
        </w:tabs>
      </w:pPr>
      <w:r>
        <w:rPr>
          <w:rFonts w:ascii="Times New Roman" w:hAnsi="Times New Roman"/>
          <w:b w:val="0"/>
          <w:sz w:val="23"/>
        </w:rPr>
        <w:t>3.4 Formal Model</w:t>
        <w:tab/>
        <w:t>12</w:t>
      </w:r>
    </w:p>
    <w:p>
      <w:pPr>
        <w:spacing w:after="80" w:before="0" w:line="360" w:lineRule="auto"/>
        <w:ind w:left="432"/>
        <w:jc w:val="both"/>
        <w:tabs>
          <w:tab w:val="right" w:leader="dot" w:pos="8640"/>
        </w:tabs>
      </w:pPr>
      <w:r>
        <w:rPr>
          <w:rFonts w:ascii="Times New Roman" w:hAnsi="Times New Roman"/>
          <w:b w:val="0"/>
          <w:sz w:val="23"/>
        </w:rPr>
        <w:t>3.5 Threat Model</w:t>
        <w:tab/>
        <w:t>12</w:t>
      </w:r>
    </w:p>
    <w:p>
      <w:pPr>
        <w:spacing w:after="80" w:before="0" w:line="360" w:lineRule="auto"/>
        <w:ind w:left="432"/>
        <w:jc w:val="both"/>
        <w:tabs>
          <w:tab w:val="right" w:leader="dot" w:pos="8640"/>
        </w:tabs>
      </w:pPr>
      <w:r>
        <w:rPr>
          <w:rFonts w:ascii="Times New Roman" w:hAnsi="Times New Roman"/>
          <w:b w:val="0"/>
          <w:sz w:val="23"/>
        </w:rPr>
        <w:t>3.6 System Architecture</w:t>
        <w:tab/>
        <w:t>14</w:t>
      </w:r>
    </w:p>
    <w:p>
      <w:pPr>
        <w:spacing w:after="80" w:before="0" w:line="360" w:lineRule="auto"/>
        <w:ind w:left="432"/>
        <w:jc w:val="both"/>
        <w:tabs>
          <w:tab w:val="right" w:leader="dot" w:pos="8640"/>
        </w:tabs>
      </w:pPr>
      <w:r>
        <w:rPr>
          <w:rFonts w:ascii="Times New Roman" w:hAnsi="Times New Roman"/>
          <w:b w:val="0"/>
          <w:sz w:val="23"/>
        </w:rPr>
        <w:t>3.7 Semantic Layer Design</w:t>
        <w:tab/>
        <w:t>15</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16</w:t>
      </w:r>
    </w:p>
    <w:p>
      <w:pPr>
        <w:spacing w:after="80" w:before="0" w:line="360" w:lineRule="auto"/>
        <w:ind w:left="432"/>
        <w:jc w:val="both"/>
        <w:tabs>
          <w:tab w:val="right" w:leader="dot" w:pos="8640"/>
        </w:tabs>
      </w:pPr>
      <w:r>
        <w:rPr>
          <w:rFonts w:ascii="Times New Roman" w:hAnsi="Times New Roman"/>
          <w:b w:val="0"/>
          <w:sz w:val="23"/>
        </w:rPr>
        <w:t>3.9 Safe Query Compiler</w:t>
        <w:tab/>
        <w:t>19</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23</w:t>
      </w:r>
    </w:p>
    <w:p>
      <w:pPr>
        <w:spacing w:after="80" w:before="0" w:line="360" w:lineRule="auto"/>
        <w:ind w:left="432"/>
        <w:jc w:val="both"/>
        <w:tabs>
          <w:tab w:val="right" w:leader="dot" w:pos="8640"/>
        </w:tabs>
      </w:pPr>
      <w:r>
        <w:rPr>
          <w:rFonts w:ascii="Times New Roman" w:hAnsi="Times New Roman"/>
          <w:b w:val="0"/>
          <w:sz w:val="23"/>
        </w:rPr>
        <w:t>4.1 Implementation</w:t>
        <w:tab/>
        <w:t>23</w:t>
      </w:r>
    </w:p>
    <w:p>
      <w:pPr>
        <w:spacing w:after="80" w:before="0" w:line="360" w:lineRule="auto"/>
        <w:ind w:left="432"/>
        <w:jc w:val="both"/>
        <w:tabs>
          <w:tab w:val="right" w:leader="dot" w:pos="8640"/>
        </w:tabs>
      </w:pPr>
      <w:r>
        <w:rPr>
          <w:rFonts w:ascii="Times New Roman" w:hAnsi="Times New Roman"/>
          <w:b w:val="0"/>
          <w:sz w:val="23"/>
        </w:rPr>
        <w:t>4.2 Experimental Environment</w:t>
        <w:tab/>
        <w:t>24</w:t>
      </w:r>
    </w:p>
    <w:p>
      <w:pPr>
        <w:spacing w:after="80" w:before="0" w:line="360" w:lineRule="auto"/>
        <w:ind w:left="432"/>
        <w:jc w:val="both"/>
        <w:tabs>
          <w:tab w:val="right" w:leader="dot" w:pos="8640"/>
        </w:tabs>
      </w:pPr>
      <w:r>
        <w:rPr>
          <w:rFonts w:ascii="Times New Roman" w:hAnsi="Times New Roman"/>
          <w:b w:val="0"/>
          <w:sz w:val="23"/>
        </w:rPr>
        <w:t>4.3 Benchmark Dataset Construction</w:t>
        <w:tab/>
        <w:t>24</w:t>
      </w:r>
    </w:p>
    <w:p>
      <w:pPr>
        <w:spacing w:after="80" w:before="0" w:line="360" w:lineRule="auto"/>
        <w:ind w:left="432"/>
        <w:jc w:val="both"/>
        <w:tabs>
          <w:tab w:val="right" w:leader="dot" w:pos="8640"/>
        </w:tabs>
      </w:pPr>
      <w:r>
        <w:rPr>
          <w:rFonts w:ascii="Times New Roman" w:hAnsi="Times New Roman"/>
          <w:b w:val="0"/>
          <w:sz w:val="23"/>
        </w:rPr>
        <w:t>4.4 Baseline Systems</w:t>
        <w:tab/>
        <w:t>25</w:t>
      </w:r>
    </w:p>
    <w:p>
      <w:pPr>
        <w:spacing w:after="80" w:before="0" w:line="360" w:lineRule="auto"/>
        <w:ind w:left="432"/>
        <w:jc w:val="both"/>
        <w:tabs>
          <w:tab w:val="right" w:leader="dot" w:pos="8640"/>
        </w:tabs>
      </w:pPr>
      <w:r>
        <w:rPr>
          <w:rFonts w:ascii="Times New Roman" w:hAnsi="Times New Roman"/>
          <w:b w:val="0"/>
          <w:sz w:val="23"/>
        </w:rPr>
        <w:t>4.5 Evaluation Procedure</w:t>
        <w:tab/>
        <w:t>25</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Limitation</w:t>
        <w:tab/>
        <w:t>29</w:t>
      </w:r>
    </w:p>
    <w:p>
      <w:pPr>
        <w:spacing w:after="80" w:before="0" w:line="360" w:lineRule="auto"/>
        <w:ind w:left="432"/>
        <w:jc w:val="both"/>
        <w:tabs>
          <w:tab w:val="right" w:leader="dot" w:pos="8640"/>
        </w:tabs>
      </w:pPr>
      <w:r>
        <w:rPr>
          <w:rFonts w:ascii="Times New Roman" w:hAnsi="Times New Roman"/>
          <w:b w:val="0"/>
          <w:sz w:val="23"/>
        </w:rPr>
        <w:t>5.7 B3 Template-Only Baseline</w:t>
        <w:tab/>
        <w:t>30</w:t>
      </w:r>
    </w:p>
    <w:p>
      <w:pPr>
        <w:spacing w:after="80" w:before="0" w:line="360" w:lineRule="auto"/>
        <w:ind w:left="432"/>
        <w:jc w:val="both"/>
        <w:tabs>
          <w:tab w:val="right" w:leader="dot" w:pos="8640"/>
        </w:tabs>
      </w:pPr>
      <w:r>
        <w:rPr>
          <w:rFonts w:ascii="Times New Roman" w:hAnsi="Times New Roman"/>
          <w:b w:val="0"/>
          <w:sz w:val="23"/>
        </w:rPr>
        <w:t>5.8 Comparative Discussion</w:t>
        <w:tab/>
        <w:t>30</w:t>
      </w:r>
    </w:p>
    <w:p>
      <w:pPr>
        <w:spacing w:after="160" w:before="80" w:line="360" w:lineRule="auto"/>
        <w:ind w:left="0"/>
        <w:jc w:val="both"/>
        <w:tabs>
          <w:tab w:val="right" w:leader="dot" w:pos="8640"/>
        </w:tabs>
      </w:pPr>
      <w:r>
        <w:rPr>
          <w:rFonts w:ascii="Times New Roman" w:hAnsi="Times New Roman"/>
          <w:b/>
          <w:sz w:val="24"/>
        </w:rPr>
        <w:t>Chapter 6: Limitations and Future Work</w:t>
        <w:tab/>
        <w:t>32</w:t>
      </w:r>
    </w:p>
    <w:p>
      <w:pPr>
        <w:spacing w:after="160" w:before="80" w:line="360" w:lineRule="auto"/>
        <w:ind w:left="0"/>
        <w:jc w:val="both"/>
        <w:tabs>
          <w:tab w:val="right" w:leader="dot" w:pos="8640"/>
        </w:tabs>
      </w:pPr>
      <w:r>
        <w:rPr>
          <w:rFonts w:ascii="Times New Roman" w:hAnsi="Times New Roman"/>
          <w:b/>
          <w:sz w:val="24"/>
        </w:rPr>
        <w:t>Chapter 7: Conclusion</w:t>
        <w:tab/>
        <w:t>33</w:t>
      </w:r>
    </w:p>
    <w:p>
      <w:pPr>
        <w:spacing w:after="160" w:before="80" w:line="360" w:lineRule="auto"/>
        <w:ind w:left="0"/>
        <w:jc w:val="both"/>
        <w:tabs>
          <w:tab w:val="right" w:leader="dot" w:pos="8640"/>
        </w:tabs>
      </w:pPr>
      <w:r>
        <w:rPr>
          <w:rFonts w:ascii="Times New Roman" w:hAnsi="Times New Roman"/>
          <w:b/>
          <w:sz w:val="24"/>
        </w:rPr>
        <w:t>References</w:t>
        <w:tab/>
        <w:t>34</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11</w:t>
      </w:r>
    </w:p>
    <w:p>
      <w:pPr>
        <w:spacing w:after="80" w:before="0" w:line="360" w:lineRule="auto"/>
        <w:jc w:val="both"/>
        <w:tabs>
          <w:tab w:val="right" w:leader="dot" w:pos="8640"/>
        </w:tabs>
      </w:pPr>
      <w:r>
        <w:rPr>
          <w:rFonts w:ascii="Times New Roman" w:hAnsi="Times New Roman"/>
          <w:sz w:val="24"/>
        </w:rPr>
        <w:t>Figure 3: AEGIS architecture pipeline</w:t>
        <w:tab/>
        <w:t>15</w:t>
      </w:r>
    </w:p>
    <w:p>
      <w:pPr>
        <w:spacing w:after="80" w:before="0" w:line="360" w:lineRule="auto"/>
        <w:jc w:val="both"/>
        <w:tabs>
          <w:tab w:val="right" w:leader="dot" w:pos="8640"/>
        </w:tabs>
      </w:pPr>
      <w:r>
        <w:rPr>
          <w:rFonts w:ascii="Times New Roman" w:hAnsi="Times New Roman"/>
          <w:sz w:val="24"/>
        </w:rPr>
        <w:t>Figure 4: Semantic layer modularity</w:t>
        <w:tab/>
        <w:t>16</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19</w:t>
      </w:r>
    </w:p>
    <w:p>
      <w:pPr>
        <w:spacing w:after="80" w:before="0" w:line="360" w:lineRule="auto"/>
        <w:jc w:val="both"/>
        <w:tabs>
          <w:tab w:val="right" w:leader="dot" w:pos="8640"/>
        </w:tabs>
      </w:pPr>
      <w:r>
        <w:rPr>
          <w:rFonts w:ascii="Times New Roman" w:hAnsi="Times New Roman"/>
          <w:sz w:val="24"/>
        </w:rPr>
        <w:t>Figure 7: Two-layer SQL safety defence</w:t>
        <w:tab/>
        <w:t>20</w:t>
      </w:r>
    </w:p>
    <w:p>
      <w:pPr>
        <w:spacing w:after="80" w:before="0" w:line="360" w:lineRule="auto"/>
        <w:jc w:val="both"/>
        <w:tabs>
          <w:tab w:val="right" w:leader="dot" w:pos="8640"/>
        </w:tabs>
      </w:pPr>
      <w:r>
        <w:rPr>
          <w:rFonts w:ascii="Times New Roman" w:hAnsi="Times New Roman"/>
          <w:sz w:val="24"/>
        </w:rPr>
        <w:t>Figure 8: Widget lifecycle and refresh model</w:t>
        <w:tab/>
        <w:t>22</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10</w:t>
      </w:r>
    </w:p>
    <w:p>
      <w:pPr>
        <w:spacing w:after="80" w:before="0" w:line="360" w:lineRule="auto"/>
        <w:jc w:val="both"/>
        <w:tabs>
          <w:tab w:val="right" w:leader="dot" w:pos="8640"/>
        </w:tabs>
      </w:pPr>
      <w:r>
        <w:rPr>
          <w:rFonts w:ascii="Times New Roman" w:hAnsi="Times New Roman"/>
          <w:sz w:val="24"/>
        </w:rPr>
        <w:t>Table 3.2: Semantic layer object model</w:t>
        <w:tab/>
        <w:t>16</w:t>
      </w:r>
    </w:p>
    <w:p>
      <w:pPr>
        <w:spacing w:after="80" w:before="0" w:line="360" w:lineRule="auto"/>
        <w:jc w:val="both"/>
        <w:tabs>
          <w:tab w:val="right" w:leader="dot" w:pos="8640"/>
        </w:tabs>
      </w:pPr>
      <w:r>
        <w:rPr>
          <w:rFonts w:ascii="Times New Roman" w:hAnsi="Times New Roman"/>
          <w:sz w:val="24"/>
        </w:rPr>
        <w:t>Table 3.3: AEGIS analytical patterns</w:t>
        <w:tab/>
        <w:t>19</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Experimental setup</w:t>
        <w:tab/>
        <w:t>24</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Evaluation metric distinction</w:t>
        <w:tab/>
        <w:t>29</w:t>
      </w:r>
    </w:p>
    <w:p>
      <w:pPr>
        <w:spacing w:after="80" w:before="0" w:line="360" w:lineRule="auto"/>
        <w:jc w:val="both"/>
        <w:tabs>
          <w:tab w:val="right" w:leader="dot" w:pos="8640"/>
        </w:tabs>
      </w:pPr>
      <w:r>
        <w:rPr>
          <w:rFonts w:ascii="Times New Roman" w:hAnsi="Times New Roman"/>
          <w:sz w:val="24"/>
        </w:rPr>
        <w:t>Table 5.7: Template-only baseline summary</w:t>
        <w:tab/>
        <w:t>30</w:t>
      </w:r>
    </w:p>
    <w:p>
      <w:pPr>
        <w:spacing w:after="80" w:before="0" w:line="360" w:lineRule="auto"/>
        <w:jc w:val="both"/>
        <w:tabs>
          <w:tab w:val="right" w:leader="dot" w:pos="8640"/>
        </w:tabs>
      </w:pPr>
      <w:r>
        <w:rPr>
          <w:rFonts w:ascii="Times New Roman" w:hAnsi="Times New Roman"/>
          <w:sz w:val="24"/>
        </w:rPr>
        <w:t>Table 5.8: AEGIS vs. direct LLM-to-SQL</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main objective of this thesis is to design and evaluate AEGIS, a constraint-based architecture for safe LLM-assisted natural-language analytics. Instead of allowing the language model to generate executable SQL, AEGIS limits the model to structured intent extraction and delegates query construction, validation, visualization, and widget persistence to deterministic system components.</w:t>
      </w:r>
    </w:p>
    <w:p>
      <w:pPr>
        <w:spacing w:after="120" w:before="0" w:line="360" w:lineRule="auto"/>
        <w:jc w:val="both"/>
      </w:pPr>
      <w:r>
        <w:rPr>
          <w:rFonts w:ascii="Times New Roman" w:hAnsi="Times New Roman"/>
          <w:b w:val="0"/>
          <w:i w:val="0"/>
          <w:sz w:val="24"/>
        </w:rPr>
        <w:t>The specific objectives of this thesis are:</w:t>
      </w:r>
    </w:p>
    <w:p>
      <w:pPr>
        <w:pStyle w:val="ListNumber"/>
        <w:spacing w:after="80" w:line="360" w:lineRule="auto"/>
      </w:pPr>
      <w:r>
        <w:rPr>
          <w:rFonts w:ascii="Times New Roman" w:hAnsi="Times New Roman"/>
          <w:sz w:val="24"/>
        </w:rPr>
        <w:t>To design a natural-language analytics architecture where the LLM is structurally prevented from generating executable SQL.</w:t>
      </w:r>
    </w:p>
    <w:p>
      <w:pPr>
        <w:pStyle w:val="ListNumber"/>
        <w:spacing w:after="80" w:line="360" w:lineRule="auto"/>
      </w:pPr>
      <w:r>
        <w:rPr>
          <w:rFonts w:ascii="Times New Roman" w:hAnsi="Times New Roman"/>
          <w:sz w:val="24"/>
        </w:rPr>
        <w:t>To develop 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To implement a deterministic SQL compilation pipeline that converts validated intent objects into safe database queries.</w:t>
      </w:r>
    </w:p>
    <w:p>
      <w:pPr>
        <w:pStyle w:val="ListNumber"/>
        <w:spacing w:after="80" w:line="360" w:lineRule="auto"/>
      </w:pPr>
      <w:r>
        <w:rPr>
          <w:rFonts w:ascii="Times New Roman" w:hAnsi="Times New Roman"/>
          <w:sz w:val="24"/>
        </w:rPr>
        <w:t>To support reusable analytical artifacts by selecting visualizations and saving generated dashboard widgets for later refresh.</w:t>
      </w:r>
    </w:p>
    <w:p>
      <w:pPr>
        <w:pStyle w:val="ListNumber"/>
        <w:spacing w:after="80" w:line="360" w:lineRule="auto"/>
      </w:pPr>
      <w:r>
        <w:rPr>
          <w:rFonts w:ascii="Times New Roman" w:hAnsi="Times New Roman"/>
          <w:sz w:val="24"/>
        </w:rPr>
        <w:t>To evaluate the prototype using a custom 107-request benchmark over a seeded nopCommerce-style database.</w:t>
      </w:r>
    </w:p>
    <w:p>
      <w:pPr>
        <w:pStyle w:val="ListNumber"/>
        <w:spacing w:after="80" w:line="360" w:lineRule="auto"/>
      </w:pPr>
      <w:r>
        <w:rPr>
          <w:rFonts w:ascii="Times New Roman" w:hAnsi="Times New Roman"/>
          <w:sz w:val="24"/>
        </w:rPr>
        <w:t>To keep cross-schema generalizability as a future evaluation objective by testing whether the same compiler and safety architecture can be reused with a different e-commerce schema.</w:t>
      </w:r>
    </w:p>
    <w:p>
      <w:pPr>
        <w:spacing w:after="120" w:before="0" w:line="360" w:lineRule="auto"/>
        <w:jc w:val="both"/>
      </w:pPr>
      <w:r>
        <w:rPr>
          <w:rFonts w:ascii="Times New Roman" w:hAnsi="Times New Roman"/>
          <w:b w:val="0"/>
          <w:i w:val="0"/>
          <w:sz w:val="24"/>
        </w:rPr>
        <w:t>The main contributions of this thesis are:</w:t>
      </w:r>
    </w:p>
    <w:p>
      <w:pPr>
        <w:spacing w:after="80" w:line="360" w:lineRule="auto"/>
        <w:ind w:left="504" w:hanging="504"/>
      </w:pPr>
      <w:r>
        <w:rPr>
          <w:rFonts w:ascii="Times New Roman" w:hAnsi="Times New Roman"/>
          <w:sz w:val="24"/>
        </w:rPr>
        <w:t>1.</w:t>
      </w:r>
      <w:r>
        <w:rPr>
          <w:rFonts w:ascii="Times New Roman" w:hAnsi="Times New Roman"/>
          <w:sz w:val="24"/>
        </w:rPr>
        <w:tab/>
        <w:t>A constraint-based AEGIS architecture that separates language understanding from database execution.</w:t>
      </w:r>
    </w:p>
    <w:p>
      <w:pPr>
        <w:spacing w:after="80" w:line="360" w:lineRule="auto"/>
        <w:ind w:left="504" w:hanging="504"/>
      </w:pPr>
      <w:r>
        <w:rPr>
          <w:rFonts w:ascii="Times New Roman" w:hAnsi="Times New Roman"/>
          <w:sz w:val="24"/>
        </w:rPr>
        <w:t>2.</w:t>
      </w:r>
      <w:r>
        <w:rPr>
          <w:rFonts w:ascii="Times New Roman" w:hAnsi="Times New Roman"/>
          <w:sz w:val="24"/>
        </w:rPr>
        <w:tab/>
        <w:t>A closed-vocabulary semantic layer for business reporting queries.</w:t>
      </w:r>
    </w:p>
    <w:p>
      <w:pPr>
        <w:spacing w:after="80" w:line="360" w:lineRule="auto"/>
        <w:ind w:left="504" w:hanging="504"/>
      </w:pPr>
      <w:r>
        <w:rPr>
          <w:rFonts w:ascii="Times New Roman" w:hAnsi="Times New Roman"/>
          <w:sz w:val="24"/>
        </w:rPr>
        <w:t>3.</w:t>
      </w:r>
      <w:r>
        <w:rPr>
          <w:rFonts w:ascii="Times New Roman" w:hAnsi="Times New Roman"/>
          <w:sz w:val="24"/>
        </w:rPr>
        <w:tab/>
        <w:t>A deterministic query compiler that builds SQL from approved templates and join paths instead of model-written SQL.</w:t>
      </w:r>
    </w:p>
    <w:p>
      <w:pPr>
        <w:spacing w:after="80" w:line="360" w:lineRule="auto"/>
        <w:ind w:left="504" w:hanging="504"/>
      </w:pPr>
      <w:r>
        <w:rPr>
          <w:rFonts w:ascii="Times New Roman" w:hAnsi="Times New Roman"/>
          <w:sz w:val="24"/>
        </w:rPr>
        <w:t>4.</w:t>
      </w:r>
      <w:r>
        <w:rPr>
          <w:rFonts w:ascii="Times New Roman" w:hAnsi="Times New Roman"/>
          <w:sz w:val="24"/>
        </w:rPr>
        <w:tab/>
        <w:t>A two-layer SQL safety mechanism combining structural prevention with post-compilation validation.</w:t>
      </w:r>
    </w:p>
    <w:p>
      <w:pPr>
        <w:spacing w:after="80" w:line="360" w:lineRule="auto"/>
        <w:ind w:left="504" w:hanging="504"/>
      </w:pPr>
      <w:r>
        <w:rPr>
          <w:rFonts w:ascii="Times New Roman" w:hAnsi="Times New Roman"/>
          <w:sz w:val="24"/>
        </w:rPr>
        <w:t>5.</w:t>
      </w:r>
      <w:r>
        <w:rPr>
          <w:rFonts w:ascii="Times New Roman" w:hAnsi="Times New Roman"/>
          <w:sz w:val="24"/>
        </w:rPr>
        <w:tab/>
        <w:t>A widget-oriented analytics workflow that turns one-time natural-language answers into reusable dashboard artifacts.</w:t>
      </w:r>
    </w:p>
    <w:p>
      <w:pPr>
        <w:spacing w:after="80" w:line="360" w:lineRule="auto"/>
        <w:ind w:left="504" w:hanging="504"/>
      </w:pPr>
      <w:r>
        <w:rPr>
          <w:rFonts w:ascii="Times New Roman" w:hAnsi="Times New Roman"/>
          <w:sz w:val="24"/>
        </w:rPr>
        <w:t>6.</w:t>
      </w:r>
      <w:r>
        <w:rPr>
          <w:rFonts w:ascii="Times New Roman" w:hAnsi="Times New Roman"/>
          <w:sz w:val="24"/>
        </w:rPr>
        <w:tab/>
        <w:t>Benchmark evidence from 107 mixed natural-language requests showing SQL safety and true execution validity, while clearly separating these results from semantic correctness.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the reported results include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