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pBdr/>
        <w:spacing w:lineRule="auto" w:line="276"/>
        <w:rPr>
          <w:rFonts w:ascii="Arial" w:hAnsi="Arial" w:eastAsia="Arial" w:cs="Arial"/>
          <w:color w:val="000000"/>
          <w:sz w:val="22"/>
          <w:szCs w:val="22"/>
          <w:u w:val="double"/>
        </w:rPr>
      </w:pPr>
      <w:r>
        <w:rPr>
          <w:rFonts w:eastAsia="Arial" w:cs="Arial" w:ascii="Arial" w:hAnsi="Arial"/>
          <w:color w:val="000000"/>
          <w:sz w:val="22"/>
          <w:szCs w:val="22"/>
          <w:u w:val="double"/>
        </w:rPr>
      </w:r>
    </w:p>
    <w:tbl>
      <w:tblPr>
        <w:tblStyle w:val="Table1"/>
        <w:tblW w:w="10183" w:type="dxa"/>
        <w:jc w:val="left"/>
        <w:tblInd w:w="-3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2"/>
        <w:gridCol w:w="2068"/>
        <w:gridCol w:w="7593"/>
      </w:tblGrid>
      <w:tr>
        <w:trPr>
          <w:trHeight w:val="1200" w:hRule="atLeast"/>
        </w:trPr>
        <w:tc>
          <w:tcPr>
            <w:tcW w:w="101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731520" cy="670560"/>
                  <wp:effectExtent l="0" t="0" r="0" b="0"/>
                  <wp:wrapSquare wrapText="bothSides"/>
                  <wp:docPr id="1" name="image1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UNITED INTERNATIONAL UNIVERSITY</w:t>
            </w:r>
          </w:p>
          <w:p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Department of Computer Science and Engineering (CSE)</w:t>
            </w:r>
          </w:p>
          <w:p>
            <w:pPr>
              <w:pStyle w:val="Heading1"/>
              <w:jc w:val="center"/>
              <w:rPr>
                <w:sz w:val="18"/>
                <w:szCs w:val="18"/>
              </w:rPr>
            </w:pPr>
            <w:r>
              <w:rPr>
                <w:sz w:val="28"/>
                <w:szCs w:val="28"/>
              </w:rPr>
              <w:t>Course Syllabus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18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9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  <w:p>
            <w:pPr>
              <w:pStyle w:val="normal1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 xml:space="preserve">Course Title 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Co-ordinate Geometry and Vector Analysis</w:t>
            </w:r>
          </w:p>
        </w:tc>
      </w:tr>
      <w:tr>
        <w:trPr>
          <w:trHeight w:val="52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Course Code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Math 201/Math 2201</w:t>
            </w:r>
          </w:p>
        </w:tc>
      </w:tr>
      <w:tr>
        <w:trPr>
          <w:trHeight w:val="62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 xml:space="preserve">Trimester and Year 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Fall-2025</w:t>
            </w:r>
          </w:p>
        </w:tc>
      </w:tr>
      <w:tr>
        <w:trPr>
          <w:trHeight w:val="44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Pre-requisites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Math 003, Math 151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Credit Hours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3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B, G, J, K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Class Hours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Class Room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Instructor’s Name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Muhaiminul Islam Adnan (MIA), Lecturer in Mathematics, INS.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bookmarkStart w:id="0" w:name="_heading=h.3x5vikdo3ylq"/>
            <w:bookmarkEnd w:id="0"/>
            <w:r>
              <w:rPr/>
              <w:t>adnan@ins.uiu.ac.bd,   Mobile - 01911611301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Office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Room # 619(B)</w:t>
            </w:r>
          </w:p>
        </w:tc>
      </w:tr>
      <w:tr>
        <w:trPr>
          <w:trHeight w:val="5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Counseling Hours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Textbook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Calculus Early Transcendentals by Howard Anton, Irl Bivens, Stephen Davis [10</w:t>
            </w:r>
            <w:r>
              <w:rPr>
                <w:vertAlign w:val="superscript"/>
              </w:rPr>
              <w:t>th</w:t>
            </w:r>
            <w:r>
              <w:rPr/>
              <w:t xml:space="preserve"> Edition]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 xml:space="preserve">Reference 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t>Engineering Mathematics, H. K. Dass (HKD) [15</w:t>
            </w:r>
            <w:r>
              <w:rPr>
                <w:vertAlign w:val="superscript"/>
              </w:rPr>
              <w:t>th</w:t>
            </w:r>
            <w:r>
              <w:rPr/>
              <w:t xml:space="preserve"> Edition]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bookmarkStart w:id="1" w:name="_heading=h.gjdgxs"/>
            <w:bookmarkEnd w:id="1"/>
            <w:r>
              <w:rPr>
                <w:b/>
              </w:rPr>
              <w:t>15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Course Contents (approved by UGC)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both"/>
              <w:rPr/>
            </w:pPr>
            <w:r>
              <w:rPr/>
              <w:t>Conic sections, rotation of axes, Rectangular co-ordinate in 3-space, cross and dot product of vectors, parametric</w:t>
            </w:r>
            <w:r>
              <w:rPr>
                <w:i/>
              </w:rPr>
              <w:t xml:space="preserve"> </w:t>
            </w:r>
            <w:r>
              <w:rPr/>
              <w:t>equation of straight</w:t>
            </w:r>
            <w:r>
              <w:rPr>
                <w:i/>
              </w:rPr>
              <w:t xml:space="preserve"> </w:t>
            </w:r>
            <w:r>
              <w:rPr/>
              <w:t>lines,</w:t>
            </w:r>
            <w:r>
              <w:rPr>
                <w:i/>
              </w:rPr>
              <w:t xml:space="preserve"> </w:t>
            </w:r>
            <w:r>
              <w:rPr/>
              <w:t>Plane in 3-space, quadratic surfaces, Differentiation and integration of vector-valued function, tangent and normal vectors, directional derivative and gradient of scalar fields</w:t>
            </w:r>
            <w:r>
              <w:rPr>
                <w:i/>
              </w:rPr>
              <w:t xml:space="preserve">, </w:t>
            </w:r>
            <w:r>
              <w:rPr/>
              <w:t>Tangent planes and normal vectors, vector fields, line integrals, conservative vector field, Green’s theorem. Triple integral in cylindrical and spherical coordinate systems,</w:t>
            </w:r>
            <w:r>
              <w:rPr>
                <w:i/>
              </w:rPr>
              <w:t xml:space="preserve"> </w:t>
            </w:r>
            <w:r>
              <w:rPr/>
              <w:t>Surface integral, flux, divergence theorem, Stokes’ theorem.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 xml:space="preserve">Course </w:t>
            </w:r>
          </w:p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  <w:t>Outcomes (Cos)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88"/>
              <w:ind w:hanging="0"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Style w:val="Table2"/>
              <w:tblW w:w="6939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720"/>
              <w:gridCol w:w="6218"/>
            </w:tblGrid>
            <w:tr>
              <w:trPr>
                <w:trHeight w:val="295" w:hRule="atLeast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62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Description</w:t>
                  </w:r>
                </w:p>
              </w:tc>
            </w:tr>
            <w:tr>
              <w:trPr>
                <w:trHeight w:val="312" w:hRule="atLeast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CO1</w:t>
                  </w:r>
                </w:p>
              </w:tc>
              <w:tc>
                <w:tcPr>
                  <w:tcW w:w="62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Recognize different conic sections, coordinate systems, position vectors, and vector-valued functions.</w:t>
                  </w:r>
                </w:p>
              </w:tc>
            </w:tr>
            <w:tr>
              <w:trPr>
                <w:trHeight w:val="312" w:hRule="atLeast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CO2</w:t>
                  </w:r>
                </w:p>
              </w:tc>
              <w:tc>
                <w:tcPr>
                  <w:tcW w:w="62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Apply vector calculus in coordinate geometry and related applications of mathematics.</w:t>
                  </w:r>
                </w:p>
              </w:tc>
            </w:tr>
            <w:tr>
              <w:trPr>
                <w:trHeight w:val="295" w:hRule="atLeast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CO3</w:t>
                  </w:r>
                </w:p>
              </w:tc>
              <w:tc>
                <w:tcPr>
                  <w:tcW w:w="62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  <w:t>Solve multiple integral problems in cylindrical and spherical coordinate systems.</w:t>
                  </w:r>
                </w:p>
              </w:tc>
            </w:tr>
            <w:tr>
              <w:trPr>
                <w:trHeight w:val="295" w:hRule="atLeast"/>
              </w:trPr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/>
                  </w:pPr>
                  <w:r>
                    <w:rPr/>
                    <w:t>CO4</w:t>
                  </w:r>
                </w:p>
              </w:tc>
              <w:tc>
                <w:tcPr>
                  <w:tcW w:w="62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both"/>
                    <w:rPr/>
                  </w:pPr>
                  <w:r>
                    <w:rPr/>
                    <w:t>Analyze different theorems of vector calculus from the perspective of real-life applications.</w:t>
                  </w:r>
                </w:p>
              </w:tc>
            </w:tr>
          </w:tbl>
          <w:p>
            <w:pPr>
              <w:pStyle w:val="normal1"/>
              <w:spacing w:lineRule="auto" w:line="288"/>
              <w:ind w:hanging="0"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ind w:right="-108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Teaching Methods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Lecture, Case Studies, Assignments.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>
          <w:trHeight w:val="287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CO with Assessment Methods</w:t>
            </w:r>
          </w:p>
        </w:tc>
        <w:tc>
          <w:tcPr>
            <w:tcW w:w="7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9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Mapping of COs and Program outcomes</w:t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</w:r>
          </w:p>
          <w:tbl>
            <w:tblPr>
              <w:tblStyle w:val="Table3"/>
              <w:tblW w:w="907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/>
            </w:tblPr>
            <w:tblGrid>
              <w:gridCol w:w="810"/>
              <w:gridCol w:w="685"/>
              <w:gridCol w:w="686"/>
              <w:gridCol w:w="686"/>
              <w:gridCol w:w="687"/>
              <w:gridCol w:w="685"/>
              <w:gridCol w:w="685"/>
              <w:gridCol w:w="685"/>
              <w:gridCol w:w="685"/>
              <w:gridCol w:w="685"/>
              <w:gridCol w:w="685"/>
              <w:gridCol w:w="686"/>
              <w:gridCol w:w="721"/>
            </w:tblGrid>
            <w:tr>
              <w:trPr>
                <w:trHeight w:val="396" w:hRule="atLeast"/>
              </w:trPr>
              <w:tc>
                <w:tcPr>
                  <w:tcW w:w="81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8261" w:type="dxa"/>
                  <w:gridSpan w:val="1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Program Outcomes(POs)</w:t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w="810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keepNext w:val="false"/>
                    <w:keepLines w:val="false"/>
                    <w:widowControl w:val="false"/>
                    <w:pBdr/>
                    <w:shd w:val="clear" w:fill="auto"/>
                    <w:spacing w:lineRule="auto" w:line="276" w:before="0" w:after="0"/>
                    <w:ind w:hanging="0" w:left="0" w:right="0"/>
                    <w:jc w:val="left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PO12</w:t>
                  </w:r>
                </w:p>
              </w:tc>
            </w:tr>
            <w:tr>
              <w:trPr>
                <w:trHeight w:val="396" w:hRule="atLeast"/>
              </w:trPr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Cambria Math" w:hAnsi="Cambria Math" w:eastAsia="Cambria Math" w:cs="Cambria Math"/>
                    </w:rPr>
                  </w:pPr>
                  <w:r>
                    <w:rPr/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√</m:t>
                      </m:r>
                    </m:oMath>
                  </m:oMathPara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Cambria Math" w:hAnsi="Cambria Math" w:eastAsia="Cambria Math" w:cs="Cambria Math"/>
                    </w:rPr>
                  </w:pPr>
                  <w:r>
                    <w:rPr/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√</m:t>
                      </m:r>
                    </m:oMath>
                  </m:oMathPara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Cambria Math" w:hAnsi="Cambria Math" w:eastAsia="Cambria Math" w:cs="Cambria Math"/>
                    </w:rPr>
                  </w:pPr>
                  <w:r>
                    <w:rPr/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√</m:t>
                      </m:r>
                    </m:oMath>
                  </m:oMathPara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</w:tr>
            <w:tr>
              <w:trPr>
                <w:trHeight w:val="396" w:hRule="atLeast"/>
              </w:trPr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Cambria Math" w:hAnsi="Cambria Math" w:eastAsia="Cambria Math" w:cs="Cambria Math"/>
                    </w:rPr>
                  </w:pPr>
                  <w:r>
                    <w:rPr/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√</m:t>
                      </m:r>
                    </m:oMath>
                  </m:oMathPara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</w:tr>
            <w:tr>
              <w:trPr>
                <w:trHeight w:val="374" w:hRule="atLeast"/>
              </w:trPr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  <w:b/>
                    </w:rPr>
                  </w:pPr>
                  <w:r>
                    <w:rPr>
                      <w:rFonts w:eastAsia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Cambria Math" w:hAnsi="Cambria Math" w:eastAsia="Cambria Math" w:cs="Cambria Math"/>
                    </w:rPr>
                  </w:pPr>
                  <w:r>
                    <w:rPr/>
                  </w:r>
                  <m:oMathPara xmlns:m="http://schemas.openxmlformats.org/officeDocument/2006/math"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√</m:t>
                      </m:r>
                    </m:oMath>
                  </m:oMathPara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6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  <w:tc>
                <w:tcPr>
                  <w:tcW w:w="7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>
                  <w:pPr>
                    <w:pStyle w:val="normal1"/>
                    <w:jc w:val="center"/>
                    <w:rPr>
                      <w:rFonts w:ascii="Times New Roman" w:hAnsi="Times New Roman" w:eastAsia="Times New Roman" w:cs="Times New Roman"/>
                    </w:rPr>
                  </w:pPr>
                  <w:r>
                    <w:rPr>
                      <w:rFonts w:eastAsia="Times New Roman" w:cs="Times New Roman"/>
                    </w:rPr>
                  </w:r>
                </w:p>
              </w:tc>
            </w:tr>
          </w:tbl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-108"/>
              <w:rPr>
                <w:b/>
              </w:rPr>
            </w:pPr>
            <w:r>
              <w:rPr>
                <w:b/>
              </w:rPr>
              <w:t>Lecture Outline</w:t>
            </w:r>
          </w:p>
          <w:p>
            <w:pPr>
              <w:pStyle w:val="normal1"/>
              <w:ind w:right="-108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hanging="0" w:left="-18" w:right="-108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96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pBdr/>
              <w:spacing w:lineRule="auto" w:line="276"/>
              <w:rPr>
                <w:b/>
              </w:rPr>
            </w:pPr>
            <w:r>
              <w:rPr>
                <w:b/>
              </w:rPr>
            </w:r>
          </w:p>
          <w:tbl>
            <w:tblPr>
              <w:tblStyle w:val="Table4"/>
              <w:tblW w:w="9673" w:type="dxa"/>
              <w:jc w:val="center"/>
              <w:tblInd w:w="0" w:type="dxa"/>
              <w:tblLayout w:type="fixed"/>
              <w:tblCellMar>
                <w:top w:w="0" w:type="dxa"/>
                <w:left w:w="120" w:type="dxa"/>
                <w:bottom w:w="0" w:type="dxa"/>
                <w:right w:w="120" w:type="dxa"/>
              </w:tblCellMar>
              <w:tblLook w:val="0600"/>
            </w:tblPr>
            <w:tblGrid>
              <w:gridCol w:w="895"/>
              <w:gridCol w:w="5184"/>
              <w:gridCol w:w="803"/>
              <w:gridCol w:w="1614"/>
              <w:gridCol w:w="1177"/>
            </w:tblGrid>
            <w:tr>
              <w:trPr>
                <w:trHeight w:val="25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>
                      <w:b/>
                    </w:rPr>
                    <w:t>Class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</w:rPr>
                    <w:t>Topics/Assignments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COs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Reading Reference</w:t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fill="FFFFFF" w:val="clear"/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Lecture Outcome/ Activities</w:t>
                  </w:r>
                </w:p>
              </w:tc>
            </w:tr>
            <w:tr>
              <w:trPr>
                <w:trHeight w:val="433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1-3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Rectangular coordinates in 3-space, dot, and cross products of vectors.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both"/>
                    <w:rPr/>
                  </w:pPr>
                  <w:r>
                    <w:rPr/>
                    <w:t>1,2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42"/>
                    <w:jc w:val="center"/>
                    <w:rPr/>
                  </w:pPr>
                  <w:r>
                    <w:rPr/>
                    <w:t>Chapter 11.1,11.2,11.3,11.4</w:t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both"/>
                    <w:rPr/>
                  </w:pPr>
                  <w:r>
                    <w:rPr/>
                    <w:t>Quiz-1</w:t>
                  </w:r>
                </w:p>
                <w:p>
                  <w:pPr>
                    <w:pStyle w:val="normal1"/>
                    <w:spacing w:lineRule="auto" w:line="288"/>
                    <w:jc w:val="both"/>
                    <w:rPr/>
                  </w:pPr>
                  <w:r>
                    <w:rPr/>
                    <w:t>Assignment-1</w:t>
                  </w:r>
                </w:p>
              </w:tc>
            </w:tr>
            <w:tr>
              <w:trPr>
                <w:trHeight w:val="433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4-7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Parametric equation of straight lines, plane in 3-space, quadratic surfaces.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1,3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Chapter 11.5,11.6</w:t>
                  </w:r>
                </w:p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8-11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Double and triple integrals in rectangular coordinate systems.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3,4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Chapter 14.1,14.2,14.3,14.5</w:t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Quiz-2</w:t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12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pBdr/>
                    <w:spacing w:lineRule="auto" w:line="288"/>
                    <w:ind w:hanging="0" w:left="162"/>
                    <w:jc w:val="center"/>
                    <w:rPr>
                      <w:color w:val="000000"/>
                    </w:rPr>
                  </w:pPr>
                  <w:r>
                    <w:rPr/>
                    <w:t>D</w:t>
                  </w:r>
                  <w:r>
                    <w:rPr>
                      <w:color w:val="000000"/>
                    </w:rPr>
                    <w:t>irectional derivative</w:t>
                  </w:r>
                  <w:r>
                    <w:rPr/>
                    <w:t>,</w:t>
                  </w:r>
                  <w:r>
                    <w:rPr>
                      <w:color w:val="000000"/>
                    </w:rPr>
                    <w:t xml:space="preserve"> and gradient of scalar fields. 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3,4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 xml:space="preserve">Chapter </w:t>
                  </w:r>
                </w:p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13.6</w:t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pBdr/>
                    <w:spacing w:lineRule="auto" w:line="288"/>
                    <w:ind w:hanging="0" w:left="162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Mid-term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13-15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 xml:space="preserve">Triple integral in rectangular, polar, cylindrical, and spherical coordinate systems.Differentiation and integration of vector-valued function. 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3,4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Chapter 11.8,14.6,12.1,12.2</w:t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rPr/>
                  </w:pPr>
                  <w:r>
                    <w:rPr/>
                    <w:t>Quiz-3</w:t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rPr/>
                  </w:pPr>
                  <w:r>
                    <w:rPr/>
                    <w:t>16-18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Vector field, Line integrals, conservative vector field, Green’s theorem.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1,3,4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Chapter 15.1,15.2,15.3,15.4</w:t>
                  </w:r>
                </w:p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Assignment-2</w:t>
                  </w:r>
                </w:p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19-22</w:t>
                  </w:r>
                </w:p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Surface integral, flux, divergence theorem, Stokes’ theorem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2,3,4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Chapter 15.5,15.6,15.7,15.8</w:t>
                  </w:r>
                </w:p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Quiz-4</w:t>
                  </w:r>
                </w:p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23-24</w:t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Conic sections, rotation of axes.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jc w:val="center"/>
                    <w:rPr/>
                  </w:pPr>
                  <w:r>
                    <w:rPr/>
                    <w:t>Chapter 10.4,10.5</w:t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pBdr/>
                    <w:ind w:hanging="0" w:left="151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89" w:hRule="atLeast"/>
              </w:trPr>
              <w:tc>
                <w:tcPr>
                  <w:tcW w:w="89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51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  <w:t>Final Examination</w:t>
                  </w:r>
                </w:p>
              </w:tc>
              <w:tc>
                <w:tcPr>
                  <w:tcW w:w="80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16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117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left w:w="108" w:type="dxa"/>
                    <w:right w:w="108" w:type="dxa"/>
                  </w:tcMar>
                </w:tcPr>
                <w:p>
                  <w:pPr>
                    <w:pStyle w:val="normal1"/>
                    <w:spacing w:lineRule="auto" w:line="288"/>
                    <w:ind w:hanging="0" w:left="-120"/>
                    <w:jc w:val="center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  <w:t>Appendix 1: Assessment Methods</w:t>
      </w:r>
    </w:p>
    <w:p>
      <w:pPr>
        <w:pStyle w:val="normal1"/>
        <w:rPr/>
      </w:pPr>
      <w:r>
        <w:rPr/>
      </w:r>
    </w:p>
    <w:tbl>
      <w:tblPr>
        <w:tblStyle w:val="Table5"/>
        <w:tblW w:w="3438" w:type="dxa"/>
        <w:jc w:val="left"/>
        <w:tblInd w:w="6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537"/>
        <w:gridCol w:w="900"/>
      </w:tblGrid>
      <w:tr>
        <w:trPr>
          <w:trHeight w:val="413" w:hRule="atLeast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Assessment Types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>
        <w:trPr>
          <w:trHeight w:val="296" w:hRule="atLeast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Attendance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5%</w:t>
            </w:r>
          </w:p>
        </w:tc>
      </w:tr>
      <w:tr>
        <w:trPr>
          <w:trHeight w:val="281" w:hRule="atLeast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Assignments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5%</w:t>
            </w:r>
          </w:p>
        </w:tc>
      </w:tr>
      <w:tr>
        <w:trPr>
          <w:trHeight w:val="281" w:hRule="atLeast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Class Tests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20%</w:t>
            </w:r>
          </w:p>
        </w:tc>
      </w:tr>
      <w:tr>
        <w:trPr>
          <w:trHeight w:val="281" w:hRule="atLeast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Mid Term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30%</w:t>
            </w:r>
          </w:p>
        </w:tc>
      </w:tr>
      <w:tr>
        <w:trPr>
          <w:trHeight w:val="266" w:hRule="atLeast"/>
        </w:trPr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Final Exam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40%</w:t>
            </w:r>
          </w:p>
        </w:tc>
      </w:tr>
    </w:tbl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  <w:t>Appendix 2: Grading Policy</w:t>
      </w:r>
    </w:p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</w:r>
    </w:p>
    <w:tbl>
      <w:tblPr>
        <w:tblStyle w:val="Table6"/>
        <w:tblW w:w="8058" w:type="dxa"/>
        <w:jc w:val="left"/>
        <w:tblInd w:w="6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486"/>
        <w:gridCol w:w="1140"/>
        <w:gridCol w:w="1431"/>
        <w:gridCol w:w="1486"/>
        <w:gridCol w:w="1083"/>
        <w:gridCol w:w="1431"/>
      </w:tblGrid>
      <w:tr>
        <w:trPr>
          <w:trHeight w:val="314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b/>
                <w:color w:val="00000A"/>
              </w:rPr>
            </w:pPr>
            <w:r>
              <w:rPr>
                <w:b/>
                <w:color w:val="00000A"/>
              </w:rPr>
              <w:t>Letter Grade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b/>
                <w:color w:val="00000A"/>
              </w:rPr>
            </w:pPr>
            <w:r>
              <w:rPr>
                <w:b/>
                <w:color w:val="00000A"/>
              </w:rPr>
              <w:t>Marks %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b/>
                <w:color w:val="00000A"/>
              </w:rPr>
            </w:pPr>
            <w:r>
              <w:rPr>
                <w:b/>
                <w:color w:val="00000A"/>
              </w:rPr>
              <w:t>Grade Point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b/>
                <w:color w:val="00000A"/>
              </w:rPr>
            </w:pPr>
            <w:r>
              <w:rPr>
                <w:b/>
                <w:color w:val="00000A"/>
              </w:rPr>
              <w:t>Letter Grade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b/>
                <w:color w:val="00000A"/>
              </w:rPr>
            </w:pPr>
            <w:r>
              <w:rPr>
                <w:b/>
                <w:color w:val="00000A"/>
              </w:rPr>
              <w:t>Marks%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b/>
                <w:color w:val="00000A"/>
              </w:rPr>
            </w:pPr>
            <w:r>
              <w:rPr>
                <w:b/>
                <w:color w:val="00000A"/>
              </w:rPr>
              <w:t>Grade Point</w:t>
            </w:r>
          </w:p>
        </w:tc>
      </w:tr>
      <w:tr>
        <w:trPr>
          <w:trHeight w:val="212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A (Plain)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90-100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4.00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C+ (Plus)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70-73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2.33</w:t>
            </w:r>
          </w:p>
        </w:tc>
      </w:tr>
      <w:tr>
        <w:trPr>
          <w:trHeight w:val="227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A- (Minus)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86-89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3.67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C (Plain)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66-69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2.00</w:t>
            </w:r>
          </w:p>
        </w:tc>
      </w:tr>
      <w:tr>
        <w:trPr>
          <w:trHeight w:val="212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B+ (Plus)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82-85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3.33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C- (Minus)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62-65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1.67</w:t>
            </w:r>
          </w:p>
        </w:tc>
      </w:tr>
      <w:tr>
        <w:trPr>
          <w:trHeight w:val="227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B (Plain)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78-81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3.00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D+ (Plus)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58-61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1.33</w:t>
            </w:r>
          </w:p>
        </w:tc>
      </w:tr>
      <w:tr>
        <w:trPr>
          <w:trHeight w:val="227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B- (Minus)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74-77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2.67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D (Plain)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55-57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rPr>
                <w:color w:val="00000A"/>
              </w:rPr>
            </w:pPr>
            <w:r>
              <w:rPr>
                <w:color w:val="00000A"/>
              </w:rPr>
              <w:t>1.00</w:t>
            </w:r>
          </w:p>
        </w:tc>
      </w:tr>
      <w:tr>
        <w:trPr>
          <w:trHeight w:val="241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  <w:t>F (Fail)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  <w:t>&lt;55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rPr/>
            </w:pPr>
            <w:r>
              <w:rPr/>
              <w:t>0.00</w:t>
            </w:r>
          </w:p>
        </w:tc>
      </w:tr>
    </w:tbl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1"/>
        <w:jc w:val="both"/>
        <w:rPr>
          <w:b/>
          <w:u w:val="single"/>
        </w:rPr>
      </w:pPr>
      <w:r>
        <w:rPr>
          <w:b/>
          <w:u w:val="single"/>
        </w:rPr>
        <w:t>Appendix-3: Program outcomes</w:t>
      </w:r>
    </w:p>
    <w:p>
      <w:pPr>
        <w:pStyle w:val="normal1"/>
        <w:jc w:val="both"/>
        <w:rPr>
          <w:b/>
        </w:rPr>
      </w:pPr>
      <w:r>
        <w:rPr>
          <w:b/>
        </w:rPr>
      </w:r>
    </w:p>
    <w:tbl>
      <w:tblPr>
        <w:tblStyle w:val="Table7"/>
        <w:tblW w:w="8990" w:type="dxa"/>
        <w:jc w:val="left"/>
        <w:tblInd w:w="6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741"/>
        <w:gridCol w:w="8248"/>
      </w:tblGrid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POs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Program Outcomes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PO1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 ability to apply knowledge of mathematics, science, and engineering  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PO2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identify, formulate, and solve engineering problems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PO3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design a system, component, or process to meet desired needs within realistic constraints such as economic, environmental, social, political, ethical, health and safety, manufacturability, and sustainability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PO4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design and conduct experiments, as well as to analyze and interpret data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PO5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use the techniques, skills, and modern engineering tools necessary for engineering practice</w:t>
              <w:tab/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PO6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broad education necessary to understand the impact of engineering solutions in a global, economic, environmental, and societal context 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PO7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 knowledge of contemporary issues 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PO8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understanding of professional and ethical responsibility</w:t>
              <w:tab/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PO9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function on multidisciplinary teams</w:t>
              <w:tab/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PO10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 ability to communicate effectively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PO11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Management and Finance</w:t>
            </w:r>
          </w:p>
        </w:tc>
      </w:tr>
      <w:tr>
        <w:trPr/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PO12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recognition of the need for, and an ability to engage in lifelong learning</w:t>
            </w:r>
          </w:p>
        </w:tc>
      </w:tr>
    </w:tbl>
    <w:p>
      <w:pPr>
        <w:pStyle w:val="normal1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1"/>
        <w:spacing w:lineRule="auto" w:line="276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107" w:right="1800" w:gutter="0" w:header="0" w:top="1440" w:footer="0" w:bottom="1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ambria Math">
    <w:charset w:val="01"/>
    <w:family w:val="roman"/>
    <w:pitch w:val="variable"/>
    <w:embedRegular r:id="rId9" w:fontKey="{09014A78-CABC-4EF0-12AC-5CD89AEFDE09}"/>
    <w:embedBold r:id="rId10" w:fontKey="{0A014A78-CABC-4EF0-12AC-5CD89AEFDE0A}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</w:pPr>
    <w:rPr>
      <w:b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ParagraphChar" w:customStyle="1">
    <w:name w:val="List Paragraph Char"/>
    <w:link w:val="ListParagraph"/>
    <w:uiPriority w:val="34"/>
    <w:qFormat/>
    <w:rsid w:val="002c496a"/>
    <w:rPr>
      <w:color w:val="auto"/>
    </w:rPr>
  </w:style>
  <w:style w:type="character" w:styleId="PlaceholderText">
    <w:name w:val="Placeholder Text"/>
    <w:basedOn w:val="DefaultParagraphFont"/>
    <w:uiPriority w:val="99"/>
    <w:semiHidden/>
    <w:qFormat/>
    <w:rsid w:val="00716502"/>
    <w:rPr>
      <w:color w:val="80808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1650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57a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link w:val="ListParagraphChar"/>
    <w:uiPriority w:val="34"/>
    <w:qFormat/>
    <w:rsid w:val="002c496a"/>
    <w:pPr>
      <w:ind w:left="720"/>
    </w:pPr>
    <w:rPr/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716502"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7e74e2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OGa/neidIfvNXfV2PiBH5RWag5w==">CgMxLjAyDmguM3g1dmlrZG8zeWxxMghoLmdqZGd4czgAciExRGNNSGg4eXZ6ajBDRm9ZY1h4alFDdjBuX0NZZFM1cHI=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630</Words>
  <Characters>3824</Characters>
  <CharactersWithSpaces>4261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2018-02-02T13:22:00Z</dcterms:created>
  <dc:creator>Salekul Islam</dc:creator>
  <dc:description/>
  <dc:language>en-US</dc:language>
  <cp:lastModifiedBy/>
  <dcterms:modified xsi:type="dcterms:W3CDTF">2026-01-25T13:49:14Z</dcterms:modified>
  <cp:revision>1</cp:revision>
  <dc:subject/>
  <dc:title/>
</cp:coreProperties>
</file>