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185953"/>
          <w:sz w:val="56"/>
          <w:szCs w:val="56"/>
        </w:rPr>
        <w:t xml:space="preserve">Hospital Readmission Analysis</w:t>
      </w:r>
    </w:p>
    <w:p>
      <w:pPr>
        <w:spacing w:after="80"/>
      </w:pPr>
      <w:r>
        <w:rPr>
          <w:rFonts w:ascii="Calibri" w:cs="Calibri" w:eastAsia="Calibri" w:hAnsi="Calibri"/>
          <w:color w:val="1F7363"/>
          <w:sz w:val="26"/>
          <w:szCs w:val="26"/>
        </w:rPr>
        <w:t xml:space="preserve">Reducing 30-day readmissions: patterns, risk factors and recommendations</w:t>
      </w:r>
    </w:p>
    <w:p>
      <w:pPr>
        <w:pBdr>
          <w:bottom w:val="single" w:color="1F7363" w:sz="12" w:space="6"/>
        </w:pBdr>
        <w:spacing w:after="300"/>
      </w:pPr>
      <w:r>
        <w:rPr>
          <w:rFonts w:ascii="Calibri" w:cs="Calibri" w:eastAsia="Calibri" w:hAnsi="Calibri"/>
          <w:color w:val="555555"/>
          <w:sz w:val="21"/>
          <w:szCs w:val="21"/>
        </w:rPr>
        <w:t xml:space="preserve">Excel portfolio project (DACS08)  |  Prepared by Md Ziaul Haque</w:t>
      </w:r>
    </w:p>
    <w:p>
      <w:pPr>
        <w:pStyle w:val="Heading1"/>
        <w:spacing w:after="160" w:before="360"/>
      </w:pPr>
      <w:r>
        <w:rPr>
          <w:rFonts w:ascii="Calibri" w:cs="Calibri" w:eastAsia="Calibri" w:hAnsi="Calibri"/>
          <w:b/>
          <w:bCs/>
          <w:color w:val="185953"/>
          <w:sz w:val="32"/>
          <w:szCs w:val="32"/>
        </w:rPr>
        <w:t xml:space="preserve">1. Executive summary</w:t>
      </w:r>
    </w:p>
    <w:p>
      <w:pPr>
        <w:spacing w:after="120" w:line="276"/>
      </w:pPr>
      <w:r>
        <w:rPr>
          <w:rFonts w:ascii="Calibri" w:cs="Calibri" w:eastAsia="Calibri" w:hAnsi="Calibri"/>
          <w:sz w:val="21"/>
          <w:szCs w:val="21"/>
        </w:rPr>
        <w:t xml:space="preserve">A hospital administration team saw readmissions spike, raising costs and raising questions about quality of care. This project analyses 48,911 unique patient encounters in Excel to find what is linked to readmission within 30 days and what the hospital can do about it.</w:t>
      </w:r>
    </w:p>
    <w:p>
      <w:pPr>
        <w:pStyle w:val="Heading3"/>
        <w:keepNext/>
        <w:spacing w:after="90" w:before="220"/>
      </w:pPr>
      <w:r>
        <w:rPr>
          <w:rFonts w:ascii="Calibri" w:cs="Calibri" w:eastAsia="Calibri" w:hAnsi="Calibri"/>
          <w:b/>
          <w:bCs/>
          <w:color w:val="185953"/>
          <w:sz w:val="22"/>
          <w:szCs w:val="22"/>
        </w:rPr>
        <w:t xml:space="preserve">Headline numbers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cantSplit/>
          <w:tblHeader/>
        </w:trPr>
        <w:tc>
          <w:tcPr>
            <w:tcW w:type="dxa" w:w="3200"/>
            <w:tcBorders>
              <w:top w:val="single" w:color="B7CFC9" w:sz="4"/>
              <w:left w:val="single" w:color="B7CFC9" w:sz="4"/>
              <w:bottom w:val="single" w:color="B7CFC9" w:sz="4"/>
              <w:right w:val="single" w:color="B7CFC9" w:sz="4"/>
            </w:tcBorders>
            <w:shd w:fill="185953" w:color="auto" w:val="clear"/>
            <w:tcMar>
              <w:top w:type="dxa" w:w="70"/>
              <w:left w:type="dxa" w:w="110"/>
              <w:bottom w:type="dxa" w:w="70"/>
              <w:right w:type="dxa" w:w="110"/>
            </w:tcMar>
          </w:tcPr>
          <w:p>
            <w:pPr>
              <w:spacing w:after="40" w:line="260"/>
            </w:pPr>
            <w:r>
              <w:rPr>
                <w:rFonts w:ascii="Calibri" w:cs="Calibri" w:eastAsia="Calibri" w:hAnsi="Calibri"/>
                <w:b/>
                <w:bCs/>
                <w:color w:val="FFFFFF"/>
                <w:sz w:val="20"/>
                <w:szCs w:val="20"/>
              </w:rPr>
              <w:t xml:space="preserve">Measure</w:t>
            </w:r>
          </w:p>
        </w:tc>
        <w:tc>
          <w:tcPr>
            <w:tcW w:type="dxa" w:w="5826"/>
            <w:tcBorders>
              <w:top w:val="single" w:color="B7CFC9" w:sz="4"/>
              <w:left w:val="single" w:color="B7CFC9" w:sz="4"/>
              <w:bottom w:val="single" w:color="B7CFC9" w:sz="4"/>
              <w:right w:val="single" w:color="B7CFC9" w:sz="4"/>
            </w:tcBorders>
            <w:shd w:fill="185953" w:color="auto" w:val="clear"/>
            <w:tcMar>
              <w:top w:type="dxa" w:w="70"/>
              <w:left w:type="dxa" w:w="110"/>
              <w:bottom w:type="dxa" w:w="70"/>
              <w:right w:type="dxa" w:w="110"/>
            </w:tcMar>
          </w:tcPr>
          <w:p>
            <w:pPr>
              <w:spacing w:after="40" w:line="260"/>
            </w:pPr>
            <w:r>
              <w:rPr>
                <w:rFonts w:ascii="Calibri" w:cs="Calibri" w:eastAsia="Calibri" w:hAnsi="Calibri"/>
                <w:b/>
                <w:bCs/>
                <w:color w:val="FFFFFF"/>
                <w:sz w:val="20"/>
                <w:szCs w:val="20"/>
              </w:rPr>
              <w:t xml:space="preserve">Result</w:t>
            </w:r>
          </w:p>
        </w:tc>
      </w:tr>
      <w:tr>
        <w:trPr>
          <w:cantSplit/>
          <w:tblHeader w:val="false"/>
        </w:trPr>
        <w:tc>
          <w:tcPr>
            <w:tcW w:type="dxa" w:w="3200"/>
            <w:tcBorders>
              <w:top w:val="single" w:color="B7CFC9" w:sz="4"/>
              <w:left w:val="single" w:color="B7CFC9" w:sz="4"/>
              <w:bottom w:val="single" w:color="B7CFC9" w:sz="4"/>
              <w:right w:val="single" w:color="B7CFC9" w:sz="4"/>
            </w:tcBorders>
            <w:tcMar>
              <w:top w:type="dxa" w:w="70"/>
              <w:left w:type="dxa" w:w="110"/>
              <w:bottom w:type="dxa" w:w="70"/>
              <w:right w:type="dxa" w:w="110"/>
            </w:tcMar>
          </w:tcPr>
          <w:p>
            <w:pPr>
              <w:spacing w:after="40" w:line="260"/>
            </w:pPr>
            <w:r>
              <w:rPr>
                <w:rFonts w:ascii="Calibri" w:cs="Calibri" w:eastAsia="Calibri" w:hAnsi="Calibri"/>
                <w:b w:val="false"/>
                <w:bCs w:val="false"/>
                <w:sz w:val="20"/>
                <w:szCs w:val="20"/>
              </w:rPr>
              <w:t xml:space="preserve">Overall 30-day readmission rate</w:t>
            </w:r>
          </w:p>
        </w:tc>
        <w:tc>
          <w:tcPr>
            <w:tcW w:type="dxa" w:w="5826"/>
            <w:tcBorders>
              <w:top w:val="single" w:color="B7CFC9" w:sz="4"/>
              <w:left w:val="single" w:color="B7CFC9" w:sz="4"/>
              <w:bottom w:val="single" w:color="B7CFC9" w:sz="4"/>
              <w:right w:val="single" w:color="B7CFC9" w:sz="4"/>
            </w:tcBorders>
            <w:tcMar>
              <w:top w:type="dxa" w:w="70"/>
              <w:left w:type="dxa" w:w="110"/>
              <w:bottom w:type="dxa" w:w="70"/>
              <w:right w:type="dxa" w:w="110"/>
            </w:tcMar>
          </w:tcPr>
          <w:p>
            <w:pPr>
              <w:spacing w:after="40" w:line="260"/>
            </w:pPr>
            <w:r>
              <w:rPr>
                <w:rFonts w:ascii="Calibri" w:cs="Calibri" w:eastAsia="Calibri" w:hAnsi="Calibri"/>
                <w:b w:val="false"/>
                <w:bCs w:val="false"/>
                <w:sz w:val="20"/>
                <w:szCs w:val="20"/>
              </w:rPr>
              <w:t xml:space="preserve">46.2% (22,609 of 48,911 encounters)</w:t>
            </w:r>
          </w:p>
        </w:tc>
      </w:tr>
      <w:tr>
        <w:trPr>
          <w:cantSplit/>
          <w:tblHeader w:val="false"/>
        </w:trPr>
        <w:tc>
          <w:tcPr>
            <w:tcW w:type="dxa" w:w="3200"/>
            <w:tcBorders>
              <w:top w:val="single" w:color="B7CFC9" w:sz="4"/>
              <w:left w:val="single" w:color="B7CFC9" w:sz="4"/>
              <w:bottom w:val="single" w:color="B7CFC9" w:sz="4"/>
              <w:right w:val="single" w:color="B7CFC9" w:sz="4"/>
            </w:tcBorders>
            <w:tcMar>
              <w:top w:type="dxa" w:w="70"/>
              <w:left w:type="dxa" w:w="110"/>
              <w:bottom w:type="dxa" w:w="70"/>
              <w:right w:type="dxa" w:w="110"/>
            </w:tcMar>
          </w:tcPr>
          <w:p>
            <w:pPr>
              <w:spacing w:after="40" w:line="260"/>
            </w:pPr>
            <w:r>
              <w:rPr>
                <w:rFonts w:ascii="Calibri" w:cs="Calibri" w:eastAsia="Calibri" w:hAnsi="Calibri"/>
                <w:b w:val="false"/>
                <w:bCs w:val="false"/>
                <w:sz w:val="20"/>
                <w:szCs w:val="20"/>
              </w:rPr>
              <w:t xml:space="preserve">Average length of stay</w:t>
            </w:r>
          </w:p>
        </w:tc>
        <w:tc>
          <w:tcPr>
            <w:tcW w:type="dxa" w:w="5826"/>
            <w:tcBorders>
              <w:top w:val="single" w:color="B7CFC9" w:sz="4"/>
              <w:left w:val="single" w:color="B7CFC9" w:sz="4"/>
              <w:bottom w:val="single" w:color="B7CFC9" w:sz="4"/>
              <w:right w:val="single" w:color="B7CFC9" w:sz="4"/>
            </w:tcBorders>
            <w:tcMar>
              <w:top w:type="dxa" w:w="70"/>
              <w:left w:type="dxa" w:w="110"/>
              <w:bottom w:type="dxa" w:w="70"/>
              <w:right w:type="dxa" w:w="110"/>
            </w:tcMar>
          </w:tcPr>
          <w:p>
            <w:pPr>
              <w:spacing w:after="40" w:line="260"/>
            </w:pPr>
            <w:r>
              <w:rPr>
                <w:rFonts w:ascii="Calibri" w:cs="Calibri" w:eastAsia="Calibri" w:hAnsi="Calibri"/>
                <w:b w:val="false"/>
                <w:bCs w:val="false"/>
                <w:sz w:val="20"/>
                <w:szCs w:val="20"/>
              </w:rPr>
              <w:t xml:space="preserve">4.4 days</w:t>
            </w:r>
          </w:p>
        </w:tc>
      </w:tr>
      <w:tr>
        <w:trPr>
          <w:cantSplit/>
          <w:tblHeader w:val="false"/>
        </w:trPr>
        <w:tc>
          <w:tcPr>
            <w:tcW w:type="dxa" w:w="3200"/>
            <w:tcBorders>
              <w:top w:val="single" w:color="B7CFC9" w:sz="4"/>
              <w:left w:val="single" w:color="B7CFC9" w:sz="4"/>
              <w:bottom w:val="single" w:color="B7CFC9" w:sz="4"/>
              <w:right w:val="single" w:color="B7CFC9" w:sz="4"/>
            </w:tcBorders>
            <w:tcMar>
              <w:top w:type="dxa" w:w="70"/>
              <w:left w:type="dxa" w:w="110"/>
              <w:bottom w:type="dxa" w:w="70"/>
              <w:right w:type="dxa" w:w="110"/>
            </w:tcMar>
          </w:tcPr>
          <w:p>
            <w:pPr>
              <w:spacing w:after="40" w:line="260"/>
            </w:pPr>
            <w:r>
              <w:rPr>
                <w:rFonts w:ascii="Calibri" w:cs="Calibri" w:eastAsia="Calibri" w:hAnsi="Calibri"/>
                <w:b w:val="false"/>
                <w:bCs w:val="false"/>
                <w:sz w:val="20"/>
                <w:szCs w:val="20"/>
              </w:rPr>
              <w:t xml:space="preserve">Patients on diabetes medication</w:t>
            </w:r>
          </w:p>
        </w:tc>
        <w:tc>
          <w:tcPr>
            <w:tcW w:type="dxa" w:w="5826"/>
            <w:tcBorders>
              <w:top w:val="single" w:color="B7CFC9" w:sz="4"/>
              <w:left w:val="single" w:color="B7CFC9" w:sz="4"/>
              <w:bottom w:val="single" w:color="B7CFC9" w:sz="4"/>
              <w:right w:val="single" w:color="B7CFC9" w:sz="4"/>
            </w:tcBorders>
            <w:tcMar>
              <w:top w:type="dxa" w:w="70"/>
              <w:left w:type="dxa" w:w="110"/>
              <w:bottom w:type="dxa" w:w="70"/>
              <w:right w:type="dxa" w:w="110"/>
            </w:tcMar>
          </w:tcPr>
          <w:p>
            <w:pPr>
              <w:spacing w:after="40" w:line="260"/>
            </w:pPr>
            <w:r>
              <w:rPr>
                <w:rFonts w:ascii="Calibri" w:cs="Calibri" w:eastAsia="Calibri" w:hAnsi="Calibri"/>
                <w:b w:val="false"/>
                <w:bCs w:val="false"/>
                <w:sz w:val="20"/>
                <w:szCs w:val="20"/>
              </w:rPr>
              <w:t xml:space="preserve">77.0% of encounters, and about 80% of all readmissions</w:t>
            </w:r>
          </w:p>
        </w:tc>
      </w:tr>
      <w:tr>
        <w:trPr>
          <w:cantSplit/>
          <w:tblHeader w:val="false"/>
        </w:trPr>
        <w:tc>
          <w:tcPr>
            <w:tcW w:type="dxa" w:w="3200"/>
            <w:tcBorders>
              <w:top w:val="single" w:color="B7CFC9" w:sz="4"/>
              <w:left w:val="single" w:color="B7CFC9" w:sz="4"/>
              <w:bottom w:val="single" w:color="B7CFC9" w:sz="4"/>
              <w:right w:val="single" w:color="B7CFC9" w:sz="4"/>
            </w:tcBorders>
            <w:tcMar>
              <w:top w:type="dxa" w:w="70"/>
              <w:left w:type="dxa" w:w="110"/>
              <w:bottom w:type="dxa" w:w="70"/>
              <w:right w:type="dxa" w:w="110"/>
            </w:tcMar>
          </w:tcPr>
          <w:p>
            <w:pPr>
              <w:spacing w:after="40" w:line="260"/>
            </w:pPr>
            <w:r>
              <w:rPr>
                <w:rFonts w:ascii="Calibri" w:cs="Calibri" w:eastAsia="Calibri" w:hAnsi="Calibri"/>
                <w:b w:val="false"/>
                <w:bCs w:val="false"/>
                <w:sz w:val="20"/>
                <w:szCs w:val="20"/>
              </w:rPr>
              <w:t xml:space="preserve">Risk score range</w:t>
            </w:r>
          </w:p>
        </w:tc>
        <w:tc>
          <w:tcPr>
            <w:tcW w:type="dxa" w:w="5826"/>
            <w:tcBorders>
              <w:top w:val="single" w:color="B7CFC9" w:sz="4"/>
              <w:left w:val="single" w:color="B7CFC9" w:sz="4"/>
              <w:bottom w:val="single" w:color="B7CFC9" w:sz="4"/>
              <w:right w:val="single" w:color="B7CFC9" w:sz="4"/>
            </w:tcBorders>
            <w:tcMar>
              <w:top w:type="dxa" w:w="70"/>
              <w:left w:type="dxa" w:w="110"/>
              <w:bottom w:type="dxa" w:w="70"/>
              <w:right w:type="dxa" w:w="110"/>
            </w:tcMar>
          </w:tcPr>
          <w:p>
            <w:pPr>
              <w:spacing w:after="40" w:line="260"/>
            </w:pPr>
            <w:r>
              <w:rPr>
                <w:rFonts w:ascii="Calibri" w:cs="Calibri" w:eastAsia="Calibri" w:hAnsi="Calibri"/>
                <w:b w:val="false"/>
                <w:bCs w:val="false"/>
                <w:sz w:val="20"/>
                <w:szCs w:val="20"/>
              </w:rPr>
              <w:t xml:space="preserve">26.2% readmitted at score 0 to 69.5% at score 6</w:t>
            </w:r>
          </w:p>
        </w:tc>
      </w:tr>
    </w:tbl>
    <w:p>
      <w:pPr>
        <w:spacing w:after="60"/>
      </w:pPr>
      <w:r>
        <w:rPr>
          <w:rFonts w:ascii="Calibri" w:cs="Calibri" w:eastAsia="Calibri" w:hAnsi="Calibri"/>
          <w:sz w:val="21"/>
          <w:szCs w:val="21"/>
        </w:rPr>
        <w:t xml:space="preserve"/>
      </w:r>
    </w:p>
    <w:p>
      <w:pPr>
        <w:pStyle w:val="Heading3"/>
        <w:keepNext/>
        <w:spacing w:after="90" w:before="220"/>
      </w:pPr>
      <w:r>
        <w:rPr>
          <w:rFonts w:ascii="Calibri" w:cs="Calibri" w:eastAsia="Calibri" w:hAnsi="Calibri"/>
          <w:b/>
          <w:bCs/>
          <w:color w:val="185953"/>
          <w:sz w:val="22"/>
          <w:szCs w:val="22"/>
        </w:rPr>
        <w:t xml:space="preserve">Key findings</w:t>
      </w:r>
    </w:p>
    <w:p>
      <w:pPr>
        <w:pStyle w:val="ListParagraph"/>
        <w:numPr>
          <w:ilvl w:val="0"/>
          <w:numId w:val="2"/>
        </w:numPr>
        <w:spacing w:after="70" w:line="270"/>
      </w:pPr>
      <w:r>
        <w:rPr>
          <w:rFonts w:ascii="Calibri" w:cs="Calibri" w:eastAsia="Calibri" w:hAnsi="Calibri"/>
          <w:b/>
          <w:bCs/>
          <w:sz w:val="21"/>
          <w:szCs w:val="21"/>
        </w:rPr>
        <w:t xml:space="preserve">Prior emergency visits are the clearest warning sign. </w:t>
      </w:r>
      <w:r>
        <w:rPr>
          <w:rFonts w:ascii="Calibri" w:cs="Calibri" w:eastAsia="Calibri" w:hAnsi="Calibri"/>
          <w:sz w:val="21"/>
          <w:szCs w:val="21"/>
        </w:rPr>
        <w:t xml:space="preserve">Readmission climbs from 44.0% with no prior emergency visits to 87.1% with five or more.</w:t>
      </w:r>
    </w:p>
    <w:p>
      <w:pPr>
        <w:pStyle w:val="ListParagraph"/>
        <w:numPr>
          <w:ilvl w:val="0"/>
          <w:numId w:val="2"/>
        </w:numPr>
        <w:spacing w:after="70" w:line="270"/>
      </w:pPr>
      <w:r>
        <w:rPr>
          <w:rFonts w:ascii="Calibri" w:cs="Calibri" w:eastAsia="Calibri" w:hAnsi="Calibri"/>
          <w:b/>
          <w:bCs/>
          <w:sz w:val="21"/>
          <w:szCs w:val="21"/>
        </w:rPr>
        <w:t xml:space="preserve">Comorbidity matters. </w:t>
      </w:r>
      <w:r>
        <w:rPr>
          <w:rFonts w:ascii="Calibri" w:cs="Calibri" w:eastAsia="Calibri" w:hAnsi="Calibri"/>
          <w:sz w:val="21"/>
          <w:szCs w:val="21"/>
        </w:rPr>
        <w:t xml:space="preserve">Readmission rises from 22.6% (1 diagnosis) to 50.7% (9 diagnoses), and stay length more than doubles.</w:t>
      </w:r>
    </w:p>
    <w:p>
      <w:pPr>
        <w:pStyle w:val="ListParagraph"/>
        <w:numPr>
          <w:ilvl w:val="0"/>
          <w:numId w:val="2"/>
        </w:numPr>
        <w:spacing w:after="70" w:line="270"/>
      </w:pPr>
      <w:r>
        <w:rPr>
          <w:rFonts w:ascii="Calibri" w:cs="Calibri" w:eastAsia="Calibri" w:hAnsi="Calibri"/>
          <w:b/>
          <w:bCs/>
          <w:sz w:val="21"/>
          <w:szCs w:val="21"/>
        </w:rPr>
        <w:t xml:space="preserve">Diabetes drives the problem. </w:t>
      </w:r>
      <w:r>
        <w:rPr>
          <w:rFonts w:ascii="Calibri" w:cs="Calibri" w:eastAsia="Calibri" w:hAnsi="Calibri"/>
          <w:sz w:val="21"/>
          <w:szCs w:val="21"/>
        </w:rPr>
        <w:t xml:space="preserve">Diabetic patients are readmitted at 47.9% vs 40.5%, have the highest prior emergency and inpatient use, and account for roughly 80% of readmissions.</w:t>
      </w:r>
    </w:p>
    <w:p>
      <w:pPr>
        <w:pStyle w:val="ListParagraph"/>
        <w:numPr>
          <w:ilvl w:val="0"/>
          <w:numId w:val="2"/>
        </w:numPr>
        <w:spacing w:after="70" w:line="270"/>
      </w:pPr>
      <w:r>
        <w:rPr>
          <w:rFonts w:ascii="Calibri" w:cs="Calibri" w:eastAsia="Calibri" w:hAnsi="Calibri"/>
          <w:b/>
          <w:bCs/>
          <w:sz w:val="21"/>
          <w:szCs w:val="21"/>
        </w:rPr>
        <w:t xml:space="preserve">Medication changes are linked to higher risk. </w:t>
      </w:r>
      <w:r>
        <w:rPr>
          <w:rFonts w:ascii="Calibri" w:cs="Calibri" w:eastAsia="Calibri" w:hAnsi="Calibri"/>
          <w:sz w:val="21"/>
          <w:szCs w:val="21"/>
        </w:rPr>
        <w:t xml:space="preserve">Changed: 48.7% vs 44.1% with no change (statistically significant, p &lt; 0.001).</w:t>
      </w:r>
    </w:p>
    <w:p>
      <w:pPr>
        <w:pStyle w:val="ListParagraph"/>
        <w:numPr>
          <w:ilvl w:val="0"/>
          <w:numId w:val="2"/>
        </w:numPr>
        <w:spacing w:after="70" w:line="270"/>
      </w:pPr>
      <w:r>
        <w:rPr>
          <w:rFonts w:ascii="Calibri" w:cs="Calibri" w:eastAsia="Calibri" w:hAnsi="Calibri"/>
          <w:b/>
          <w:bCs/>
          <w:sz w:val="21"/>
          <w:szCs w:val="21"/>
        </w:rPr>
        <w:t xml:space="preserve">Age 60 to 90 is the core population. </w:t>
      </w:r>
      <w:r>
        <w:rPr>
          <w:rFonts w:ascii="Calibri" w:cs="Calibri" w:eastAsia="Calibri" w:hAnsi="Calibri"/>
          <w:sz w:val="21"/>
          <w:szCs w:val="21"/>
        </w:rPr>
        <w:t xml:space="preserve">These ages hold 81.7% of encounters and the highest rates (46.7% to 48.2%).</w:t>
      </w:r>
    </w:p>
    <w:p>
      <w:pPr>
        <w:pStyle w:val="ListParagraph"/>
        <w:numPr>
          <w:ilvl w:val="0"/>
          <w:numId w:val="2"/>
        </w:numPr>
        <w:spacing w:after="70" w:line="270"/>
      </w:pPr>
      <w:r>
        <w:rPr>
          <w:rFonts w:ascii="Calibri" w:cs="Calibri" w:eastAsia="Calibri" w:hAnsi="Calibri"/>
          <w:b/>
          <w:bCs/>
          <w:sz w:val="21"/>
          <w:szCs w:val="21"/>
        </w:rPr>
        <w:t xml:space="preserve">Two medications look protective. </w:t>
      </w:r>
      <w:r>
        <w:rPr>
          <w:rFonts w:ascii="Calibri" w:cs="Calibri" w:eastAsia="Calibri" w:hAnsi="Calibri"/>
          <w:sz w:val="21"/>
          <w:szCs w:val="21"/>
        </w:rPr>
        <w:t xml:space="preserve">Among diabetic patients, X3 (-6.4 points) and X10 (-3.0 points) go with significantly lower readmission.</w:t>
      </w:r>
    </w:p>
    <w:p>
      <w:pPr>
        <w:pStyle w:val="ListParagraph"/>
        <w:numPr>
          <w:ilvl w:val="0"/>
          <w:numId w:val="2"/>
        </w:numPr>
        <w:spacing w:after="70" w:line="270"/>
      </w:pPr>
      <w:r>
        <w:rPr>
          <w:rFonts w:ascii="Calibri" w:cs="Calibri" w:eastAsia="Calibri" w:hAnsi="Calibri"/>
          <w:b/>
          <w:bCs/>
          <w:sz w:val="21"/>
          <w:szCs w:val="21"/>
        </w:rPr>
        <w:t xml:space="preserve">Race and gender show small gaps. </w:t>
      </w:r>
      <w:r>
        <w:rPr>
          <w:rFonts w:ascii="Calibri" w:cs="Calibri" w:eastAsia="Calibri" w:hAnsi="Calibri"/>
          <w:sz w:val="21"/>
          <w:szCs w:val="21"/>
        </w:rPr>
        <w:t xml:space="preserve">The two largest racial groups differ by under 1 point, and the gender gap is 1.3 points.</w:t>
      </w:r>
    </w:p>
    <w:p>
      <w:pPr>
        <w:pStyle w:val="Heading3"/>
        <w:keepNext/>
        <w:spacing w:after="90" w:before="220"/>
      </w:pPr>
      <w:r>
        <w:rPr>
          <w:rFonts w:ascii="Calibri" w:cs="Calibri" w:eastAsia="Calibri" w:hAnsi="Calibri"/>
          <w:b/>
          <w:bCs/>
          <w:color w:val="185953"/>
          <w:sz w:val="22"/>
          <w:szCs w:val="22"/>
        </w:rPr>
        <w:t xml:space="preserve">Top recommendations</w:t>
      </w:r>
    </w:p>
    <w:p>
      <w:pPr>
        <w:pStyle w:val="ListParagraph"/>
        <w:numPr>
          <w:ilvl w:val="0"/>
          <w:numId w:val="2"/>
        </w:numPr>
        <w:spacing w:after="70" w:line="270"/>
      </w:pPr>
      <w:r>
        <w:rPr>
          <w:rFonts w:ascii="Calibri" w:cs="Calibri" w:eastAsia="Calibri" w:hAnsi="Calibri"/>
          <w:sz w:val="21"/>
          <w:szCs w:val="21"/>
        </w:rPr>
        <w:t xml:space="preserve">Use a simple risk score at discharge: intensive follow-up for score 5 or more (about 9% of patients), an early follow-up call for score 3 to 4.</w:t>
      </w:r>
    </w:p>
    <w:p>
      <w:pPr>
        <w:pStyle w:val="ListParagraph"/>
        <w:numPr>
          <w:ilvl w:val="0"/>
          <w:numId w:val="2"/>
        </w:numPr>
        <w:spacing w:after="70" w:line="270"/>
      </w:pPr>
      <w:r>
        <w:rPr>
          <w:rFonts w:ascii="Calibri" w:cs="Calibri" w:eastAsia="Calibri" w:hAnsi="Calibri"/>
          <w:sz w:val="21"/>
          <w:szCs w:val="21"/>
        </w:rPr>
        <w:t xml:space="preserve">Make diabetes the priority condition: medication review at discharge, education and an early outpatient visit.</w:t>
      </w:r>
    </w:p>
    <w:p>
      <w:pPr>
        <w:pStyle w:val="ListParagraph"/>
        <w:numPr>
          <w:ilvl w:val="0"/>
          <w:numId w:val="2"/>
        </w:numPr>
        <w:spacing w:after="70" w:line="270"/>
      </w:pPr>
      <w:r>
        <w:rPr>
          <w:rFonts w:ascii="Calibri" w:cs="Calibri" w:eastAsia="Calibri" w:hAnsi="Calibri"/>
          <w:sz w:val="21"/>
          <w:szCs w:val="21"/>
        </w:rPr>
        <w:t xml:space="preserve">Add a pharmacist review for every patient whose medication was changed.</w:t>
      </w:r>
    </w:p>
    <w:p>
      <w:pPr>
        <w:pStyle w:val="ListParagraph"/>
        <w:numPr>
          <w:ilvl w:val="0"/>
          <w:numId w:val="2"/>
        </w:numPr>
        <w:spacing w:after="70" w:line="270"/>
      </w:pPr>
      <w:r>
        <w:rPr>
          <w:rFonts w:ascii="Calibri" w:cs="Calibri" w:eastAsia="Calibri" w:hAnsi="Calibri"/>
          <w:sz w:val="21"/>
          <w:szCs w:val="21"/>
        </w:rPr>
        <w:t xml:space="preserve">Flag patients with any prior emergency visit, and treat three or more as high risk.</w:t>
      </w:r>
    </w:p>
    <w:p>
      <w:pPr>
        <w:pStyle w:val="ListParagraph"/>
        <w:numPr>
          <w:ilvl w:val="0"/>
          <w:numId w:val="2"/>
        </w:numPr>
        <w:spacing w:after="70" w:line="270"/>
      </w:pPr>
      <w:r>
        <w:rPr>
          <w:rFonts w:ascii="Calibri" w:cs="Calibri" w:eastAsia="Calibri" w:hAnsi="Calibri"/>
          <w:sz w:val="21"/>
          <w:szCs w:val="21"/>
        </w:rPr>
        <w:t xml:space="preserve">Fix data gaps: weight (96.8% missing), specialty (49% unknown), and add dates, discharge disposition, cost and satisfaction fields.</w:t>
      </w:r>
    </w:p>
    <w:p>
      <w:pPr>
        <w:spacing w:after="120" w:before="100"/>
      </w:pPr>
      <w:r>
        <w:rPr>
          <w:rFonts w:ascii="Calibri" w:cs="Calibri" w:eastAsia="Calibri" w:hAnsi="Calibri"/>
          <w:sz w:val="21"/>
          <w:szCs w:val="21"/>
        </w:rPr>
        <w:t xml:space="preserve">The follow-up program in Advanced Q5 estimates that tiered follow-up could avoid roughly 564 to 1,233 readmissions. These figures are planning scenarios based on assumed reduction rates, not measured results.</w:t>
      </w:r>
    </w:p>
    <w:p>
      <w:pPr>
        <w:pStyle w:val="Heading1"/>
        <w:spacing w:after="160" w:before="360"/>
      </w:pPr>
      <w:r>
        <w:rPr>
          <w:rFonts w:ascii="Calibri" w:cs="Calibri" w:eastAsia="Calibri" w:hAnsi="Calibri"/>
          <w:b/>
          <w:bCs/>
          <w:color w:val="185953"/>
          <w:sz w:val="32"/>
          <w:szCs w:val="32"/>
        </w:rPr>
        <w:t xml:space="preserve">2. Dashboard</w:t>
      </w:r>
    </w:p>
    <w:p>
      <w:pPr>
        <w:spacing w:after="120" w:line="276"/>
      </w:pPr>
      <w:r>
        <w:rPr>
          <w:rFonts w:ascii="Calibri" w:cs="Calibri" w:eastAsia="Calibri" w:hAnsi="Calibri"/>
          <w:sz w:val="21"/>
          <w:szCs w:val="21"/>
        </w:rPr>
        <w:t xml:space="preserve">An interactive Excel dashboard summarises the analysis. Five KPI cards (encounters, readmissions, readmission rate, average stay, share on diabetes medication) and four charts (age, diagnosis group, risk score, emergency visits) respond to slicers for age group and diagnosis group.</w:t>
      </w:r>
    </w:p>
    <w:p>
      <w:pPr>
        <w:spacing w:after="100"/>
        <w:jc w:val="center"/>
      </w:pPr>
      <w:r>
        <w:drawing>
          <wp:inline distT="0" distB="0" distL="0" distR="0">
            <wp:extent cx="5715000" cy="2219325"/>
            <wp:effectExtent t="0" r="0" b="0" l="0"/>
            <wp:docPr id="1" name="dashboard" descr="Hospital readmission Excel dashboard" title="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219325"/>
                    </a:xfrm>
                    <a:prstGeom prst="rect">
                      <a:avLst/>
                    </a:prstGeom>
                  </pic:spPr>
                </pic:pic>
              </a:graphicData>
            </a:graphic>
          </wp:inline>
        </w:drawing>
      </w:r>
    </w:p>
    <w:p>
      <w:pPr>
        <w:pStyle w:val="Heading1"/>
        <w:spacing w:after="160" w:before="360"/>
      </w:pPr>
      <w:r>
        <w:rPr>
          <w:rFonts w:ascii="Calibri" w:cs="Calibri" w:eastAsia="Calibri" w:hAnsi="Calibri"/>
          <w:b/>
          <w:bCs/>
          <w:color w:val="185953"/>
          <w:sz w:val="32"/>
          <w:szCs w:val="32"/>
        </w:rPr>
        <w:t xml:space="preserve">3. Business problem and objective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cantSplit/>
          <w:tblHeader/>
        </w:trPr>
        <w:tc>
          <w:tcPr>
            <w:tcW w:type="dxa" w:w="2400"/>
            <w:tcBorders>
              <w:top w:val="single" w:color="B7CFC9" w:sz="4"/>
              <w:left w:val="single" w:color="B7CFC9" w:sz="4"/>
              <w:bottom w:val="single" w:color="B7CFC9" w:sz="4"/>
              <w:right w:val="single" w:color="B7CFC9" w:sz="4"/>
            </w:tcBorders>
            <w:shd w:fill="185953" w:color="auto" w:val="clear"/>
            <w:tcMar>
              <w:top w:type="dxa" w:w="70"/>
              <w:left w:type="dxa" w:w="110"/>
              <w:bottom w:type="dxa" w:w="70"/>
              <w:right w:type="dxa" w:w="110"/>
            </w:tcMar>
          </w:tcPr>
          <w:p>
            <w:pPr>
              <w:spacing w:after="40" w:line="260"/>
            </w:pPr>
            <w:r>
              <w:rPr>
                <w:rFonts w:ascii="Calibri" w:cs="Calibri" w:eastAsia="Calibri" w:hAnsi="Calibri"/>
                <w:b/>
                <w:bCs/>
                <w:color w:val="FFFFFF"/>
                <w:sz w:val="20"/>
                <w:szCs w:val="20"/>
              </w:rPr>
              <w:t xml:space="preserve">Item</w:t>
            </w:r>
          </w:p>
        </w:tc>
        <w:tc>
          <w:tcPr>
            <w:tcW w:type="dxa" w:w="6626"/>
            <w:tcBorders>
              <w:top w:val="single" w:color="B7CFC9" w:sz="4"/>
              <w:left w:val="single" w:color="B7CFC9" w:sz="4"/>
              <w:bottom w:val="single" w:color="B7CFC9" w:sz="4"/>
              <w:right w:val="single" w:color="B7CFC9" w:sz="4"/>
            </w:tcBorders>
            <w:shd w:fill="185953" w:color="auto" w:val="clear"/>
            <w:tcMar>
              <w:top w:type="dxa" w:w="70"/>
              <w:left w:type="dxa" w:w="110"/>
              <w:bottom w:type="dxa" w:w="70"/>
              <w:right w:type="dxa" w:w="110"/>
            </w:tcMar>
          </w:tcPr>
          <w:p>
            <w:pPr>
              <w:spacing w:after="40" w:line="260"/>
            </w:pPr>
            <w:r>
              <w:rPr>
                <w:rFonts w:ascii="Calibri" w:cs="Calibri" w:eastAsia="Calibri" w:hAnsi="Calibri"/>
                <w:b/>
                <w:bCs/>
                <w:color w:val="FFFFFF"/>
                <w:sz w:val="20"/>
                <w:szCs w:val="20"/>
              </w:rPr>
              <w:t xml:space="preserve">Detail</w:t>
            </w:r>
          </w:p>
        </w:tc>
      </w:tr>
      <w:tr>
        <w:trPr>
          <w:cantSplit/>
          <w:tblHeader w:val="false"/>
        </w:trPr>
        <w:tc>
          <w:tcPr>
            <w:tcW w:type="dxa" w:w="2400"/>
            <w:tcBorders>
              <w:top w:val="single" w:color="B7CFC9" w:sz="4"/>
              <w:left w:val="single" w:color="B7CFC9" w:sz="4"/>
              <w:bottom w:val="single" w:color="B7CFC9" w:sz="4"/>
              <w:right w:val="single" w:color="B7CFC9" w:sz="4"/>
            </w:tcBorders>
            <w:tcMar>
              <w:top w:type="dxa" w:w="70"/>
              <w:left w:type="dxa" w:w="110"/>
              <w:bottom w:type="dxa" w:w="70"/>
              <w:right w:type="dxa" w:w="110"/>
            </w:tcMar>
          </w:tcPr>
          <w:p>
            <w:pPr>
              <w:spacing w:after="40" w:line="260"/>
            </w:pPr>
            <w:r>
              <w:rPr>
                <w:rFonts w:ascii="Calibri" w:cs="Calibri" w:eastAsia="Calibri" w:hAnsi="Calibri"/>
                <w:b w:val="false"/>
                <w:bCs w:val="false"/>
                <w:sz w:val="20"/>
                <w:szCs w:val="20"/>
              </w:rPr>
              <w:t xml:space="preserve">Business problem</w:t>
            </w:r>
          </w:p>
        </w:tc>
        <w:tc>
          <w:tcPr>
            <w:tcW w:type="dxa" w:w="6626"/>
            <w:tcBorders>
              <w:top w:val="single" w:color="B7CFC9" w:sz="4"/>
              <w:left w:val="single" w:color="B7CFC9" w:sz="4"/>
              <w:bottom w:val="single" w:color="B7CFC9" w:sz="4"/>
              <w:right w:val="single" w:color="B7CFC9" w:sz="4"/>
            </w:tcBorders>
            <w:tcMar>
              <w:top w:type="dxa" w:w="70"/>
              <w:left w:type="dxa" w:w="110"/>
              <w:bottom w:type="dxa" w:w="70"/>
              <w:right w:type="dxa" w:w="110"/>
            </w:tcMar>
          </w:tcPr>
          <w:p>
            <w:pPr>
              <w:spacing w:after="40" w:line="260"/>
            </w:pPr>
            <w:r>
              <w:rPr>
                <w:rFonts w:ascii="Calibri" w:cs="Calibri" w:eastAsia="Calibri" w:hAnsi="Calibri"/>
                <w:b w:val="false"/>
                <w:bCs w:val="false"/>
                <w:sz w:val="20"/>
                <w:szCs w:val="20"/>
              </w:rPr>
              <w:t xml:space="preserve">A spike in patient readmissions raises costs and may signal quality-of-care issues.</w:t>
            </w:r>
          </w:p>
        </w:tc>
      </w:tr>
      <w:tr>
        <w:trPr>
          <w:cantSplit/>
          <w:tblHeader w:val="false"/>
        </w:trPr>
        <w:tc>
          <w:tcPr>
            <w:tcW w:type="dxa" w:w="2400"/>
            <w:tcBorders>
              <w:top w:val="single" w:color="B7CFC9" w:sz="4"/>
              <w:left w:val="single" w:color="B7CFC9" w:sz="4"/>
              <w:bottom w:val="single" w:color="B7CFC9" w:sz="4"/>
              <w:right w:val="single" w:color="B7CFC9" w:sz="4"/>
            </w:tcBorders>
            <w:tcMar>
              <w:top w:type="dxa" w:w="70"/>
              <w:left w:type="dxa" w:w="110"/>
              <w:bottom w:type="dxa" w:w="70"/>
              <w:right w:type="dxa" w:w="110"/>
            </w:tcMar>
          </w:tcPr>
          <w:p>
            <w:pPr>
              <w:spacing w:after="40" w:line="260"/>
            </w:pPr>
            <w:r>
              <w:rPr>
                <w:rFonts w:ascii="Calibri" w:cs="Calibri" w:eastAsia="Calibri" w:hAnsi="Calibri"/>
                <w:b w:val="false"/>
                <w:bCs w:val="false"/>
                <w:sz w:val="20"/>
                <w:szCs w:val="20"/>
              </w:rPr>
              <w:t xml:space="preserve">Role</w:t>
            </w:r>
          </w:p>
        </w:tc>
        <w:tc>
          <w:tcPr>
            <w:tcW w:type="dxa" w:w="6626"/>
            <w:tcBorders>
              <w:top w:val="single" w:color="B7CFC9" w:sz="4"/>
              <w:left w:val="single" w:color="B7CFC9" w:sz="4"/>
              <w:bottom w:val="single" w:color="B7CFC9" w:sz="4"/>
              <w:right w:val="single" w:color="B7CFC9" w:sz="4"/>
            </w:tcBorders>
            <w:tcMar>
              <w:top w:type="dxa" w:w="70"/>
              <w:left w:type="dxa" w:w="110"/>
              <w:bottom w:type="dxa" w:w="70"/>
              <w:right w:type="dxa" w:w="110"/>
            </w:tcMar>
          </w:tcPr>
          <w:p>
            <w:pPr>
              <w:spacing w:after="40" w:line="260"/>
            </w:pPr>
            <w:r>
              <w:rPr>
                <w:rFonts w:ascii="Calibri" w:cs="Calibri" w:eastAsia="Calibri" w:hAnsi="Calibri"/>
                <w:b w:val="false"/>
                <w:bCs w:val="false"/>
                <w:sz w:val="20"/>
                <w:szCs w:val="20"/>
              </w:rPr>
              <w:t xml:space="preserve">Data analyst in the hospital administration department.</w:t>
            </w:r>
          </w:p>
        </w:tc>
      </w:tr>
      <w:tr>
        <w:trPr>
          <w:cantSplit/>
          <w:tblHeader w:val="false"/>
        </w:trPr>
        <w:tc>
          <w:tcPr>
            <w:tcW w:type="dxa" w:w="2400"/>
            <w:tcBorders>
              <w:top w:val="single" w:color="B7CFC9" w:sz="4"/>
              <w:left w:val="single" w:color="B7CFC9" w:sz="4"/>
              <w:bottom w:val="single" w:color="B7CFC9" w:sz="4"/>
              <w:right w:val="single" w:color="B7CFC9" w:sz="4"/>
            </w:tcBorders>
            <w:tcMar>
              <w:top w:type="dxa" w:w="70"/>
              <w:left w:type="dxa" w:w="110"/>
              <w:bottom w:type="dxa" w:w="70"/>
              <w:right w:type="dxa" w:w="110"/>
            </w:tcMar>
          </w:tcPr>
          <w:p>
            <w:pPr>
              <w:spacing w:after="40" w:line="260"/>
            </w:pPr>
            <w:r>
              <w:rPr>
                <w:rFonts w:ascii="Calibri" w:cs="Calibri" w:eastAsia="Calibri" w:hAnsi="Calibri"/>
                <w:b w:val="false"/>
                <w:bCs w:val="false"/>
                <w:sz w:val="20"/>
                <w:szCs w:val="20"/>
              </w:rPr>
              <w:t xml:space="preserve">Objective</w:t>
            </w:r>
          </w:p>
        </w:tc>
        <w:tc>
          <w:tcPr>
            <w:tcW w:type="dxa" w:w="6626"/>
            <w:tcBorders>
              <w:top w:val="single" w:color="B7CFC9" w:sz="4"/>
              <w:left w:val="single" w:color="B7CFC9" w:sz="4"/>
              <w:bottom w:val="single" w:color="B7CFC9" w:sz="4"/>
              <w:right w:val="single" w:color="B7CFC9" w:sz="4"/>
            </w:tcBorders>
            <w:tcMar>
              <w:top w:type="dxa" w:w="70"/>
              <w:left w:type="dxa" w:w="110"/>
              <w:bottom w:type="dxa" w:w="70"/>
              <w:right w:type="dxa" w:w="110"/>
            </w:tcMar>
          </w:tcPr>
          <w:p>
            <w:pPr>
              <w:spacing w:after="40" w:line="260"/>
            </w:pPr>
            <w:r>
              <w:rPr>
                <w:rFonts w:ascii="Calibri" w:cs="Calibri" w:eastAsia="Calibri" w:hAnsi="Calibri"/>
                <w:b w:val="false"/>
                <w:bCs w:val="false"/>
                <w:sz w:val="20"/>
                <w:szCs w:val="20"/>
              </w:rPr>
              <w:t xml:space="preserve">Find the patterns and factors linked to readmission within 30 days, and give actionable recommendations.</w:t>
            </w:r>
          </w:p>
        </w:tc>
      </w:tr>
      <w:tr>
        <w:trPr>
          <w:cantSplit/>
          <w:tblHeader w:val="false"/>
        </w:trPr>
        <w:tc>
          <w:tcPr>
            <w:tcW w:type="dxa" w:w="2400"/>
            <w:tcBorders>
              <w:top w:val="single" w:color="B7CFC9" w:sz="4"/>
              <w:left w:val="single" w:color="B7CFC9" w:sz="4"/>
              <w:bottom w:val="single" w:color="B7CFC9" w:sz="4"/>
              <w:right w:val="single" w:color="B7CFC9" w:sz="4"/>
            </w:tcBorders>
            <w:tcMar>
              <w:top w:type="dxa" w:w="70"/>
              <w:left w:type="dxa" w:w="110"/>
              <w:bottom w:type="dxa" w:w="70"/>
              <w:right w:type="dxa" w:w="110"/>
            </w:tcMar>
          </w:tcPr>
          <w:p>
            <w:pPr>
              <w:spacing w:after="40" w:line="260"/>
            </w:pPr>
            <w:r>
              <w:rPr>
                <w:rFonts w:ascii="Calibri" w:cs="Calibri" w:eastAsia="Calibri" w:hAnsi="Calibri"/>
                <w:b w:val="false"/>
                <w:bCs w:val="false"/>
                <w:sz w:val="20"/>
                <w:szCs w:val="20"/>
              </w:rPr>
              <w:t xml:space="preserve">Target variable</w:t>
            </w:r>
          </w:p>
        </w:tc>
        <w:tc>
          <w:tcPr>
            <w:tcW w:type="dxa" w:w="6626"/>
            <w:tcBorders>
              <w:top w:val="single" w:color="B7CFC9" w:sz="4"/>
              <w:left w:val="single" w:color="B7CFC9" w:sz="4"/>
              <w:bottom w:val="single" w:color="B7CFC9" w:sz="4"/>
              <w:right w:val="single" w:color="B7CFC9" w:sz="4"/>
            </w:tcBorders>
            <w:tcMar>
              <w:top w:type="dxa" w:w="70"/>
              <w:left w:type="dxa" w:w="110"/>
              <w:bottom w:type="dxa" w:w="70"/>
              <w:right w:type="dxa" w:w="110"/>
            </w:tcMar>
          </w:tcPr>
          <w:p>
            <w:pPr>
              <w:spacing w:after="40" w:line="260"/>
            </w:pPr>
            <w:r>
              <w:rPr>
                <w:rFonts w:ascii="Calibri" w:cs="Calibri" w:eastAsia="Calibri" w:hAnsi="Calibri"/>
                <w:b w:val="false"/>
                <w:bCs w:val="false"/>
                <w:sz w:val="20"/>
                <w:szCs w:val="20"/>
              </w:rPr>
              <w:t xml:space="preserve">readmitted (1 = readmitted within 30 days, 0 = otherwise).</w:t>
            </w:r>
          </w:p>
        </w:tc>
      </w:tr>
      <w:tr>
        <w:trPr>
          <w:cantSplit/>
          <w:tblHeader w:val="false"/>
        </w:trPr>
        <w:tc>
          <w:tcPr>
            <w:tcW w:type="dxa" w:w="2400"/>
            <w:tcBorders>
              <w:top w:val="single" w:color="B7CFC9" w:sz="4"/>
              <w:left w:val="single" w:color="B7CFC9" w:sz="4"/>
              <w:bottom w:val="single" w:color="B7CFC9" w:sz="4"/>
              <w:right w:val="single" w:color="B7CFC9" w:sz="4"/>
            </w:tcBorders>
            <w:tcMar>
              <w:top w:type="dxa" w:w="70"/>
              <w:left w:type="dxa" w:w="110"/>
              <w:bottom w:type="dxa" w:w="70"/>
              <w:right w:type="dxa" w:w="110"/>
            </w:tcMar>
          </w:tcPr>
          <w:p>
            <w:pPr>
              <w:spacing w:after="40" w:line="260"/>
            </w:pPr>
            <w:r>
              <w:rPr>
                <w:rFonts w:ascii="Calibri" w:cs="Calibri" w:eastAsia="Calibri" w:hAnsi="Calibri"/>
                <w:b w:val="false"/>
                <w:bCs w:val="false"/>
                <w:sz w:val="20"/>
                <w:szCs w:val="20"/>
              </w:rPr>
              <w:t xml:space="preserve">Tool</w:t>
            </w:r>
          </w:p>
        </w:tc>
        <w:tc>
          <w:tcPr>
            <w:tcW w:type="dxa" w:w="6626"/>
            <w:tcBorders>
              <w:top w:val="single" w:color="B7CFC9" w:sz="4"/>
              <w:left w:val="single" w:color="B7CFC9" w:sz="4"/>
              <w:bottom w:val="single" w:color="B7CFC9" w:sz="4"/>
              <w:right w:val="single" w:color="B7CFC9" w:sz="4"/>
            </w:tcBorders>
            <w:tcMar>
              <w:top w:type="dxa" w:w="70"/>
              <w:left w:type="dxa" w:w="110"/>
              <w:bottom w:type="dxa" w:w="70"/>
              <w:right w:type="dxa" w:w="110"/>
            </w:tcMar>
          </w:tcPr>
          <w:p>
            <w:pPr>
              <w:spacing w:after="40" w:line="260"/>
            </w:pPr>
            <w:r>
              <w:rPr>
                <w:rFonts w:ascii="Calibri" w:cs="Calibri" w:eastAsia="Calibri" w:hAnsi="Calibri"/>
                <w:b w:val="false"/>
                <w:bCs w:val="false"/>
                <w:sz w:val="20"/>
                <w:szCs w:val="20"/>
              </w:rPr>
              <w:t xml:space="preserve">Microsoft Excel: tables, formulas, pivot tables, charts, slicers.</w:t>
            </w:r>
          </w:p>
        </w:tc>
      </w:tr>
    </w:tbl>
    <w:p>
      <w:pPr>
        <w:pStyle w:val="Heading1"/>
        <w:spacing w:after="160" w:before="360"/>
      </w:pPr>
      <w:r>
        <w:rPr>
          <w:rFonts w:ascii="Calibri" w:cs="Calibri" w:eastAsia="Calibri" w:hAnsi="Calibri"/>
          <w:b/>
          <w:bCs/>
          <w:color w:val="185953"/>
          <w:sz w:val="32"/>
          <w:szCs w:val="32"/>
        </w:rPr>
        <w:t xml:space="preserve">4. Dataset and data dictionary</w:t>
      </w:r>
    </w:p>
    <w:p>
      <w:pPr>
        <w:spacing w:after="120" w:line="276"/>
      </w:pPr>
      <w:r>
        <w:rPr>
          <w:rFonts w:ascii="Calibri" w:cs="Calibri" w:eastAsia="Calibri" w:hAnsi="Calibri"/>
          <w:sz w:val="21"/>
          <w:szCs w:val="21"/>
        </w:rPr>
        <w:t xml:space="preserve">The raw file held 66,587 rows and 49 columns. After cleaning, the analysis dataset has 48,911 unique encounters. Columns by group: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300"/>
        <w:gridCol w:w="3426"/>
      </w:tblGrid>
      <w:tr>
        <w:trPr>
          <w:cantSplit/>
          <w:tblHeader/>
        </w:trPr>
        <w:tc>
          <w:tcPr>
            <w:tcW w:type="dxa" w:w="2300"/>
            <w:tcBorders>
              <w:top w:val="single" w:color="B7CFC9" w:sz="4"/>
              <w:left w:val="single" w:color="B7CFC9" w:sz="4"/>
              <w:bottom w:val="single" w:color="B7CFC9" w:sz="4"/>
              <w:right w:val="single" w:color="B7CFC9" w:sz="4"/>
            </w:tcBorders>
            <w:shd w:fill="185953" w:color="auto" w:val="clear"/>
            <w:tcMar>
              <w:top w:type="dxa" w:w="70"/>
              <w:left w:type="dxa" w:w="110"/>
              <w:bottom w:type="dxa" w:w="70"/>
              <w:right w:type="dxa" w:w="110"/>
            </w:tcMar>
          </w:tcPr>
          <w:p>
            <w:pPr>
              <w:spacing w:after="40" w:line="260"/>
            </w:pPr>
            <w:r>
              <w:rPr>
                <w:rFonts w:ascii="Calibri" w:cs="Calibri" w:eastAsia="Calibri" w:hAnsi="Calibri"/>
                <w:b/>
                <w:bCs/>
                <w:color w:val="FFFFFF"/>
                <w:sz w:val="20"/>
                <w:szCs w:val="20"/>
              </w:rPr>
              <w:t xml:space="preserve">Group</w:t>
            </w:r>
          </w:p>
        </w:tc>
        <w:tc>
          <w:tcPr>
            <w:tcW w:type="dxa" w:w="3300"/>
            <w:tcBorders>
              <w:top w:val="single" w:color="B7CFC9" w:sz="4"/>
              <w:left w:val="single" w:color="B7CFC9" w:sz="4"/>
              <w:bottom w:val="single" w:color="B7CFC9" w:sz="4"/>
              <w:right w:val="single" w:color="B7CFC9" w:sz="4"/>
            </w:tcBorders>
            <w:shd w:fill="185953" w:color="auto" w:val="clear"/>
            <w:tcMar>
              <w:top w:type="dxa" w:w="70"/>
              <w:left w:type="dxa" w:w="110"/>
              <w:bottom w:type="dxa" w:w="70"/>
              <w:right w:type="dxa" w:w="110"/>
            </w:tcMar>
          </w:tcPr>
          <w:p>
            <w:pPr>
              <w:spacing w:after="40" w:line="260"/>
            </w:pPr>
            <w:r>
              <w:rPr>
                <w:rFonts w:ascii="Calibri" w:cs="Calibri" w:eastAsia="Calibri" w:hAnsi="Calibri"/>
                <w:b/>
                <w:bCs/>
                <w:color w:val="FFFFFF"/>
                <w:sz w:val="20"/>
                <w:szCs w:val="20"/>
              </w:rPr>
              <w:t xml:space="preserve">Columns</w:t>
            </w:r>
          </w:p>
        </w:tc>
        <w:tc>
          <w:tcPr>
            <w:tcW w:type="dxa" w:w="3426"/>
            <w:tcBorders>
              <w:top w:val="single" w:color="B7CFC9" w:sz="4"/>
              <w:left w:val="single" w:color="B7CFC9" w:sz="4"/>
              <w:bottom w:val="single" w:color="B7CFC9" w:sz="4"/>
              <w:right w:val="single" w:color="B7CFC9" w:sz="4"/>
            </w:tcBorders>
            <w:shd w:fill="185953" w:color="auto" w:val="clear"/>
            <w:tcMar>
              <w:top w:type="dxa" w:w="70"/>
              <w:left w:type="dxa" w:w="110"/>
              <w:bottom w:type="dxa" w:w="70"/>
              <w:right w:type="dxa" w:w="110"/>
            </w:tcMar>
          </w:tcPr>
          <w:p>
            <w:pPr>
              <w:spacing w:after="40" w:line="260"/>
            </w:pPr>
            <w:r>
              <w:rPr>
                <w:rFonts w:ascii="Calibri" w:cs="Calibri" w:eastAsia="Calibri" w:hAnsi="Calibri"/>
                <w:b/>
                <w:bCs/>
                <w:color w:val="FFFFFF"/>
                <w:sz w:val="20"/>
                <w:szCs w:val="20"/>
              </w:rPr>
              <w:t xml:space="preserve">Notes</w:t>
            </w:r>
          </w:p>
        </w:tc>
      </w:tr>
      <w:tr>
        <w:trPr>
          <w:cantSplit/>
          <w:tblHeader w:val="false"/>
        </w:trPr>
        <w:tc>
          <w:tcPr>
            <w:tcW w:type="dxa" w:w="2300"/>
            <w:tcBorders>
              <w:top w:val="single" w:color="B7CFC9" w:sz="4"/>
              <w:left w:val="single" w:color="B7CFC9" w:sz="4"/>
              <w:bottom w:val="single" w:color="B7CFC9" w:sz="4"/>
              <w:right w:val="single" w:color="B7CFC9" w:sz="4"/>
            </w:tcBorders>
            <w:tcMar>
              <w:top w:type="dxa" w:w="70"/>
              <w:left w:type="dxa" w:w="110"/>
              <w:bottom w:type="dxa" w:w="70"/>
              <w:right w:type="dxa" w:w="110"/>
            </w:tcMar>
          </w:tcPr>
          <w:p>
            <w:pPr>
              <w:spacing w:after="40" w:line="260"/>
            </w:pPr>
            <w:r>
              <w:rPr>
                <w:rFonts w:ascii="Calibri" w:cs="Calibri" w:eastAsia="Calibri" w:hAnsi="Calibri"/>
                <w:b w:val="false"/>
                <w:bCs w:val="false"/>
                <w:sz w:val="20"/>
                <w:szCs w:val="20"/>
              </w:rPr>
              <w:t xml:space="preserve">Identifiers</w:t>
            </w:r>
          </w:p>
        </w:tc>
        <w:tc>
          <w:tcPr>
            <w:tcW w:type="dxa" w:w="3300"/>
            <w:tcBorders>
              <w:top w:val="single" w:color="B7CFC9" w:sz="4"/>
              <w:left w:val="single" w:color="B7CFC9" w:sz="4"/>
              <w:bottom w:val="single" w:color="B7CFC9" w:sz="4"/>
              <w:right w:val="single" w:color="B7CFC9" w:sz="4"/>
            </w:tcBorders>
            <w:tcMar>
              <w:top w:type="dxa" w:w="70"/>
              <w:left w:type="dxa" w:w="110"/>
              <w:bottom w:type="dxa" w:w="70"/>
              <w:right w:type="dxa" w:w="110"/>
            </w:tcMar>
          </w:tcPr>
          <w:p>
            <w:pPr>
              <w:spacing w:after="40" w:line="260"/>
            </w:pPr>
            <w:r>
              <w:rPr>
                <w:rFonts w:ascii="Calibri" w:cs="Calibri" w:eastAsia="Calibri" w:hAnsi="Calibri"/>
                <w:b w:val="false"/>
                <w:bCs w:val="false"/>
                <w:sz w:val="20"/>
                <w:szCs w:val="20"/>
              </w:rPr>
              <w:t xml:space="preserve">encounter_id, patient_id</w:t>
            </w:r>
          </w:p>
        </w:tc>
        <w:tc>
          <w:tcPr>
            <w:tcW w:type="dxa" w:w="3426"/>
            <w:tcBorders>
              <w:top w:val="single" w:color="B7CFC9" w:sz="4"/>
              <w:left w:val="single" w:color="B7CFC9" w:sz="4"/>
              <w:bottom w:val="single" w:color="B7CFC9" w:sz="4"/>
              <w:right w:val="single" w:color="B7CFC9" w:sz="4"/>
            </w:tcBorders>
            <w:tcMar>
              <w:top w:type="dxa" w:w="70"/>
              <w:left w:type="dxa" w:w="110"/>
              <w:bottom w:type="dxa" w:w="70"/>
              <w:right w:type="dxa" w:w="110"/>
            </w:tcMar>
          </w:tcPr>
          <w:p>
            <w:pPr>
              <w:spacing w:after="40" w:line="260"/>
            </w:pPr>
            <w:r>
              <w:rPr>
                <w:rFonts w:ascii="Calibri" w:cs="Calibri" w:eastAsia="Calibri" w:hAnsi="Calibri"/>
                <w:b w:val="false"/>
                <w:bCs w:val="false"/>
                <w:sz w:val="20"/>
                <w:szCs w:val="20"/>
              </w:rPr>
              <w:t xml:space="preserve">Used only to check duplicates and join data.</w:t>
            </w:r>
          </w:p>
        </w:tc>
      </w:tr>
      <w:tr>
        <w:trPr>
          <w:cantSplit/>
          <w:tblHeader w:val="false"/>
        </w:trPr>
        <w:tc>
          <w:tcPr>
            <w:tcW w:type="dxa" w:w="2300"/>
            <w:tcBorders>
              <w:top w:val="single" w:color="B7CFC9" w:sz="4"/>
              <w:left w:val="single" w:color="B7CFC9" w:sz="4"/>
              <w:bottom w:val="single" w:color="B7CFC9" w:sz="4"/>
              <w:right w:val="single" w:color="B7CFC9" w:sz="4"/>
            </w:tcBorders>
            <w:tcMar>
              <w:top w:type="dxa" w:w="70"/>
              <w:left w:type="dxa" w:w="110"/>
              <w:bottom w:type="dxa" w:w="70"/>
              <w:right w:type="dxa" w:w="110"/>
            </w:tcMar>
          </w:tcPr>
          <w:p>
            <w:pPr>
              <w:spacing w:after="40" w:line="260"/>
            </w:pPr>
            <w:r>
              <w:rPr>
                <w:rFonts w:ascii="Calibri" w:cs="Calibri" w:eastAsia="Calibri" w:hAnsi="Calibri"/>
                <w:b w:val="false"/>
                <w:bCs w:val="false"/>
                <w:sz w:val="20"/>
                <w:szCs w:val="20"/>
              </w:rPr>
              <w:t xml:space="preserve">Demographics</w:t>
            </w:r>
          </w:p>
        </w:tc>
        <w:tc>
          <w:tcPr>
            <w:tcW w:type="dxa" w:w="3300"/>
            <w:tcBorders>
              <w:top w:val="single" w:color="B7CFC9" w:sz="4"/>
              <w:left w:val="single" w:color="B7CFC9" w:sz="4"/>
              <w:bottom w:val="single" w:color="B7CFC9" w:sz="4"/>
              <w:right w:val="single" w:color="B7CFC9" w:sz="4"/>
            </w:tcBorders>
            <w:tcMar>
              <w:top w:type="dxa" w:w="70"/>
              <w:left w:type="dxa" w:w="110"/>
              <w:bottom w:type="dxa" w:w="70"/>
              <w:right w:type="dxa" w:w="110"/>
            </w:tcMar>
          </w:tcPr>
          <w:p>
            <w:pPr>
              <w:spacing w:after="40" w:line="260"/>
            </w:pPr>
            <w:r>
              <w:rPr>
                <w:rFonts w:ascii="Calibri" w:cs="Calibri" w:eastAsia="Calibri" w:hAnsi="Calibri"/>
                <w:b w:val="false"/>
                <w:bCs w:val="false"/>
                <w:sz w:val="20"/>
                <w:szCs w:val="20"/>
              </w:rPr>
              <w:t xml:space="preserve">race, gender, age</w:t>
            </w:r>
          </w:p>
        </w:tc>
        <w:tc>
          <w:tcPr>
            <w:tcW w:type="dxa" w:w="3426"/>
            <w:tcBorders>
              <w:top w:val="single" w:color="B7CFC9" w:sz="4"/>
              <w:left w:val="single" w:color="B7CFC9" w:sz="4"/>
              <w:bottom w:val="single" w:color="B7CFC9" w:sz="4"/>
              <w:right w:val="single" w:color="B7CFC9" w:sz="4"/>
            </w:tcBorders>
            <w:tcMar>
              <w:top w:type="dxa" w:w="70"/>
              <w:left w:type="dxa" w:w="110"/>
              <w:bottom w:type="dxa" w:w="70"/>
              <w:right w:type="dxa" w:w="110"/>
            </w:tcMar>
          </w:tcPr>
          <w:p>
            <w:pPr>
              <w:spacing w:after="40" w:line="260"/>
            </w:pPr>
            <w:r>
              <w:rPr>
                <w:rFonts w:ascii="Calibri" w:cs="Calibri" w:eastAsia="Calibri" w:hAnsi="Calibri"/>
                <w:b w:val="false"/>
                <w:bCs w:val="false"/>
                <w:sz w:val="20"/>
                <w:szCs w:val="20"/>
              </w:rPr>
              <w:t xml:space="preserve">Age is stored in 10-year bands such as [60-70).</w:t>
            </w:r>
          </w:p>
        </w:tc>
      </w:tr>
      <w:tr>
        <w:trPr>
          <w:cantSplit/>
          <w:tblHeader w:val="false"/>
        </w:trPr>
        <w:tc>
          <w:tcPr>
            <w:tcW w:type="dxa" w:w="2300"/>
            <w:tcBorders>
              <w:top w:val="single" w:color="B7CFC9" w:sz="4"/>
              <w:left w:val="single" w:color="B7CFC9" w:sz="4"/>
              <w:bottom w:val="single" w:color="B7CFC9" w:sz="4"/>
              <w:right w:val="single" w:color="B7CFC9" w:sz="4"/>
            </w:tcBorders>
            <w:tcMar>
              <w:top w:type="dxa" w:w="70"/>
              <w:left w:type="dxa" w:w="110"/>
              <w:bottom w:type="dxa" w:w="70"/>
              <w:right w:type="dxa" w:w="110"/>
            </w:tcMar>
          </w:tcPr>
          <w:p>
            <w:pPr>
              <w:spacing w:after="40" w:line="260"/>
            </w:pPr>
            <w:r>
              <w:rPr>
                <w:rFonts w:ascii="Calibri" w:cs="Calibri" w:eastAsia="Calibri" w:hAnsi="Calibri"/>
                <w:b w:val="false"/>
                <w:bCs w:val="false"/>
                <w:sz w:val="20"/>
                <w:szCs w:val="20"/>
              </w:rPr>
              <w:t xml:space="preserve">Stay and care</w:t>
            </w:r>
          </w:p>
        </w:tc>
        <w:tc>
          <w:tcPr>
            <w:tcW w:type="dxa" w:w="3300"/>
            <w:tcBorders>
              <w:top w:val="single" w:color="B7CFC9" w:sz="4"/>
              <w:left w:val="single" w:color="B7CFC9" w:sz="4"/>
              <w:bottom w:val="single" w:color="B7CFC9" w:sz="4"/>
              <w:right w:val="single" w:color="B7CFC9" w:sz="4"/>
            </w:tcBorders>
            <w:tcMar>
              <w:top w:type="dxa" w:w="70"/>
              <w:left w:type="dxa" w:w="110"/>
              <w:bottom w:type="dxa" w:w="70"/>
              <w:right w:type="dxa" w:w="110"/>
            </w:tcMar>
          </w:tcPr>
          <w:p>
            <w:pPr>
              <w:spacing w:after="40" w:line="260"/>
            </w:pPr>
            <w:r>
              <w:rPr>
                <w:rFonts w:ascii="Calibri" w:cs="Calibri" w:eastAsia="Calibri" w:hAnsi="Calibri"/>
                <w:b w:val="false"/>
                <w:bCs w:val="false"/>
                <w:sz w:val="20"/>
                <w:szCs w:val="20"/>
              </w:rPr>
              <w:t xml:space="preserve">time_in_hospital, medical_specialty, num_lab_procedures, num_procedures, num_medications</w:t>
            </w:r>
          </w:p>
        </w:tc>
        <w:tc>
          <w:tcPr>
            <w:tcW w:type="dxa" w:w="3426"/>
            <w:tcBorders>
              <w:top w:val="single" w:color="B7CFC9" w:sz="4"/>
              <w:left w:val="single" w:color="B7CFC9" w:sz="4"/>
              <w:bottom w:val="single" w:color="B7CFC9" w:sz="4"/>
              <w:right w:val="single" w:color="B7CFC9" w:sz="4"/>
            </w:tcBorders>
            <w:tcMar>
              <w:top w:type="dxa" w:w="70"/>
              <w:left w:type="dxa" w:w="110"/>
              <w:bottom w:type="dxa" w:w="70"/>
              <w:right w:type="dxa" w:w="110"/>
            </w:tcMar>
          </w:tcPr>
          <w:p>
            <w:pPr>
              <w:spacing w:after="40" w:line="260"/>
            </w:pPr>
            <w:r>
              <w:rPr>
                <w:rFonts w:ascii="Calibri" w:cs="Calibri" w:eastAsia="Calibri" w:hAnsi="Calibri"/>
                <w:b w:val="false"/>
                <w:bCs w:val="false"/>
                <w:sz w:val="20"/>
                <w:szCs w:val="20"/>
              </w:rPr>
              <w:t xml:space="preserve">Specialty is unknown for 49% of encounters.</w:t>
            </w:r>
          </w:p>
        </w:tc>
      </w:tr>
      <w:tr>
        <w:trPr>
          <w:cantSplit/>
          <w:tblHeader w:val="false"/>
        </w:trPr>
        <w:tc>
          <w:tcPr>
            <w:tcW w:type="dxa" w:w="2300"/>
            <w:tcBorders>
              <w:top w:val="single" w:color="B7CFC9" w:sz="4"/>
              <w:left w:val="single" w:color="B7CFC9" w:sz="4"/>
              <w:bottom w:val="single" w:color="B7CFC9" w:sz="4"/>
              <w:right w:val="single" w:color="B7CFC9" w:sz="4"/>
            </w:tcBorders>
            <w:tcMar>
              <w:top w:type="dxa" w:w="70"/>
              <w:left w:type="dxa" w:w="110"/>
              <w:bottom w:type="dxa" w:w="70"/>
              <w:right w:type="dxa" w:w="110"/>
            </w:tcMar>
          </w:tcPr>
          <w:p>
            <w:pPr>
              <w:spacing w:after="40" w:line="260"/>
            </w:pPr>
            <w:r>
              <w:rPr>
                <w:rFonts w:ascii="Calibri" w:cs="Calibri" w:eastAsia="Calibri" w:hAnsi="Calibri"/>
                <w:b w:val="false"/>
                <w:bCs w:val="false"/>
                <w:sz w:val="20"/>
                <w:szCs w:val="20"/>
              </w:rPr>
              <w:t xml:space="preserve">Prior visits</w:t>
            </w:r>
          </w:p>
        </w:tc>
        <w:tc>
          <w:tcPr>
            <w:tcW w:type="dxa" w:w="3300"/>
            <w:tcBorders>
              <w:top w:val="single" w:color="B7CFC9" w:sz="4"/>
              <w:left w:val="single" w:color="B7CFC9" w:sz="4"/>
              <w:bottom w:val="single" w:color="B7CFC9" w:sz="4"/>
              <w:right w:val="single" w:color="B7CFC9" w:sz="4"/>
            </w:tcBorders>
            <w:tcMar>
              <w:top w:type="dxa" w:w="70"/>
              <w:left w:type="dxa" w:w="110"/>
              <w:bottom w:type="dxa" w:w="70"/>
              <w:right w:type="dxa" w:w="110"/>
            </w:tcMar>
          </w:tcPr>
          <w:p>
            <w:pPr>
              <w:spacing w:after="40" w:line="260"/>
            </w:pPr>
            <w:r>
              <w:rPr>
                <w:rFonts w:ascii="Calibri" w:cs="Calibri" w:eastAsia="Calibri" w:hAnsi="Calibri"/>
                <w:b w:val="false"/>
                <w:bCs w:val="false"/>
                <w:sz w:val="20"/>
                <w:szCs w:val="20"/>
              </w:rPr>
              <w:t xml:space="preserve">number_outpatient, number_emergency, number_inpatient</w:t>
            </w:r>
          </w:p>
        </w:tc>
        <w:tc>
          <w:tcPr>
            <w:tcW w:type="dxa" w:w="3426"/>
            <w:tcBorders>
              <w:top w:val="single" w:color="B7CFC9" w:sz="4"/>
              <w:left w:val="single" w:color="B7CFC9" w:sz="4"/>
              <w:bottom w:val="single" w:color="B7CFC9" w:sz="4"/>
              <w:right w:val="single" w:color="B7CFC9" w:sz="4"/>
            </w:tcBorders>
            <w:tcMar>
              <w:top w:type="dxa" w:w="70"/>
              <w:left w:type="dxa" w:w="110"/>
              <w:bottom w:type="dxa" w:w="70"/>
              <w:right w:type="dxa" w:w="110"/>
            </w:tcMar>
          </w:tcPr>
          <w:p>
            <w:pPr>
              <w:spacing w:after="40" w:line="260"/>
            </w:pPr>
            <w:r>
              <w:rPr>
                <w:rFonts w:ascii="Calibri" w:cs="Calibri" w:eastAsia="Calibri" w:hAnsi="Calibri"/>
                <w:b w:val="false"/>
                <w:bCs w:val="false"/>
                <w:sz w:val="20"/>
                <w:szCs w:val="20"/>
              </w:rPr>
              <w:t xml:space="preserve">Counts for the year before the stay.</w:t>
            </w:r>
          </w:p>
        </w:tc>
      </w:tr>
      <w:tr>
        <w:trPr>
          <w:cantSplit/>
          <w:tblHeader w:val="false"/>
        </w:trPr>
        <w:tc>
          <w:tcPr>
            <w:tcW w:type="dxa" w:w="2300"/>
            <w:tcBorders>
              <w:top w:val="single" w:color="B7CFC9" w:sz="4"/>
              <w:left w:val="single" w:color="B7CFC9" w:sz="4"/>
              <w:bottom w:val="single" w:color="B7CFC9" w:sz="4"/>
              <w:right w:val="single" w:color="B7CFC9" w:sz="4"/>
            </w:tcBorders>
            <w:tcMar>
              <w:top w:type="dxa" w:w="70"/>
              <w:left w:type="dxa" w:w="110"/>
              <w:bottom w:type="dxa" w:w="70"/>
              <w:right w:type="dxa" w:w="110"/>
            </w:tcMar>
          </w:tcPr>
          <w:p>
            <w:pPr>
              <w:spacing w:after="40" w:line="260"/>
            </w:pPr>
            <w:r>
              <w:rPr>
                <w:rFonts w:ascii="Calibri" w:cs="Calibri" w:eastAsia="Calibri" w:hAnsi="Calibri"/>
                <w:b w:val="false"/>
                <w:bCs w:val="false"/>
                <w:sz w:val="20"/>
                <w:szCs w:val="20"/>
              </w:rPr>
              <w:t xml:space="preserve">Diagnosis</w:t>
            </w:r>
          </w:p>
        </w:tc>
        <w:tc>
          <w:tcPr>
            <w:tcW w:type="dxa" w:w="3300"/>
            <w:tcBorders>
              <w:top w:val="single" w:color="B7CFC9" w:sz="4"/>
              <w:left w:val="single" w:color="B7CFC9" w:sz="4"/>
              <w:bottom w:val="single" w:color="B7CFC9" w:sz="4"/>
              <w:right w:val="single" w:color="B7CFC9" w:sz="4"/>
            </w:tcBorders>
            <w:tcMar>
              <w:top w:type="dxa" w:w="70"/>
              <w:left w:type="dxa" w:w="110"/>
              <w:bottom w:type="dxa" w:w="70"/>
              <w:right w:type="dxa" w:w="110"/>
            </w:tcMar>
          </w:tcPr>
          <w:p>
            <w:pPr>
              <w:spacing w:after="40" w:line="260"/>
            </w:pPr>
            <w:r>
              <w:rPr>
                <w:rFonts w:ascii="Calibri" w:cs="Calibri" w:eastAsia="Calibri" w:hAnsi="Calibri"/>
                <w:b w:val="false"/>
                <w:bCs w:val="false"/>
                <w:sz w:val="20"/>
                <w:szCs w:val="20"/>
              </w:rPr>
              <w:t xml:space="preserve">diag_1, diag_2, diag_3, number_diagnoses</w:t>
            </w:r>
          </w:p>
        </w:tc>
        <w:tc>
          <w:tcPr>
            <w:tcW w:type="dxa" w:w="3426"/>
            <w:tcBorders>
              <w:top w:val="single" w:color="B7CFC9" w:sz="4"/>
              <w:left w:val="single" w:color="B7CFC9" w:sz="4"/>
              <w:bottom w:val="single" w:color="B7CFC9" w:sz="4"/>
              <w:right w:val="single" w:color="B7CFC9" w:sz="4"/>
            </w:tcBorders>
            <w:tcMar>
              <w:top w:type="dxa" w:w="70"/>
              <w:left w:type="dxa" w:w="110"/>
              <w:bottom w:type="dxa" w:w="70"/>
              <w:right w:type="dxa" w:w="110"/>
            </w:tcMar>
          </w:tcPr>
          <w:p>
            <w:pPr>
              <w:spacing w:after="40" w:line="260"/>
            </w:pPr>
            <w:r>
              <w:rPr>
                <w:rFonts w:ascii="Calibri" w:cs="Calibri" w:eastAsia="Calibri" w:hAnsi="Calibri"/>
                <w:b w:val="false"/>
                <w:bCs w:val="false"/>
                <w:sz w:val="20"/>
                <w:szCs w:val="20"/>
              </w:rPr>
              <w:t xml:space="preserve">diag_1 to diag_3 are ICD-9 style codes.</w:t>
            </w:r>
          </w:p>
        </w:tc>
      </w:tr>
      <w:tr>
        <w:trPr>
          <w:cantSplit/>
          <w:tblHeader w:val="false"/>
        </w:trPr>
        <w:tc>
          <w:tcPr>
            <w:tcW w:type="dxa" w:w="2300"/>
            <w:tcBorders>
              <w:top w:val="single" w:color="B7CFC9" w:sz="4"/>
              <w:left w:val="single" w:color="B7CFC9" w:sz="4"/>
              <w:bottom w:val="single" w:color="B7CFC9" w:sz="4"/>
              <w:right w:val="single" w:color="B7CFC9" w:sz="4"/>
            </w:tcBorders>
            <w:tcMar>
              <w:top w:type="dxa" w:w="70"/>
              <w:left w:type="dxa" w:w="110"/>
              <w:bottom w:type="dxa" w:w="70"/>
              <w:right w:type="dxa" w:w="110"/>
            </w:tcMar>
          </w:tcPr>
          <w:p>
            <w:pPr>
              <w:spacing w:after="40" w:line="260"/>
            </w:pPr>
            <w:r>
              <w:rPr>
                <w:rFonts w:ascii="Calibri" w:cs="Calibri" w:eastAsia="Calibri" w:hAnsi="Calibri"/>
                <w:b w:val="false"/>
                <w:bCs w:val="false"/>
                <w:sz w:val="20"/>
                <w:szCs w:val="20"/>
              </w:rPr>
              <w:t xml:space="preserve">Medications and tests</w:t>
            </w:r>
          </w:p>
        </w:tc>
        <w:tc>
          <w:tcPr>
            <w:tcW w:type="dxa" w:w="3300"/>
            <w:tcBorders>
              <w:top w:val="single" w:color="B7CFC9" w:sz="4"/>
              <w:left w:val="single" w:color="B7CFC9" w:sz="4"/>
              <w:bottom w:val="single" w:color="B7CFC9" w:sz="4"/>
              <w:right w:val="single" w:color="B7CFC9" w:sz="4"/>
            </w:tcBorders>
            <w:tcMar>
              <w:top w:type="dxa" w:w="70"/>
              <w:left w:type="dxa" w:w="110"/>
              <w:bottom w:type="dxa" w:w="70"/>
              <w:right w:type="dxa" w:w="110"/>
            </w:tcMar>
          </w:tcPr>
          <w:p>
            <w:pPr>
              <w:spacing w:after="40" w:line="260"/>
            </w:pPr>
            <w:r>
              <w:rPr>
                <w:rFonts w:ascii="Calibri" w:cs="Calibri" w:eastAsia="Calibri" w:hAnsi="Calibri"/>
                <w:b w:val="false"/>
                <w:bCs w:val="false"/>
                <w:sz w:val="20"/>
                <w:szCs w:val="20"/>
              </w:rPr>
              <w:t xml:space="preserve">X1 to X25</w:t>
            </w:r>
          </w:p>
        </w:tc>
        <w:tc>
          <w:tcPr>
            <w:tcW w:type="dxa" w:w="3426"/>
            <w:tcBorders>
              <w:top w:val="single" w:color="B7CFC9" w:sz="4"/>
              <w:left w:val="single" w:color="B7CFC9" w:sz="4"/>
              <w:bottom w:val="single" w:color="B7CFC9" w:sz="4"/>
              <w:right w:val="single" w:color="B7CFC9" w:sz="4"/>
            </w:tcBorders>
            <w:tcMar>
              <w:top w:type="dxa" w:w="70"/>
              <w:left w:type="dxa" w:w="110"/>
              <w:bottom w:type="dxa" w:w="70"/>
              <w:right w:type="dxa" w:w="110"/>
            </w:tcMar>
          </w:tcPr>
          <w:p>
            <w:pPr>
              <w:spacing w:after="40" w:line="260"/>
            </w:pPr>
            <w:r>
              <w:rPr>
                <w:rFonts w:ascii="Calibri" w:cs="Calibri" w:eastAsia="Calibri" w:hAnsi="Calibri"/>
                <w:b w:val="false"/>
                <w:bCs w:val="false"/>
                <w:sz w:val="20"/>
                <w:szCs w:val="20"/>
              </w:rPr>
              <w:t xml:space="preserve">Anonymised. X1 and X2 hold test results (None, Norm, &gt;200, &gt;8, &gt;7). X3 to X25 hold medication status (No, Steady, Up, Down).</w:t>
            </w:r>
          </w:p>
        </w:tc>
      </w:tr>
      <w:tr>
        <w:trPr>
          <w:cantSplit/>
          <w:tblHeader w:val="false"/>
        </w:trPr>
        <w:tc>
          <w:tcPr>
            <w:tcW w:type="dxa" w:w="2300"/>
            <w:tcBorders>
              <w:top w:val="single" w:color="B7CFC9" w:sz="4"/>
              <w:left w:val="single" w:color="B7CFC9" w:sz="4"/>
              <w:bottom w:val="single" w:color="B7CFC9" w:sz="4"/>
              <w:right w:val="single" w:color="B7CFC9" w:sz="4"/>
            </w:tcBorders>
            <w:tcMar>
              <w:top w:type="dxa" w:w="70"/>
              <w:left w:type="dxa" w:w="110"/>
              <w:bottom w:type="dxa" w:w="70"/>
              <w:right w:type="dxa" w:w="110"/>
            </w:tcMar>
          </w:tcPr>
          <w:p>
            <w:pPr>
              <w:spacing w:after="40" w:line="260"/>
            </w:pPr>
            <w:r>
              <w:rPr>
                <w:rFonts w:ascii="Calibri" w:cs="Calibri" w:eastAsia="Calibri" w:hAnsi="Calibri"/>
                <w:b w:val="false"/>
                <w:bCs w:val="false"/>
                <w:sz w:val="20"/>
                <w:szCs w:val="20"/>
              </w:rPr>
              <w:t xml:space="preserve">Diabetes</w:t>
            </w:r>
          </w:p>
        </w:tc>
        <w:tc>
          <w:tcPr>
            <w:tcW w:type="dxa" w:w="3300"/>
            <w:tcBorders>
              <w:top w:val="single" w:color="B7CFC9" w:sz="4"/>
              <w:left w:val="single" w:color="B7CFC9" w:sz="4"/>
              <w:bottom w:val="single" w:color="B7CFC9" w:sz="4"/>
              <w:right w:val="single" w:color="B7CFC9" w:sz="4"/>
            </w:tcBorders>
            <w:tcMar>
              <w:top w:type="dxa" w:w="70"/>
              <w:left w:type="dxa" w:w="110"/>
              <w:bottom w:type="dxa" w:w="70"/>
              <w:right w:type="dxa" w:w="110"/>
            </w:tcMar>
          </w:tcPr>
          <w:p>
            <w:pPr>
              <w:spacing w:after="40" w:line="260"/>
            </w:pPr>
            <w:r>
              <w:rPr>
                <w:rFonts w:ascii="Calibri" w:cs="Calibri" w:eastAsia="Calibri" w:hAnsi="Calibri"/>
                <w:b w:val="false"/>
                <w:bCs w:val="false"/>
                <w:sz w:val="20"/>
                <w:szCs w:val="20"/>
              </w:rPr>
              <w:t xml:space="preserve">change, diabetesMed</w:t>
            </w:r>
          </w:p>
        </w:tc>
        <w:tc>
          <w:tcPr>
            <w:tcW w:type="dxa" w:w="3426"/>
            <w:tcBorders>
              <w:top w:val="single" w:color="B7CFC9" w:sz="4"/>
              <w:left w:val="single" w:color="B7CFC9" w:sz="4"/>
              <w:bottom w:val="single" w:color="B7CFC9" w:sz="4"/>
              <w:right w:val="single" w:color="B7CFC9" w:sz="4"/>
            </w:tcBorders>
            <w:tcMar>
              <w:top w:type="dxa" w:w="70"/>
              <w:left w:type="dxa" w:w="110"/>
              <w:bottom w:type="dxa" w:w="70"/>
              <w:right w:type="dxa" w:w="110"/>
            </w:tcMar>
          </w:tcPr>
          <w:p>
            <w:pPr>
              <w:spacing w:after="40" w:line="260"/>
            </w:pPr>
            <w:r>
              <w:rPr>
                <w:rFonts w:ascii="Calibri" w:cs="Calibri" w:eastAsia="Calibri" w:hAnsi="Calibri"/>
                <w:b w:val="false"/>
                <w:bCs w:val="false"/>
                <w:sz w:val="20"/>
                <w:szCs w:val="20"/>
              </w:rPr>
              <w:t xml:space="preserve">change was standardised to Yes/No.</w:t>
            </w:r>
          </w:p>
        </w:tc>
      </w:tr>
      <w:tr>
        <w:trPr>
          <w:cantSplit/>
          <w:tblHeader w:val="false"/>
        </w:trPr>
        <w:tc>
          <w:tcPr>
            <w:tcW w:type="dxa" w:w="2300"/>
            <w:tcBorders>
              <w:top w:val="single" w:color="B7CFC9" w:sz="4"/>
              <w:left w:val="single" w:color="B7CFC9" w:sz="4"/>
              <w:bottom w:val="single" w:color="B7CFC9" w:sz="4"/>
              <w:right w:val="single" w:color="B7CFC9" w:sz="4"/>
            </w:tcBorders>
            <w:tcMar>
              <w:top w:type="dxa" w:w="70"/>
              <w:left w:type="dxa" w:w="110"/>
              <w:bottom w:type="dxa" w:w="70"/>
              <w:right w:type="dxa" w:w="110"/>
            </w:tcMar>
          </w:tcPr>
          <w:p>
            <w:pPr>
              <w:spacing w:after="40" w:line="260"/>
            </w:pPr>
            <w:r>
              <w:rPr>
                <w:rFonts w:ascii="Calibri" w:cs="Calibri" w:eastAsia="Calibri" w:hAnsi="Calibri"/>
                <w:b w:val="false"/>
                <w:bCs w:val="false"/>
                <w:sz w:val="20"/>
                <w:szCs w:val="20"/>
              </w:rPr>
              <w:t xml:space="preserve">Target</w:t>
            </w:r>
          </w:p>
        </w:tc>
        <w:tc>
          <w:tcPr>
            <w:tcW w:type="dxa" w:w="3300"/>
            <w:tcBorders>
              <w:top w:val="single" w:color="B7CFC9" w:sz="4"/>
              <w:left w:val="single" w:color="B7CFC9" w:sz="4"/>
              <w:bottom w:val="single" w:color="B7CFC9" w:sz="4"/>
              <w:right w:val="single" w:color="B7CFC9" w:sz="4"/>
            </w:tcBorders>
            <w:tcMar>
              <w:top w:type="dxa" w:w="70"/>
              <w:left w:type="dxa" w:w="110"/>
              <w:bottom w:type="dxa" w:w="70"/>
              <w:right w:type="dxa" w:w="110"/>
            </w:tcMar>
          </w:tcPr>
          <w:p>
            <w:pPr>
              <w:spacing w:after="40" w:line="260"/>
            </w:pPr>
            <w:r>
              <w:rPr>
                <w:rFonts w:ascii="Calibri" w:cs="Calibri" w:eastAsia="Calibri" w:hAnsi="Calibri"/>
                <w:b w:val="false"/>
                <w:bCs w:val="false"/>
                <w:sz w:val="20"/>
                <w:szCs w:val="20"/>
              </w:rPr>
              <w:t xml:space="preserve">readmitted</w:t>
            </w:r>
          </w:p>
        </w:tc>
        <w:tc>
          <w:tcPr>
            <w:tcW w:type="dxa" w:w="3426"/>
            <w:tcBorders>
              <w:top w:val="single" w:color="B7CFC9" w:sz="4"/>
              <w:left w:val="single" w:color="B7CFC9" w:sz="4"/>
              <w:bottom w:val="single" w:color="B7CFC9" w:sz="4"/>
              <w:right w:val="single" w:color="B7CFC9" w:sz="4"/>
            </w:tcBorders>
            <w:tcMar>
              <w:top w:type="dxa" w:w="70"/>
              <w:left w:type="dxa" w:w="110"/>
              <w:bottom w:type="dxa" w:w="70"/>
              <w:right w:type="dxa" w:w="110"/>
            </w:tcMar>
          </w:tcPr>
          <w:p>
            <w:pPr>
              <w:spacing w:after="40" w:line="260"/>
            </w:pPr>
            <w:r>
              <w:rPr>
                <w:rFonts w:ascii="Calibri" w:cs="Calibri" w:eastAsia="Calibri" w:hAnsi="Calibri"/>
                <w:b w:val="false"/>
                <w:bCs w:val="false"/>
                <w:sz w:val="20"/>
                <w:szCs w:val="20"/>
              </w:rPr>
              <w:t xml:space="preserve">1 = readmitted within 30 days.</w:t>
            </w:r>
          </w:p>
        </w:tc>
      </w:tr>
      <w:tr>
        <w:trPr>
          <w:cantSplit/>
          <w:tblHeader w:val="false"/>
        </w:trPr>
        <w:tc>
          <w:tcPr>
            <w:tcW w:type="dxa" w:w="2300"/>
            <w:tcBorders>
              <w:top w:val="single" w:color="B7CFC9" w:sz="4"/>
              <w:left w:val="single" w:color="B7CFC9" w:sz="4"/>
              <w:bottom w:val="single" w:color="B7CFC9" w:sz="4"/>
              <w:right w:val="single" w:color="B7CFC9" w:sz="4"/>
            </w:tcBorders>
            <w:tcMar>
              <w:top w:type="dxa" w:w="70"/>
              <w:left w:type="dxa" w:w="110"/>
              <w:bottom w:type="dxa" w:w="70"/>
              <w:right w:type="dxa" w:w="110"/>
            </w:tcMar>
          </w:tcPr>
          <w:p>
            <w:pPr>
              <w:spacing w:after="40" w:line="260"/>
            </w:pPr>
            <w:r>
              <w:rPr>
                <w:rFonts w:ascii="Calibri" w:cs="Calibri" w:eastAsia="Calibri" w:hAnsi="Calibri"/>
                <w:b w:val="false"/>
                <w:bCs w:val="false"/>
                <w:sz w:val="20"/>
                <w:szCs w:val="20"/>
              </w:rPr>
              <w:t xml:space="preserve">Helper columns added</w:t>
            </w:r>
          </w:p>
        </w:tc>
        <w:tc>
          <w:tcPr>
            <w:tcW w:type="dxa" w:w="3300"/>
            <w:tcBorders>
              <w:top w:val="single" w:color="B7CFC9" w:sz="4"/>
              <w:left w:val="single" w:color="B7CFC9" w:sz="4"/>
              <w:bottom w:val="single" w:color="B7CFC9" w:sz="4"/>
              <w:right w:val="single" w:color="B7CFC9" w:sz="4"/>
            </w:tcBorders>
            <w:tcMar>
              <w:top w:type="dxa" w:w="70"/>
              <w:left w:type="dxa" w:w="110"/>
              <w:bottom w:type="dxa" w:w="70"/>
              <w:right w:type="dxa" w:w="110"/>
            </w:tcMar>
          </w:tcPr>
          <w:p>
            <w:pPr>
              <w:spacing w:after="40" w:line="260"/>
            </w:pPr>
            <w:r>
              <w:rPr>
                <w:rFonts w:ascii="Calibri" w:cs="Calibri" w:eastAsia="Calibri" w:hAnsi="Calibri"/>
                <w:b w:val="false"/>
                <w:bCs w:val="false"/>
                <w:sz w:val="20"/>
                <w:szCs w:val="20"/>
              </w:rPr>
              <w:t xml:space="preserve">Readmit_Status, Total_Prior_Visits, Diagnosis_Group, Weight_Band, Risk_Score, Segment, Diabetes_Flag</w:t>
            </w:r>
          </w:p>
        </w:tc>
        <w:tc>
          <w:tcPr>
            <w:tcW w:type="dxa" w:w="3426"/>
            <w:tcBorders>
              <w:top w:val="single" w:color="B7CFC9" w:sz="4"/>
              <w:left w:val="single" w:color="B7CFC9" w:sz="4"/>
              <w:bottom w:val="single" w:color="B7CFC9" w:sz="4"/>
              <w:right w:val="single" w:color="B7CFC9" w:sz="4"/>
            </w:tcBorders>
            <w:tcMar>
              <w:top w:type="dxa" w:w="70"/>
              <w:left w:type="dxa" w:w="110"/>
              <w:bottom w:type="dxa" w:w="70"/>
              <w:right w:type="dxa" w:w="110"/>
            </w:tcMar>
          </w:tcPr>
          <w:p>
            <w:pPr>
              <w:spacing w:after="40" w:line="260"/>
            </w:pPr>
            <w:r>
              <w:rPr>
                <w:rFonts w:ascii="Calibri" w:cs="Calibri" w:eastAsia="Calibri" w:hAnsi="Calibri"/>
                <w:b w:val="false"/>
                <w:bCs w:val="false"/>
                <w:sz w:val="20"/>
                <w:szCs w:val="20"/>
              </w:rPr>
              <w:t xml:space="preserve">Built during cleaning and analysis.</w:t>
            </w:r>
          </w:p>
        </w:tc>
      </w:tr>
    </w:tbl>
    <w:p>
      <w:pPr>
        <w:pStyle w:val="Heading1"/>
        <w:spacing w:after="160" w:before="360"/>
      </w:pPr>
      <w:r>
        <w:rPr>
          <w:rFonts w:ascii="Calibri" w:cs="Calibri" w:eastAsia="Calibri" w:hAnsi="Calibri"/>
          <w:b/>
          <w:bCs/>
          <w:color w:val="185953"/>
          <w:sz w:val="32"/>
          <w:szCs w:val="32"/>
        </w:rPr>
        <w:t xml:space="preserve">5. Approach and workbook structure</w:t>
      </w:r>
    </w:p>
    <w:p>
      <w:pPr>
        <w:spacing w:after="120" w:line="276"/>
      </w:pPr>
      <w:r>
        <w:rPr>
          <w:rFonts w:ascii="Calibri" w:cs="Calibri" w:eastAsia="Calibri" w:hAnsi="Calibri"/>
          <w:sz w:val="21"/>
          <w:szCs w:val="21"/>
        </w:rPr>
        <w:t xml:space="preserve">The work followed a fixed procedure, with every step documented before moving on:</w:t>
      </w:r>
    </w:p>
    <w:p>
      <w:pPr>
        <w:pStyle w:val="ListParagraph"/>
        <w:numPr>
          <w:ilvl w:val="0"/>
          <w:numId w:val="2"/>
        </w:numPr>
        <w:spacing w:after="70" w:line="270"/>
      </w:pPr>
      <w:r>
        <w:rPr>
          <w:rFonts w:ascii="Calibri" w:cs="Calibri" w:eastAsia="Calibri" w:hAnsi="Calibri"/>
          <w:sz w:val="21"/>
          <w:szCs w:val="21"/>
        </w:rPr>
        <w:t xml:space="preserve">Setup: define the problem, keep the raw file untouched and work on a copy.</w:t>
      </w:r>
    </w:p>
    <w:p>
      <w:pPr>
        <w:pStyle w:val="ListParagraph"/>
        <w:numPr>
          <w:ilvl w:val="0"/>
          <w:numId w:val="2"/>
        </w:numPr>
        <w:spacing w:after="70" w:line="270"/>
      </w:pPr>
      <w:r>
        <w:rPr>
          <w:rFonts w:ascii="Calibri" w:cs="Calibri" w:eastAsia="Calibri" w:hAnsi="Calibri"/>
          <w:sz w:val="21"/>
          <w:szCs w:val="21"/>
        </w:rPr>
        <w:t xml:space="preserve">Understand: check size, missing values, duplicates and data types.</w:t>
      </w:r>
    </w:p>
    <w:p>
      <w:pPr>
        <w:pStyle w:val="ListParagraph"/>
        <w:numPr>
          <w:ilvl w:val="0"/>
          <w:numId w:val="2"/>
        </w:numPr>
        <w:spacing w:after="70" w:line="270"/>
      </w:pPr>
      <w:r>
        <w:rPr>
          <w:rFonts w:ascii="Calibri" w:cs="Calibri" w:eastAsia="Calibri" w:hAnsi="Calibri"/>
          <w:sz w:val="21"/>
          <w:szCs w:val="21"/>
        </w:rPr>
        <w:t xml:space="preserve">Clean: handle missing values, remove duplicates, standardise values, add helper columns.</w:t>
      </w:r>
    </w:p>
    <w:p>
      <w:pPr>
        <w:pStyle w:val="ListParagraph"/>
        <w:numPr>
          <w:ilvl w:val="0"/>
          <w:numId w:val="2"/>
        </w:numPr>
        <w:spacing w:after="70" w:line="270"/>
      </w:pPr>
      <w:r>
        <w:rPr>
          <w:rFonts w:ascii="Calibri" w:cs="Calibri" w:eastAsia="Calibri" w:hAnsi="Calibri"/>
          <w:sz w:val="21"/>
          <w:szCs w:val="21"/>
        </w:rPr>
        <w:t xml:space="preserve">Analyse: one pivot table per question, each on its own sheet, with a log entry (method, result, insight, recommendation, limitation).</w:t>
      </w:r>
    </w:p>
    <w:p>
      <w:pPr>
        <w:pStyle w:val="ListParagraph"/>
        <w:numPr>
          <w:ilvl w:val="0"/>
          <w:numId w:val="2"/>
        </w:numPr>
        <w:spacing w:after="70" w:line="270"/>
      </w:pPr>
      <w:r>
        <w:rPr>
          <w:rFonts w:ascii="Calibri" w:cs="Calibri" w:eastAsia="Calibri" w:hAnsi="Calibri"/>
          <w:sz w:val="21"/>
          <w:szCs w:val="21"/>
        </w:rPr>
        <w:t xml:space="preserve">Dashboard: charts and slicers on one sheet, with KPI cards linked to a pivot so they respond to slicers.</w:t>
      </w:r>
    </w:p>
    <w:p>
      <w:pPr>
        <w:pStyle w:val="ListParagraph"/>
        <w:numPr>
          <w:ilvl w:val="0"/>
          <w:numId w:val="2"/>
        </w:numPr>
        <w:spacing w:after="70" w:line="270"/>
      </w:pPr>
      <w:r>
        <w:rPr>
          <w:rFonts w:ascii="Calibri" w:cs="Calibri" w:eastAsia="Calibri" w:hAnsi="Calibri"/>
          <w:sz w:val="21"/>
          <w:szCs w:val="21"/>
        </w:rPr>
        <w:t xml:space="preserve">Report: this document.</w:t>
      </w:r>
    </w:p>
    <w:p>
      <w:pPr>
        <w:spacing w:after="120" w:before="100"/>
      </w:pPr>
      <w:r>
        <w:rPr>
          <w:rFonts w:ascii="Calibri" w:cs="Calibri" w:eastAsia="Calibri" w:hAnsi="Calibri"/>
          <w:sz w:val="21"/>
          <w:szCs w:val="21"/>
        </w:rPr>
        <w:t xml:space="preserve">Workbook sheets: Raw file (kept separately), Clean_Data (table tbl_Hospital), Data_Quality, Project_Log, one sheet per question, KPI_Pivot, Dashboard_Calc and Dashboard.</w:t>
      </w:r>
    </w:p>
    <w:p>
      <w:pPr>
        <w:pStyle w:val="Heading1"/>
        <w:spacing w:after="160" w:before="360"/>
      </w:pPr>
      <w:r>
        <w:rPr>
          <w:rFonts w:ascii="Calibri" w:cs="Calibri" w:eastAsia="Calibri" w:hAnsi="Calibri"/>
          <w:b/>
          <w:bCs/>
          <w:color w:val="185953"/>
          <w:sz w:val="32"/>
          <w:szCs w:val="32"/>
        </w:rPr>
        <w:t xml:space="preserve">6. Data understanding and cleaning</w:t>
      </w:r>
    </w:p>
    <w:p>
      <w:pPr>
        <w:pStyle w:val="Heading2"/>
        <w:spacing w:after="120" w:before="280"/>
      </w:pPr>
      <w:r>
        <w:rPr>
          <w:rFonts w:ascii="Calibri" w:cs="Calibri" w:eastAsia="Calibri" w:hAnsi="Calibri"/>
          <w:b/>
          <w:bCs/>
          <w:color w:val="1F7363"/>
          <w:sz w:val="25"/>
          <w:szCs w:val="25"/>
        </w:rPr>
        <w:t xml:space="preserve">6.1 Data understanding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blHeader/>
        </w:trPr>
        <w:tc>
          <w:tcPr>
            <w:tcW w:type="dxa" w:w="3000"/>
            <w:tcBorders>
              <w:top w:val="single" w:color="B7CFC9" w:sz="4"/>
              <w:left w:val="single" w:color="B7CFC9" w:sz="4"/>
              <w:bottom w:val="single" w:color="B7CFC9" w:sz="4"/>
              <w:right w:val="single" w:color="B7CFC9" w:sz="4"/>
            </w:tcBorders>
            <w:shd w:fill="185953" w:color="auto" w:val="clear"/>
            <w:tcMar>
              <w:top w:type="dxa" w:w="70"/>
              <w:left w:type="dxa" w:w="110"/>
              <w:bottom w:type="dxa" w:w="70"/>
              <w:right w:type="dxa" w:w="110"/>
            </w:tcMar>
          </w:tcPr>
          <w:p>
            <w:pPr>
              <w:spacing w:after="40" w:line="260"/>
            </w:pPr>
            <w:r>
              <w:rPr>
                <w:rFonts w:ascii="Calibri" w:cs="Calibri" w:eastAsia="Calibri" w:hAnsi="Calibri"/>
                <w:b/>
                <w:bCs/>
                <w:color w:val="FFFFFF"/>
                <w:sz w:val="20"/>
                <w:szCs w:val="20"/>
              </w:rPr>
              <w:t xml:space="preserve">Check</w:t>
            </w:r>
          </w:p>
        </w:tc>
        <w:tc>
          <w:tcPr>
            <w:tcW w:type="dxa" w:w="6026"/>
            <w:tcBorders>
              <w:top w:val="single" w:color="B7CFC9" w:sz="4"/>
              <w:left w:val="single" w:color="B7CFC9" w:sz="4"/>
              <w:bottom w:val="single" w:color="B7CFC9" w:sz="4"/>
              <w:right w:val="single" w:color="B7CFC9" w:sz="4"/>
            </w:tcBorders>
            <w:shd w:fill="185953" w:color="auto" w:val="clear"/>
            <w:tcMar>
              <w:top w:type="dxa" w:w="70"/>
              <w:left w:type="dxa" w:w="110"/>
              <w:bottom w:type="dxa" w:w="70"/>
              <w:right w:type="dxa" w:w="110"/>
            </w:tcMar>
          </w:tcPr>
          <w:p>
            <w:pPr>
              <w:spacing w:after="40" w:line="260"/>
            </w:pPr>
            <w:r>
              <w:rPr>
                <w:rFonts w:ascii="Calibri" w:cs="Calibri" w:eastAsia="Calibri" w:hAnsi="Calibri"/>
                <w:b/>
                <w:bCs/>
                <w:color w:val="FFFFFF"/>
                <w:sz w:val="20"/>
                <w:szCs w:val="20"/>
              </w:rPr>
              <w:t xml:space="preserve">Finding</w:t>
            </w:r>
          </w:p>
        </w:tc>
      </w:tr>
      <w:tr>
        <w:trPr>
          <w:cantSplit/>
          <w:tblHeader w:val="false"/>
        </w:trPr>
        <w:tc>
          <w:tcPr>
            <w:tcW w:type="dxa" w:w="3000"/>
            <w:tcBorders>
              <w:top w:val="single" w:color="B7CFC9" w:sz="4"/>
              <w:left w:val="single" w:color="B7CFC9" w:sz="4"/>
              <w:bottom w:val="single" w:color="B7CFC9" w:sz="4"/>
              <w:right w:val="single" w:color="B7CFC9" w:sz="4"/>
            </w:tcBorders>
            <w:tcMar>
              <w:top w:type="dxa" w:w="70"/>
              <w:left w:type="dxa" w:w="110"/>
              <w:bottom w:type="dxa" w:w="70"/>
              <w:right w:type="dxa" w:w="110"/>
            </w:tcMar>
          </w:tcPr>
          <w:p>
            <w:pPr>
              <w:spacing w:after="40" w:line="260"/>
            </w:pPr>
            <w:r>
              <w:rPr>
                <w:rFonts w:ascii="Calibri" w:cs="Calibri" w:eastAsia="Calibri" w:hAnsi="Calibri"/>
                <w:b w:val="false"/>
                <w:bCs w:val="false"/>
                <w:sz w:val="20"/>
                <w:szCs w:val="20"/>
              </w:rPr>
              <w:t xml:space="preserve">Size at load</w:t>
            </w:r>
          </w:p>
        </w:tc>
        <w:tc>
          <w:tcPr>
            <w:tcW w:type="dxa" w:w="6026"/>
            <w:tcBorders>
              <w:top w:val="single" w:color="B7CFC9" w:sz="4"/>
              <w:left w:val="single" w:color="B7CFC9" w:sz="4"/>
              <w:bottom w:val="single" w:color="B7CFC9" w:sz="4"/>
              <w:right w:val="single" w:color="B7CFC9" w:sz="4"/>
            </w:tcBorders>
            <w:tcMar>
              <w:top w:type="dxa" w:w="70"/>
              <w:left w:type="dxa" w:w="110"/>
              <w:bottom w:type="dxa" w:w="70"/>
              <w:right w:type="dxa" w:w="110"/>
            </w:tcMar>
          </w:tcPr>
          <w:p>
            <w:pPr>
              <w:spacing w:after="40" w:line="260"/>
            </w:pPr>
            <w:r>
              <w:rPr>
                <w:rFonts w:ascii="Calibri" w:cs="Calibri" w:eastAsia="Calibri" w:hAnsi="Calibri"/>
                <w:b w:val="false"/>
                <w:bCs w:val="false"/>
                <w:sz w:val="20"/>
                <w:szCs w:val="20"/>
              </w:rPr>
              <w:t xml:space="preserve">66,587 rows and 49 columns.</w:t>
            </w:r>
          </w:p>
        </w:tc>
      </w:tr>
      <w:tr>
        <w:trPr>
          <w:cantSplit/>
          <w:tblHeader w:val="false"/>
        </w:trPr>
        <w:tc>
          <w:tcPr>
            <w:tcW w:type="dxa" w:w="3000"/>
            <w:tcBorders>
              <w:top w:val="single" w:color="B7CFC9" w:sz="4"/>
              <w:left w:val="single" w:color="B7CFC9" w:sz="4"/>
              <w:bottom w:val="single" w:color="B7CFC9" w:sz="4"/>
              <w:right w:val="single" w:color="B7CFC9" w:sz="4"/>
            </w:tcBorders>
            <w:tcMar>
              <w:top w:type="dxa" w:w="70"/>
              <w:left w:type="dxa" w:w="110"/>
              <w:bottom w:type="dxa" w:w="70"/>
              <w:right w:type="dxa" w:w="110"/>
            </w:tcMar>
          </w:tcPr>
          <w:p>
            <w:pPr>
              <w:spacing w:after="40" w:line="260"/>
            </w:pPr>
            <w:r>
              <w:rPr>
                <w:rFonts w:ascii="Calibri" w:cs="Calibri" w:eastAsia="Calibri" w:hAnsi="Calibri"/>
                <w:b w:val="false"/>
                <w:bCs w:val="false"/>
                <w:sz w:val="20"/>
                <w:szCs w:val="20"/>
              </w:rPr>
              <w:t xml:space="preserve">Columns removed (49 to 46)</w:t>
            </w:r>
          </w:p>
        </w:tc>
        <w:tc>
          <w:tcPr>
            <w:tcW w:type="dxa" w:w="6026"/>
            <w:tcBorders>
              <w:top w:val="single" w:color="B7CFC9" w:sz="4"/>
              <w:left w:val="single" w:color="B7CFC9" w:sz="4"/>
              <w:bottom w:val="single" w:color="B7CFC9" w:sz="4"/>
              <w:right w:val="single" w:color="B7CFC9" w:sz="4"/>
            </w:tcBorders>
            <w:tcMar>
              <w:top w:type="dxa" w:w="70"/>
              <w:left w:type="dxa" w:w="110"/>
              <w:bottom w:type="dxa" w:w="70"/>
              <w:right w:type="dxa" w:w="110"/>
            </w:tcMar>
          </w:tcPr>
          <w:p>
            <w:pPr>
              <w:spacing w:after="40" w:line="260"/>
            </w:pPr>
            <w:r>
              <w:rPr>
                <w:rFonts w:ascii="Calibri" w:cs="Calibri" w:eastAsia="Calibri" w:hAnsi="Calibri"/>
                <w:b w:val="false"/>
                <w:bCs w:val="false"/>
                <w:sz w:val="20"/>
                <w:szCs w:val="20"/>
              </w:rPr>
              <w:t xml:space="preserve">index (row counter), diag_4 (duplicate of diag_3), diag_5 (non-diagnostic decimal values).</w:t>
            </w:r>
          </w:p>
        </w:tc>
      </w:tr>
      <w:tr>
        <w:trPr>
          <w:cantSplit/>
          <w:tblHeader w:val="false"/>
        </w:trPr>
        <w:tc>
          <w:tcPr>
            <w:tcW w:type="dxa" w:w="3000"/>
            <w:tcBorders>
              <w:top w:val="single" w:color="B7CFC9" w:sz="4"/>
              <w:left w:val="single" w:color="B7CFC9" w:sz="4"/>
              <w:bottom w:val="single" w:color="B7CFC9" w:sz="4"/>
              <w:right w:val="single" w:color="B7CFC9" w:sz="4"/>
            </w:tcBorders>
            <w:tcMar>
              <w:top w:type="dxa" w:w="70"/>
              <w:left w:type="dxa" w:w="110"/>
              <w:bottom w:type="dxa" w:w="70"/>
              <w:right w:type="dxa" w:w="110"/>
            </w:tcMar>
          </w:tcPr>
          <w:p>
            <w:pPr>
              <w:spacing w:after="40" w:line="260"/>
            </w:pPr>
            <w:r>
              <w:rPr>
                <w:rFonts w:ascii="Calibri" w:cs="Calibri" w:eastAsia="Calibri" w:hAnsi="Calibri"/>
                <w:b w:val="false"/>
                <w:bCs w:val="false"/>
                <w:sz w:val="20"/>
                <w:szCs w:val="20"/>
              </w:rPr>
              <w:t xml:space="preserve">Duplicates</w:t>
            </w:r>
          </w:p>
        </w:tc>
        <w:tc>
          <w:tcPr>
            <w:tcW w:type="dxa" w:w="6026"/>
            <w:tcBorders>
              <w:top w:val="single" w:color="B7CFC9" w:sz="4"/>
              <w:left w:val="single" w:color="B7CFC9" w:sz="4"/>
              <w:bottom w:val="single" w:color="B7CFC9" w:sz="4"/>
              <w:right w:val="single" w:color="B7CFC9" w:sz="4"/>
            </w:tcBorders>
            <w:tcMar>
              <w:top w:type="dxa" w:w="70"/>
              <w:left w:type="dxa" w:w="110"/>
              <w:bottom w:type="dxa" w:w="70"/>
              <w:right w:type="dxa" w:w="110"/>
            </w:tcMar>
          </w:tcPr>
          <w:p>
            <w:pPr>
              <w:spacing w:after="40" w:line="260"/>
            </w:pPr>
            <w:r>
              <w:rPr>
                <w:rFonts w:ascii="Calibri" w:cs="Calibri" w:eastAsia="Calibri" w:hAnsi="Calibri"/>
                <w:b w:val="false"/>
                <w:bCs w:val="false"/>
                <w:sz w:val="20"/>
                <w:szCs w:val="20"/>
              </w:rPr>
              <w:t xml:space="preserve">17,676 exact duplicate rows (all columns identical), leaving 48,911 unique encounters.</w:t>
            </w:r>
          </w:p>
        </w:tc>
      </w:tr>
      <w:tr>
        <w:trPr>
          <w:cantSplit/>
          <w:tblHeader w:val="false"/>
        </w:trPr>
        <w:tc>
          <w:tcPr>
            <w:tcW w:type="dxa" w:w="3000"/>
            <w:tcBorders>
              <w:top w:val="single" w:color="B7CFC9" w:sz="4"/>
              <w:left w:val="single" w:color="B7CFC9" w:sz="4"/>
              <w:bottom w:val="single" w:color="B7CFC9" w:sz="4"/>
              <w:right w:val="single" w:color="B7CFC9" w:sz="4"/>
            </w:tcBorders>
            <w:tcMar>
              <w:top w:type="dxa" w:w="70"/>
              <w:left w:type="dxa" w:w="110"/>
              <w:bottom w:type="dxa" w:w="70"/>
              <w:right w:type="dxa" w:w="110"/>
            </w:tcMar>
          </w:tcPr>
          <w:p>
            <w:pPr>
              <w:spacing w:after="40" w:line="260"/>
            </w:pPr>
            <w:r>
              <w:rPr>
                <w:rFonts w:ascii="Calibri" w:cs="Calibri" w:eastAsia="Calibri" w:hAnsi="Calibri"/>
                <w:b w:val="false"/>
                <w:bCs w:val="false"/>
                <w:sz w:val="20"/>
                <w:szCs w:val="20"/>
              </w:rPr>
              <w:t xml:space="preserve">Missing values</w:t>
            </w:r>
          </w:p>
        </w:tc>
        <w:tc>
          <w:tcPr>
            <w:tcW w:type="dxa" w:w="6026"/>
            <w:tcBorders>
              <w:top w:val="single" w:color="B7CFC9" w:sz="4"/>
              <w:left w:val="single" w:color="B7CFC9" w:sz="4"/>
              <w:bottom w:val="single" w:color="B7CFC9" w:sz="4"/>
              <w:right w:val="single" w:color="B7CFC9" w:sz="4"/>
            </w:tcBorders>
            <w:tcMar>
              <w:top w:type="dxa" w:w="70"/>
              <w:left w:type="dxa" w:w="110"/>
              <w:bottom w:type="dxa" w:w="70"/>
              <w:right w:type="dxa" w:w="110"/>
            </w:tcMar>
          </w:tcPr>
          <w:p>
            <w:pPr>
              <w:spacing w:after="40" w:line="260"/>
            </w:pPr>
            <w:r>
              <w:rPr>
                <w:rFonts w:ascii="Calibri" w:cs="Calibri" w:eastAsia="Calibri" w:hAnsi="Calibri"/>
                <w:b w:val="false"/>
                <w:bCs w:val="false"/>
                <w:sz w:val="20"/>
                <w:szCs w:val="20"/>
              </w:rPr>
              <w:t xml:space="preserve">Question marks only: weight 96.8%, medical_specialty 49.0%, race 2.3%, diag_3 1.4%, diag_2 0.4%, diag_1 0.02%. No blank cells anywhere.</w:t>
            </w:r>
          </w:p>
        </w:tc>
      </w:tr>
      <w:tr>
        <w:trPr>
          <w:cantSplit/>
          <w:tblHeader w:val="false"/>
        </w:trPr>
        <w:tc>
          <w:tcPr>
            <w:tcW w:type="dxa" w:w="3000"/>
            <w:tcBorders>
              <w:top w:val="single" w:color="B7CFC9" w:sz="4"/>
              <w:left w:val="single" w:color="B7CFC9" w:sz="4"/>
              <w:bottom w:val="single" w:color="B7CFC9" w:sz="4"/>
              <w:right w:val="single" w:color="B7CFC9" w:sz="4"/>
            </w:tcBorders>
            <w:tcMar>
              <w:top w:type="dxa" w:w="70"/>
              <w:left w:type="dxa" w:w="110"/>
              <w:bottom w:type="dxa" w:w="70"/>
              <w:right w:type="dxa" w:w="110"/>
            </w:tcMar>
          </w:tcPr>
          <w:p>
            <w:pPr>
              <w:spacing w:after="40" w:line="260"/>
            </w:pPr>
            <w:r>
              <w:rPr>
                <w:rFonts w:ascii="Calibri" w:cs="Calibri" w:eastAsia="Calibri" w:hAnsi="Calibri"/>
                <w:b w:val="false"/>
                <w:bCs w:val="false"/>
                <w:sz w:val="20"/>
                <w:szCs w:val="20"/>
              </w:rPr>
              <w:t xml:space="preserve">Data types</w:t>
            </w:r>
          </w:p>
        </w:tc>
        <w:tc>
          <w:tcPr>
            <w:tcW w:type="dxa" w:w="6026"/>
            <w:tcBorders>
              <w:top w:val="single" w:color="B7CFC9" w:sz="4"/>
              <w:left w:val="single" w:color="B7CFC9" w:sz="4"/>
              <w:bottom w:val="single" w:color="B7CFC9" w:sz="4"/>
              <w:right w:val="single" w:color="B7CFC9" w:sz="4"/>
            </w:tcBorders>
            <w:tcMar>
              <w:top w:type="dxa" w:w="70"/>
              <w:left w:type="dxa" w:w="110"/>
              <w:bottom w:type="dxa" w:w="70"/>
              <w:right w:type="dxa" w:w="110"/>
            </w:tcMar>
          </w:tcPr>
          <w:p>
            <w:pPr>
              <w:spacing w:after="40" w:line="260"/>
            </w:pPr>
            <w:r>
              <w:rPr>
                <w:rFonts w:ascii="Calibri" w:cs="Calibri" w:eastAsia="Calibri" w:hAnsi="Calibri"/>
                <w:b w:val="false"/>
                <w:bCs w:val="false"/>
                <w:sz w:val="20"/>
                <w:szCs w:val="20"/>
              </w:rPr>
              <w:t xml:space="preserve">All numeric columns stored correctly. Categorical columns are text. diag_1 to diag_3 hold a mix of numeric and letter-coded values.</w:t>
            </w:r>
          </w:p>
        </w:tc>
      </w:tr>
    </w:tbl>
    <w:p>
      <w:pPr>
        <w:pStyle w:val="Heading2"/>
        <w:spacing w:after="120" w:before="280"/>
      </w:pPr>
      <w:r>
        <w:rPr>
          <w:rFonts w:ascii="Calibri" w:cs="Calibri" w:eastAsia="Calibri" w:hAnsi="Calibri"/>
          <w:b/>
          <w:bCs/>
          <w:color w:val="1F7363"/>
          <w:sz w:val="25"/>
          <w:szCs w:val="25"/>
        </w:rPr>
        <w:t xml:space="preserve">6.2 Cleaning log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blHeader/>
        </w:trPr>
        <w:tc>
          <w:tcPr>
            <w:tcW w:type="dxa" w:w="3000"/>
            <w:tcBorders>
              <w:top w:val="single" w:color="B7CFC9" w:sz="4"/>
              <w:left w:val="single" w:color="B7CFC9" w:sz="4"/>
              <w:bottom w:val="single" w:color="B7CFC9" w:sz="4"/>
              <w:right w:val="single" w:color="B7CFC9" w:sz="4"/>
            </w:tcBorders>
            <w:shd w:fill="185953" w:color="auto" w:val="clear"/>
            <w:tcMar>
              <w:top w:type="dxa" w:w="70"/>
              <w:left w:type="dxa" w:w="110"/>
              <w:bottom w:type="dxa" w:w="70"/>
              <w:right w:type="dxa" w:w="110"/>
            </w:tcMar>
          </w:tcPr>
          <w:p>
            <w:pPr>
              <w:spacing w:after="40" w:line="260"/>
            </w:pPr>
            <w:r>
              <w:rPr>
                <w:rFonts w:ascii="Calibri" w:cs="Calibri" w:eastAsia="Calibri" w:hAnsi="Calibri"/>
                <w:b/>
                <w:bCs/>
                <w:color w:val="FFFFFF"/>
                <w:sz w:val="20"/>
                <w:szCs w:val="20"/>
              </w:rPr>
              <w:t xml:space="preserve">Step</w:t>
            </w:r>
          </w:p>
        </w:tc>
        <w:tc>
          <w:tcPr>
            <w:tcW w:type="dxa" w:w="6026"/>
            <w:tcBorders>
              <w:top w:val="single" w:color="B7CFC9" w:sz="4"/>
              <w:left w:val="single" w:color="B7CFC9" w:sz="4"/>
              <w:bottom w:val="single" w:color="B7CFC9" w:sz="4"/>
              <w:right w:val="single" w:color="B7CFC9" w:sz="4"/>
            </w:tcBorders>
            <w:shd w:fill="185953" w:color="auto" w:val="clear"/>
            <w:tcMar>
              <w:top w:type="dxa" w:w="70"/>
              <w:left w:type="dxa" w:w="110"/>
              <w:bottom w:type="dxa" w:w="70"/>
              <w:right w:type="dxa" w:w="110"/>
            </w:tcMar>
          </w:tcPr>
          <w:p>
            <w:pPr>
              <w:spacing w:after="40" w:line="260"/>
            </w:pPr>
            <w:r>
              <w:rPr>
                <w:rFonts w:ascii="Calibri" w:cs="Calibri" w:eastAsia="Calibri" w:hAnsi="Calibri"/>
                <w:b/>
                <w:bCs/>
                <w:color w:val="FFFFFF"/>
                <w:sz w:val="20"/>
                <w:szCs w:val="20"/>
              </w:rPr>
              <w:t xml:space="preserve">Action</w:t>
            </w:r>
          </w:p>
        </w:tc>
      </w:tr>
      <w:tr>
        <w:trPr>
          <w:cantSplit/>
          <w:tblHeader w:val="false"/>
        </w:trPr>
        <w:tc>
          <w:tcPr>
            <w:tcW w:type="dxa" w:w="3000"/>
            <w:tcBorders>
              <w:top w:val="single" w:color="B7CFC9" w:sz="4"/>
              <w:left w:val="single" w:color="B7CFC9" w:sz="4"/>
              <w:bottom w:val="single" w:color="B7CFC9" w:sz="4"/>
              <w:right w:val="single" w:color="B7CFC9" w:sz="4"/>
            </w:tcBorders>
            <w:tcMar>
              <w:top w:type="dxa" w:w="70"/>
              <w:left w:type="dxa" w:w="110"/>
              <w:bottom w:type="dxa" w:w="70"/>
              <w:right w:type="dxa" w:w="110"/>
            </w:tcMar>
          </w:tcPr>
          <w:p>
            <w:pPr>
              <w:spacing w:after="40" w:line="260"/>
            </w:pPr>
            <w:r>
              <w:rPr>
                <w:rFonts w:ascii="Calibri" w:cs="Calibri" w:eastAsia="Calibri" w:hAnsi="Calibri"/>
                <w:b w:val="false"/>
                <w:bCs w:val="false"/>
                <w:sz w:val="20"/>
                <w:szCs w:val="20"/>
              </w:rPr>
              <w:t xml:space="preserve">Missing values</w:t>
            </w:r>
          </w:p>
        </w:tc>
        <w:tc>
          <w:tcPr>
            <w:tcW w:type="dxa" w:w="6026"/>
            <w:tcBorders>
              <w:top w:val="single" w:color="B7CFC9" w:sz="4"/>
              <w:left w:val="single" w:color="B7CFC9" w:sz="4"/>
              <w:bottom w:val="single" w:color="B7CFC9" w:sz="4"/>
              <w:right w:val="single" w:color="B7CFC9" w:sz="4"/>
            </w:tcBorders>
            <w:tcMar>
              <w:top w:type="dxa" w:w="70"/>
              <w:left w:type="dxa" w:w="110"/>
              <w:bottom w:type="dxa" w:w="70"/>
              <w:right w:type="dxa" w:w="110"/>
            </w:tcMar>
          </w:tcPr>
          <w:p>
            <w:pPr>
              <w:spacing w:after="40" w:line="260"/>
            </w:pPr>
            <w:r>
              <w:rPr>
                <w:rFonts w:ascii="Calibri" w:cs="Calibri" w:eastAsia="Calibri" w:hAnsi="Calibri"/>
                <w:b w:val="false"/>
                <w:bCs w:val="false"/>
                <w:sz w:val="20"/>
                <w:szCs w:val="20"/>
              </w:rPr>
              <w:t xml:space="preserve">Replaced ? with Unknown in race (1,114), medical_specialty (23,983), diag_1 (11), diag_2 (172) and diag_3 (685).</w:t>
            </w:r>
          </w:p>
        </w:tc>
      </w:tr>
      <w:tr>
        <w:trPr>
          <w:cantSplit/>
          <w:tblHeader w:val="false"/>
        </w:trPr>
        <w:tc>
          <w:tcPr>
            <w:tcW w:type="dxa" w:w="3000"/>
            <w:tcBorders>
              <w:top w:val="single" w:color="B7CFC9" w:sz="4"/>
              <w:left w:val="single" w:color="B7CFC9" w:sz="4"/>
              <w:bottom w:val="single" w:color="B7CFC9" w:sz="4"/>
              <w:right w:val="single" w:color="B7CFC9" w:sz="4"/>
            </w:tcBorders>
            <w:tcMar>
              <w:top w:type="dxa" w:w="70"/>
              <w:left w:type="dxa" w:w="110"/>
              <w:bottom w:type="dxa" w:w="70"/>
              <w:right w:type="dxa" w:w="110"/>
            </w:tcMar>
          </w:tcPr>
          <w:p>
            <w:pPr>
              <w:spacing w:after="40" w:line="260"/>
            </w:pPr>
            <w:r>
              <w:rPr>
                <w:rFonts w:ascii="Calibri" w:cs="Calibri" w:eastAsia="Calibri" w:hAnsi="Calibri"/>
                <w:b w:val="false"/>
                <w:bCs w:val="false"/>
                <w:sz w:val="20"/>
                <w:szCs w:val="20"/>
              </w:rPr>
              <w:t xml:space="preserve">Weight</w:t>
            </w:r>
          </w:p>
        </w:tc>
        <w:tc>
          <w:tcPr>
            <w:tcW w:type="dxa" w:w="6026"/>
            <w:tcBorders>
              <w:top w:val="single" w:color="B7CFC9" w:sz="4"/>
              <w:left w:val="single" w:color="B7CFC9" w:sz="4"/>
              <w:bottom w:val="single" w:color="B7CFC9" w:sz="4"/>
              <w:right w:val="single" w:color="B7CFC9" w:sz="4"/>
            </w:tcBorders>
            <w:tcMar>
              <w:top w:type="dxa" w:w="70"/>
              <w:left w:type="dxa" w:w="110"/>
              <w:bottom w:type="dxa" w:w="70"/>
              <w:right w:type="dxa" w:w="110"/>
            </w:tcMar>
          </w:tcPr>
          <w:p>
            <w:pPr>
              <w:spacing w:after="40" w:line="260"/>
            </w:pPr>
            <w:r>
              <w:rPr>
                <w:rFonts w:ascii="Calibri" w:cs="Calibri" w:eastAsia="Calibri" w:hAnsi="Calibri"/>
                <w:b w:val="false"/>
                <w:bCs w:val="false"/>
                <w:sz w:val="20"/>
                <w:szCs w:val="20"/>
              </w:rPr>
              <w:t xml:space="preserve">Deleted the weight column from the working table (96.8% missing). Weight was later re-joined from the raw file for a small-sample analysis (Basic Q8, Medium Q8).</w:t>
            </w:r>
          </w:p>
        </w:tc>
      </w:tr>
      <w:tr>
        <w:trPr>
          <w:cantSplit/>
          <w:tblHeader w:val="false"/>
        </w:trPr>
        <w:tc>
          <w:tcPr>
            <w:tcW w:type="dxa" w:w="3000"/>
            <w:tcBorders>
              <w:top w:val="single" w:color="B7CFC9" w:sz="4"/>
              <w:left w:val="single" w:color="B7CFC9" w:sz="4"/>
              <w:bottom w:val="single" w:color="B7CFC9" w:sz="4"/>
              <w:right w:val="single" w:color="B7CFC9" w:sz="4"/>
            </w:tcBorders>
            <w:tcMar>
              <w:top w:type="dxa" w:w="70"/>
              <w:left w:type="dxa" w:w="110"/>
              <w:bottom w:type="dxa" w:w="70"/>
              <w:right w:type="dxa" w:w="110"/>
            </w:tcMar>
          </w:tcPr>
          <w:p>
            <w:pPr>
              <w:spacing w:after="40" w:line="260"/>
            </w:pPr>
            <w:r>
              <w:rPr>
                <w:rFonts w:ascii="Calibri" w:cs="Calibri" w:eastAsia="Calibri" w:hAnsi="Calibri"/>
                <w:b w:val="false"/>
                <w:bCs w:val="false"/>
                <w:sz w:val="20"/>
                <w:szCs w:val="20"/>
              </w:rPr>
              <w:t xml:space="preserve">Standardising</w:t>
            </w:r>
          </w:p>
        </w:tc>
        <w:tc>
          <w:tcPr>
            <w:tcW w:type="dxa" w:w="6026"/>
            <w:tcBorders>
              <w:top w:val="single" w:color="B7CFC9" w:sz="4"/>
              <w:left w:val="single" w:color="B7CFC9" w:sz="4"/>
              <w:bottom w:val="single" w:color="B7CFC9" w:sz="4"/>
              <w:right w:val="single" w:color="B7CFC9" w:sz="4"/>
            </w:tcBorders>
            <w:tcMar>
              <w:top w:type="dxa" w:w="70"/>
              <w:left w:type="dxa" w:w="110"/>
              <w:bottom w:type="dxa" w:w="70"/>
              <w:right w:type="dxa" w:w="110"/>
            </w:tcMar>
          </w:tcPr>
          <w:p>
            <w:pPr>
              <w:spacing w:after="40" w:line="260"/>
            </w:pPr>
            <w:r>
              <w:rPr>
                <w:rFonts w:ascii="Calibri" w:cs="Calibri" w:eastAsia="Calibri" w:hAnsi="Calibri"/>
                <w:b w:val="false"/>
                <w:bCs w:val="false"/>
                <w:sz w:val="20"/>
                <w:szCs w:val="20"/>
              </w:rPr>
              <w:t xml:space="preserve">change: Ch replaced with Yes to match the data dictionary (Yes/No).</w:t>
            </w:r>
          </w:p>
        </w:tc>
      </w:tr>
      <w:tr>
        <w:trPr>
          <w:cantSplit/>
          <w:tblHeader w:val="false"/>
        </w:trPr>
        <w:tc>
          <w:tcPr>
            <w:tcW w:type="dxa" w:w="3000"/>
            <w:tcBorders>
              <w:top w:val="single" w:color="B7CFC9" w:sz="4"/>
              <w:left w:val="single" w:color="B7CFC9" w:sz="4"/>
              <w:bottom w:val="single" w:color="B7CFC9" w:sz="4"/>
              <w:right w:val="single" w:color="B7CFC9" w:sz="4"/>
            </w:tcBorders>
            <w:tcMar>
              <w:top w:type="dxa" w:w="70"/>
              <w:left w:type="dxa" w:w="110"/>
              <w:bottom w:type="dxa" w:w="70"/>
              <w:right w:type="dxa" w:w="110"/>
            </w:tcMar>
          </w:tcPr>
          <w:p>
            <w:pPr>
              <w:spacing w:after="40" w:line="260"/>
            </w:pPr>
            <w:r>
              <w:rPr>
                <w:rFonts w:ascii="Calibri" w:cs="Calibri" w:eastAsia="Calibri" w:hAnsi="Calibri"/>
                <w:b w:val="false"/>
                <w:bCs w:val="false"/>
                <w:sz w:val="20"/>
                <w:szCs w:val="20"/>
              </w:rPr>
              <w:t xml:space="preserve">Helper columns</w:t>
            </w:r>
          </w:p>
        </w:tc>
        <w:tc>
          <w:tcPr>
            <w:tcW w:type="dxa" w:w="6026"/>
            <w:tcBorders>
              <w:top w:val="single" w:color="B7CFC9" w:sz="4"/>
              <w:left w:val="single" w:color="B7CFC9" w:sz="4"/>
              <w:bottom w:val="single" w:color="B7CFC9" w:sz="4"/>
              <w:right w:val="single" w:color="B7CFC9" w:sz="4"/>
            </w:tcBorders>
            <w:tcMar>
              <w:top w:type="dxa" w:w="70"/>
              <w:left w:type="dxa" w:w="110"/>
              <w:bottom w:type="dxa" w:w="70"/>
              <w:right w:type="dxa" w:w="110"/>
            </w:tcMar>
          </w:tcPr>
          <w:p>
            <w:pPr>
              <w:spacing w:after="40" w:line="260"/>
            </w:pPr>
            <w:r>
              <w:rPr>
                <w:rFonts w:ascii="Calibri" w:cs="Calibri" w:eastAsia="Calibri" w:hAnsi="Calibri"/>
                <w:b w:val="false"/>
                <w:bCs w:val="false"/>
                <w:sz w:val="20"/>
                <w:szCs w:val="20"/>
              </w:rPr>
              <w:t xml:space="preserve">Readmit_Status (label for the 1/0 target), Total_Prior_Visits (outpatient + emergency + inpatient), Diagnosis_Group (ICD-9 range grouping of diag_1, with Other at 18%).</w:t>
            </w:r>
          </w:p>
        </w:tc>
      </w:tr>
      <w:tr>
        <w:trPr>
          <w:cantSplit/>
          <w:tblHeader w:val="false"/>
        </w:trPr>
        <w:tc>
          <w:tcPr>
            <w:tcW w:type="dxa" w:w="3000"/>
            <w:tcBorders>
              <w:top w:val="single" w:color="B7CFC9" w:sz="4"/>
              <w:left w:val="single" w:color="B7CFC9" w:sz="4"/>
              <w:bottom w:val="single" w:color="B7CFC9" w:sz="4"/>
              <w:right w:val="single" w:color="B7CFC9" w:sz="4"/>
            </w:tcBorders>
            <w:tcMar>
              <w:top w:type="dxa" w:w="70"/>
              <w:left w:type="dxa" w:w="110"/>
              <w:bottom w:type="dxa" w:w="70"/>
              <w:right w:type="dxa" w:w="110"/>
            </w:tcMar>
          </w:tcPr>
          <w:p>
            <w:pPr>
              <w:spacing w:after="40" w:line="260"/>
            </w:pPr>
            <w:r>
              <w:rPr>
                <w:rFonts w:ascii="Calibri" w:cs="Calibri" w:eastAsia="Calibri" w:hAnsi="Calibri"/>
                <w:b w:val="false"/>
                <w:bCs w:val="false"/>
                <w:sz w:val="20"/>
                <w:szCs w:val="20"/>
              </w:rPr>
              <w:t xml:space="preserve">Later additions</w:t>
            </w:r>
          </w:p>
        </w:tc>
        <w:tc>
          <w:tcPr>
            <w:tcW w:type="dxa" w:w="6026"/>
            <w:tcBorders>
              <w:top w:val="single" w:color="B7CFC9" w:sz="4"/>
              <w:left w:val="single" w:color="B7CFC9" w:sz="4"/>
              <w:bottom w:val="single" w:color="B7CFC9" w:sz="4"/>
              <w:right w:val="single" w:color="B7CFC9" w:sz="4"/>
            </w:tcBorders>
            <w:tcMar>
              <w:top w:type="dxa" w:w="70"/>
              <w:left w:type="dxa" w:w="110"/>
              <w:bottom w:type="dxa" w:w="70"/>
              <w:right w:type="dxa" w:w="110"/>
            </w:tcMar>
          </w:tcPr>
          <w:p>
            <w:pPr>
              <w:spacing w:after="40" w:line="260"/>
            </w:pPr>
            <w:r>
              <w:rPr>
                <w:rFonts w:ascii="Calibri" w:cs="Calibri" w:eastAsia="Calibri" w:hAnsi="Calibri"/>
                <w:b w:val="false"/>
                <w:bCs w:val="false"/>
                <w:sz w:val="20"/>
                <w:szCs w:val="20"/>
              </w:rPr>
              <w:t xml:space="preserve">Weight_Band, Risk_Score, Segment and Diabetes_Flag were added for the weight analysis, risk score, segmentation and dashboard KPI cards.</w:t>
            </w:r>
          </w:p>
        </w:tc>
      </w:tr>
    </w:tbl>
    <w:p>
      <w:r>
        <w:br w:type="page"/>
      </w:r>
    </w:p>
    <w:p>
      <w:pPr>
        <w:pStyle w:val="Heading1"/>
        <w:spacing w:after="160" w:before="360"/>
      </w:pPr>
      <w:r>
        <w:rPr>
          <w:rFonts w:ascii="Calibri" w:cs="Calibri" w:eastAsia="Calibri" w:hAnsi="Calibri"/>
          <w:b/>
          <w:bCs/>
          <w:color w:val="185953"/>
          <w:sz w:val="32"/>
          <w:szCs w:val="32"/>
        </w:rPr>
        <w:t xml:space="preserve">7. Analysis and findings</w:t>
      </w:r>
    </w:p>
    <w:p>
      <w:pPr>
        <w:spacing w:after="120" w:line="276"/>
      </w:pPr>
      <w:r>
        <w:rPr>
          <w:rFonts w:ascii="Calibri" w:cs="Calibri" w:eastAsia="Calibri" w:hAnsi="Calibri"/>
          <w:sz w:val="21"/>
          <w:szCs w:val="21"/>
        </w:rPr>
        <w:t xml:space="preserve">Each question below follows the same format: question, method, result, insight, recommendation and limitation. All 25 questions from the brief are covered. Some can only be answered in part because the data lacks certain fields, and those are documented as limitations.</w:t>
      </w:r>
    </w:p>
    <w:p>
      <w:pPr>
        <w:pStyle w:val="Heading2"/>
        <w:spacing w:after="120" w:before="280"/>
      </w:pPr>
      <w:r>
        <w:rPr>
          <w:rFonts w:ascii="Calibri" w:cs="Calibri" w:eastAsia="Calibri" w:hAnsi="Calibri"/>
          <w:b/>
          <w:bCs/>
          <w:color w:val="1F7363"/>
          <w:sz w:val="25"/>
          <w:szCs w:val="25"/>
        </w:rPr>
        <w:t xml:space="preserve">7.1 Basic questions (Q1 to Q10)</w:t>
      </w:r>
    </w:p>
    <w:p>
      <w:pPr>
        <w:pStyle w:val="Heading3"/>
        <w:keepNext/>
        <w:spacing w:after="90" w:before="220"/>
      </w:pPr>
      <w:r>
        <w:rPr>
          <w:rFonts w:ascii="Calibri" w:cs="Calibri" w:eastAsia="Calibri" w:hAnsi="Calibri"/>
          <w:b/>
          <w:bCs/>
          <w:color w:val="185953"/>
          <w:sz w:val="22"/>
          <w:szCs w:val="22"/>
        </w:rPr>
        <w:t xml:space="preserve">Basic Q1: Readmission by age group</w:t>
      </w:r>
    </w:p>
    <w:p>
      <w:pPr>
        <w:keepNext/>
        <w:spacing w:after="80"/>
      </w:pPr>
      <w:r>
        <w:rPr>
          <w:rFonts w:ascii="Calibri" w:cs="Calibri" w:eastAsia="Calibri" w:hAnsi="Calibri"/>
          <w:b/>
          <w:bCs/>
          <w:i/>
          <w:iCs/>
          <w:sz w:val="21"/>
          <w:szCs w:val="21"/>
        </w:rPr>
        <w:t xml:space="preserve">Question: </w:t>
      </w:r>
      <w:r>
        <w:rPr>
          <w:rFonts w:ascii="Calibri" w:cs="Calibri" w:eastAsia="Calibri" w:hAnsi="Calibri"/>
          <w:i/>
          <w:iCs/>
          <w:sz w:val="21"/>
          <w:szCs w:val="21"/>
        </w:rPr>
        <w:t xml:space="preserve">What is the distribution of readmission rates across different age groups?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rPr>
          <w:cantSplit/>
        </w:trPr>
        <w:tc>
          <w:tcPr>
            <w:tcW w:type="dxa" w:w="1700"/>
            <w:tcBorders>
              <w:top w:val="single" w:color="B7CFC9" w:sz="4"/>
              <w:left w:val="single" w:color="B7CFC9" w:sz="4"/>
              <w:bottom w:val="single" w:color="B7CFC9" w:sz="4"/>
              <w:right w:val="single" w:color="B7CFC9" w:sz="4"/>
            </w:tcBorders>
            <w:shd w:fill="E3F1ED" w:color="auto" w:val="clear"/>
            <w:tcMar>
              <w:top w:type="dxa" w:w="70"/>
              <w:left w:type="dxa" w:w="110"/>
              <w:bottom w:type="dxa" w:w="70"/>
              <w:right w:type="dxa" w:w="110"/>
            </w:tcMar>
          </w:tcPr>
          <w:p>
            <w:pPr>
              <w:spacing w:after="40" w:line="260"/>
            </w:pPr>
            <w:r>
              <w:rPr>
                <w:rFonts w:ascii="Calibri" w:cs="Calibri" w:eastAsia="Calibri" w:hAnsi="Calibri"/>
                <w:b/>
                <w:bCs/>
                <w:color w:val="185953"/>
                <w:sz w:val="20"/>
                <w:szCs w:val="20"/>
              </w:rPr>
              <w:t xml:space="preserve">Method</w:t>
            </w:r>
          </w:p>
        </w:tc>
        <w:tc>
          <w:tcPr>
            <w:tcW w:type="dxa" w:w="7326"/>
            <w:tcBorders>
              <w:top w:val="single" w:color="B7CFC9" w:sz="4"/>
              <w:left w:val="single" w:color="B7CFC9" w:sz="4"/>
              <w:bottom w:val="single" w:color="B7CFC9" w:sz="4"/>
              <w:right w:val="single" w:color="B7CFC9" w:sz="4"/>
            </w:tcBorders>
            <w:tcMar>
              <w:top w:type="dxa" w:w="70"/>
              <w:left w:type="dxa" w:w="110"/>
              <w:bottom w:type="dxa" w:w="70"/>
              <w:right w:type="dxa" w:w="110"/>
            </w:tcMar>
          </w:tcPr>
          <w:p>
            <w:pPr>
              <w:spacing w:after="40" w:line="260"/>
            </w:pPr>
            <w:r>
              <w:rPr>
                <w:rFonts w:ascii="Calibri" w:cs="Calibri" w:eastAsia="Calibri" w:hAnsi="Calibri"/>
                <w:b w:val="false"/>
                <w:bCs w:val="false"/>
                <w:sz w:val="20"/>
                <w:szCs w:val="20"/>
              </w:rPr>
              <w:t xml:space="preserve">Pivot table (Q1_Age): age in rows, average of readmitted as the rate, plus encounter count.</w:t>
            </w:r>
          </w:p>
        </w:tc>
      </w:tr>
      <w:tr>
        <w:trPr>
          <w:cantSplit/>
        </w:trPr>
        <w:tc>
          <w:tcPr>
            <w:tcW w:type="dxa" w:w="1700"/>
            <w:tcBorders>
              <w:top w:val="single" w:color="B7CFC9" w:sz="4"/>
              <w:left w:val="single" w:color="B7CFC9" w:sz="4"/>
              <w:bottom w:val="single" w:color="B7CFC9" w:sz="4"/>
              <w:right w:val="single" w:color="B7CFC9" w:sz="4"/>
            </w:tcBorders>
            <w:shd w:fill="E3F1ED" w:color="auto" w:val="clear"/>
            <w:tcMar>
              <w:top w:type="dxa" w:w="70"/>
              <w:left w:type="dxa" w:w="110"/>
              <w:bottom w:type="dxa" w:w="70"/>
              <w:right w:type="dxa" w:w="110"/>
            </w:tcMar>
          </w:tcPr>
          <w:p>
            <w:pPr>
              <w:spacing w:after="40" w:line="260"/>
            </w:pPr>
            <w:r>
              <w:rPr>
                <w:rFonts w:ascii="Calibri" w:cs="Calibri" w:eastAsia="Calibri" w:hAnsi="Calibri"/>
                <w:b/>
                <w:bCs/>
                <w:color w:val="185953"/>
                <w:sz w:val="20"/>
                <w:szCs w:val="20"/>
              </w:rPr>
              <w:t xml:space="preserve">Result</w:t>
            </w:r>
          </w:p>
        </w:tc>
        <w:tc>
          <w:tcPr>
            <w:tcW w:type="dxa" w:w="7326"/>
            <w:tcBorders>
              <w:top w:val="single" w:color="B7CFC9" w:sz="4"/>
              <w:left w:val="single" w:color="B7CFC9" w:sz="4"/>
              <w:bottom w:val="single" w:color="B7CFC9" w:sz="4"/>
              <w:right w:val="single" w:color="B7CFC9" w:sz="4"/>
            </w:tcBorders>
            <w:tcMar>
              <w:top w:type="dxa" w:w="70"/>
              <w:left w:type="dxa" w:w="110"/>
              <w:bottom w:type="dxa" w:w="70"/>
              <w:right w:type="dxa" w:w="110"/>
            </w:tcMar>
          </w:tcPr>
          <w:p>
            <w:pPr>
              <w:spacing w:after="40" w:line="260"/>
            </w:pPr>
            <w:r>
              <w:rPr>
                <w:rFonts w:ascii="Calibri" w:cs="Calibri" w:eastAsia="Calibri" w:hAnsi="Calibri"/>
                <w:b w:val="false"/>
                <w:bCs w:val="false"/>
                <w:sz w:val="20"/>
                <w:szCs w:val="20"/>
              </w:rPr>
              <w:t xml:space="preserve">Overall rate 46.2%. Highest: 70-80 (48.2%), 80-90 (47.8%), 60-70 (46.7%). Lowest: 0-10 (19.5%, only 77 encounters, unreliable) and 90-100 (38.7%).</w:t>
            </w:r>
          </w:p>
        </w:tc>
      </w:tr>
      <w:tr>
        <w:trPr>
          <w:cantSplit/>
        </w:trPr>
        <w:tc>
          <w:tcPr>
            <w:tcW w:type="dxa" w:w="1700"/>
            <w:tcBorders>
              <w:top w:val="single" w:color="B7CFC9" w:sz="4"/>
              <w:left w:val="single" w:color="B7CFC9" w:sz="4"/>
              <w:bottom w:val="single" w:color="B7CFC9" w:sz="4"/>
              <w:right w:val="single" w:color="B7CFC9" w:sz="4"/>
            </w:tcBorders>
            <w:shd w:fill="E3F1ED" w:color="auto" w:val="clear"/>
            <w:tcMar>
              <w:top w:type="dxa" w:w="70"/>
              <w:left w:type="dxa" w:w="110"/>
              <w:bottom w:type="dxa" w:w="70"/>
              <w:right w:type="dxa" w:w="110"/>
            </w:tcMar>
          </w:tcPr>
          <w:p>
            <w:pPr>
              <w:spacing w:after="40" w:line="260"/>
            </w:pPr>
            <w:r>
              <w:rPr>
                <w:rFonts w:ascii="Calibri" w:cs="Calibri" w:eastAsia="Calibri" w:hAnsi="Calibri"/>
                <w:b/>
                <w:bCs/>
                <w:color w:val="185953"/>
                <w:sz w:val="20"/>
                <w:szCs w:val="20"/>
              </w:rPr>
              <w:t xml:space="preserve">Insight</w:t>
            </w:r>
          </w:p>
        </w:tc>
        <w:tc>
          <w:tcPr>
            <w:tcW w:type="dxa" w:w="7326"/>
            <w:tcBorders>
              <w:top w:val="single" w:color="B7CFC9" w:sz="4"/>
              <w:left w:val="single" w:color="B7CFC9" w:sz="4"/>
              <w:bottom w:val="single" w:color="B7CFC9" w:sz="4"/>
              <w:right w:val="single" w:color="B7CFC9" w:sz="4"/>
            </w:tcBorders>
            <w:tcMar>
              <w:top w:type="dxa" w:w="70"/>
              <w:left w:type="dxa" w:w="110"/>
              <w:bottom w:type="dxa" w:w="70"/>
              <w:right w:type="dxa" w:w="110"/>
            </w:tcMar>
          </w:tcPr>
          <w:p>
            <w:pPr>
              <w:spacing w:after="40" w:line="260"/>
            </w:pPr>
            <w:r>
              <w:rPr>
                <w:rFonts w:ascii="Calibri" w:cs="Calibri" w:eastAsia="Calibri" w:hAnsi="Calibri"/>
                <w:b w:val="false"/>
                <w:bCs w:val="false"/>
                <w:sz w:val="20"/>
                <w:szCs w:val="20"/>
              </w:rPr>
              <w:t xml:space="preserve">Readmission risk rises with age and peaks at 60-90, the groups that also hold 81.7% of all encounters.</w:t>
            </w:r>
          </w:p>
        </w:tc>
      </w:tr>
      <w:tr>
        <w:trPr>
          <w:cantSplit/>
        </w:trPr>
        <w:tc>
          <w:tcPr>
            <w:tcW w:type="dxa" w:w="1700"/>
            <w:tcBorders>
              <w:top w:val="single" w:color="B7CFC9" w:sz="4"/>
              <w:left w:val="single" w:color="B7CFC9" w:sz="4"/>
              <w:bottom w:val="single" w:color="B7CFC9" w:sz="4"/>
              <w:right w:val="single" w:color="B7CFC9" w:sz="4"/>
            </w:tcBorders>
            <w:shd w:fill="E3F1ED" w:color="auto" w:val="clear"/>
            <w:tcMar>
              <w:top w:type="dxa" w:w="70"/>
              <w:left w:type="dxa" w:w="110"/>
              <w:bottom w:type="dxa" w:w="70"/>
              <w:right w:type="dxa" w:w="110"/>
            </w:tcMar>
          </w:tcPr>
          <w:p>
            <w:pPr>
              <w:spacing w:after="40" w:line="260"/>
            </w:pPr>
            <w:r>
              <w:rPr>
                <w:rFonts w:ascii="Calibri" w:cs="Calibri" w:eastAsia="Calibri" w:hAnsi="Calibri"/>
                <w:b/>
                <w:bCs/>
                <w:color w:val="185953"/>
                <w:sz w:val="20"/>
                <w:szCs w:val="20"/>
              </w:rPr>
              <w:t xml:space="preserve">Recommendation</w:t>
            </w:r>
          </w:p>
        </w:tc>
        <w:tc>
          <w:tcPr>
            <w:tcW w:type="dxa" w:w="7326"/>
            <w:tcBorders>
              <w:top w:val="single" w:color="B7CFC9" w:sz="4"/>
              <w:left w:val="single" w:color="B7CFC9" w:sz="4"/>
              <w:bottom w:val="single" w:color="B7CFC9" w:sz="4"/>
              <w:right w:val="single" w:color="B7CFC9" w:sz="4"/>
            </w:tcBorders>
            <w:tcMar>
              <w:top w:type="dxa" w:w="70"/>
              <w:left w:type="dxa" w:w="110"/>
              <w:bottom w:type="dxa" w:w="70"/>
              <w:right w:type="dxa" w:w="110"/>
            </w:tcMar>
          </w:tcPr>
          <w:p>
            <w:pPr>
              <w:spacing w:after="40" w:line="260"/>
            </w:pPr>
            <w:r>
              <w:rPr>
                <w:rFonts w:ascii="Calibri" w:cs="Calibri" w:eastAsia="Calibri" w:hAnsi="Calibri"/>
                <w:b w:val="false"/>
                <w:bCs w:val="false"/>
                <w:sz w:val="20"/>
                <w:szCs w:val="20"/>
              </w:rPr>
              <w:t xml:space="preserve">Focus post-discharge follow-up (calls, early check-ups, medication review) on patients aged 60-90, where both risk and volume are highest.</w:t>
            </w:r>
          </w:p>
        </w:tc>
      </w:tr>
      <w:tr>
        <w:trPr>
          <w:cantSplit/>
        </w:trPr>
        <w:tc>
          <w:tcPr>
            <w:tcW w:type="dxa" w:w="1700"/>
            <w:tcBorders>
              <w:top w:val="single" w:color="B7CFC9" w:sz="4"/>
              <w:left w:val="single" w:color="B7CFC9" w:sz="4"/>
              <w:bottom w:val="single" w:color="B7CFC9" w:sz="4"/>
              <w:right w:val="single" w:color="B7CFC9" w:sz="4"/>
            </w:tcBorders>
            <w:shd w:fill="E3F1ED" w:color="auto" w:val="clear"/>
            <w:tcMar>
              <w:top w:type="dxa" w:w="70"/>
              <w:left w:type="dxa" w:w="110"/>
              <w:bottom w:type="dxa" w:w="70"/>
              <w:right w:type="dxa" w:w="110"/>
            </w:tcMar>
          </w:tcPr>
          <w:p>
            <w:pPr>
              <w:spacing w:after="40" w:line="260"/>
            </w:pPr>
            <w:r>
              <w:rPr>
                <w:rFonts w:ascii="Calibri" w:cs="Calibri" w:eastAsia="Calibri" w:hAnsi="Calibri"/>
                <w:b/>
                <w:bCs/>
                <w:color w:val="185953"/>
                <w:sz w:val="20"/>
                <w:szCs w:val="20"/>
              </w:rPr>
              <w:t xml:space="preserve">Limitation</w:t>
            </w:r>
          </w:p>
        </w:tc>
        <w:tc>
          <w:tcPr>
            <w:tcW w:type="dxa" w:w="7326"/>
            <w:tcBorders>
              <w:top w:val="single" w:color="B7CFC9" w:sz="4"/>
              <w:left w:val="single" w:color="B7CFC9" w:sz="4"/>
              <w:bottom w:val="single" w:color="B7CFC9" w:sz="4"/>
              <w:right w:val="single" w:color="B7CFC9" w:sz="4"/>
            </w:tcBorders>
            <w:tcMar>
              <w:top w:type="dxa" w:w="70"/>
              <w:left w:type="dxa" w:w="110"/>
              <w:bottom w:type="dxa" w:w="70"/>
              <w:right w:type="dxa" w:w="110"/>
            </w:tcMar>
          </w:tcPr>
          <w:p>
            <w:pPr>
              <w:spacing w:after="40" w:line="260"/>
            </w:pPr>
            <w:r>
              <w:rPr>
                <w:rFonts w:ascii="Calibri" w:cs="Calibri" w:eastAsia="Calibri" w:hAnsi="Calibri"/>
                <w:b w:val="false"/>
                <w:bCs w:val="false"/>
                <w:sz w:val="20"/>
                <w:szCs w:val="20"/>
              </w:rPr>
              <w:t xml:space="preserve">The data does not explain why the 90+ group is lower, so it is reported only.</w:t>
            </w:r>
          </w:p>
        </w:tc>
      </w:tr>
    </w:tbl>
    <w:p>
      <w:pPr>
        <w:spacing w:after="60"/>
      </w:pPr>
      <w:r>
        <w:rPr>
          <w:rFonts w:ascii="Calibri" w:cs="Calibri" w:eastAsia="Calibri" w:hAnsi="Calibri"/>
          <w:sz w:val="21"/>
          <w:szCs w:val="21"/>
        </w:rPr>
        <w:t xml:space="preserve"/>
      </w:r>
    </w:p>
    <w:p>
      <w:pPr>
        <w:pStyle w:val="Heading3"/>
        <w:keepNext/>
        <w:spacing w:after="90" w:before="220"/>
      </w:pPr>
      <w:r>
        <w:rPr>
          <w:rFonts w:ascii="Calibri" w:cs="Calibri" w:eastAsia="Calibri" w:hAnsi="Calibri"/>
          <w:b/>
          <w:bCs/>
          <w:color w:val="185953"/>
          <w:sz w:val="22"/>
          <w:szCs w:val="22"/>
        </w:rPr>
        <w:t xml:space="preserve">Basic Q2: Length of stay by medical specialty</w:t>
      </w:r>
    </w:p>
    <w:p>
      <w:pPr>
        <w:keepNext/>
        <w:spacing w:after="80"/>
      </w:pPr>
      <w:r>
        <w:rPr>
          <w:rFonts w:ascii="Calibri" w:cs="Calibri" w:eastAsia="Calibri" w:hAnsi="Calibri"/>
          <w:b/>
          <w:bCs/>
          <w:i/>
          <w:iCs/>
          <w:sz w:val="21"/>
          <w:szCs w:val="21"/>
        </w:rPr>
        <w:t xml:space="preserve">Question: </w:t>
      </w:r>
      <w:r>
        <w:rPr>
          <w:rFonts w:ascii="Calibri" w:cs="Calibri" w:eastAsia="Calibri" w:hAnsi="Calibri"/>
          <w:i/>
          <w:iCs/>
          <w:sz w:val="21"/>
          <w:szCs w:val="21"/>
        </w:rPr>
        <w:t xml:space="preserve">Which specialties have the longest and shortest average hospital stays?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rPr>
          <w:cantSplit/>
        </w:trPr>
        <w:tc>
          <w:tcPr>
            <w:tcW w:type="dxa" w:w="1700"/>
            <w:tcBorders>
              <w:top w:val="single" w:color="B7CFC9" w:sz="4"/>
              <w:left w:val="single" w:color="B7CFC9" w:sz="4"/>
              <w:bottom w:val="single" w:color="B7CFC9" w:sz="4"/>
              <w:right w:val="single" w:color="B7CFC9" w:sz="4"/>
            </w:tcBorders>
            <w:shd w:fill="E3F1ED" w:color="auto" w:val="clear"/>
            <w:tcMar>
              <w:top w:type="dxa" w:w="70"/>
              <w:left w:type="dxa" w:w="110"/>
              <w:bottom w:type="dxa" w:w="70"/>
              <w:right w:type="dxa" w:w="110"/>
            </w:tcMar>
          </w:tcPr>
          <w:p>
            <w:pPr>
              <w:spacing w:after="40" w:line="260"/>
            </w:pPr>
            <w:r>
              <w:rPr>
                <w:rFonts w:ascii="Calibri" w:cs="Calibri" w:eastAsia="Calibri" w:hAnsi="Calibri"/>
                <w:b/>
                <w:bCs/>
                <w:color w:val="185953"/>
                <w:sz w:val="20"/>
                <w:szCs w:val="20"/>
              </w:rPr>
              <w:t xml:space="preserve">Method</w:t>
            </w:r>
          </w:p>
        </w:tc>
        <w:tc>
          <w:tcPr>
            <w:tcW w:type="dxa" w:w="7326"/>
            <w:tcBorders>
              <w:top w:val="single" w:color="B7CFC9" w:sz="4"/>
              <w:left w:val="single" w:color="B7CFC9" w:sz="4"/>
              <w:bottom w:val="single" w:color="B7CFC9" w:sz="4"/>
              <w:right w:val="single" w:color="B7CFC9" w:sz="4"/>
            </w:tcBorders>
            <w:tcMar>
              <w:top w:type="dxa" w:w="70"/>
              <w:left w:type="dxa" w:w="110"/>
              <w:bottom w:type="dxa" w:w="70"/>
              <w:right w:type="dxa" w:w="110"/>
            </w:tcMar>
          </w:tcPr>
          <w:p>
            <w:pPr>
              <w:spacing w:after="40" w:line="260"/>
            </w:pPr>
            <w:r>
              <w:rPr>
                <w:rFonts w:ascii="Calibri" w:cs="Calibri" w:eastAsia="Calibri" w:hAnsi="Calibri"/>
                <w:b w:val="false"/>
                <w:bCs w:val="false"/>
                <w:sz w:val="20"/>
                <w:szCs w:val="20"/>
              </w:rPr>
              <w:t xml:space="preserve">Pivot table (Q2_Specialty): specialty in rows, average time_in_hospital and encounter count. Specialties with fewer than 100 encounters were filtered out as unreliable.</w:t>
            </w:r>
          </w:p>
        </w:tc>
      </w:tr>
      <w:tr>
        <w:trPr>
          <w:cantSplit/>
        </w:trPr>
        <w:tc>
          <w:tcPr>
            <w:tcW w:type="dxa" w:w="1700"/>
            <w:tcBorders>
              <w:top w:val="single" w:color="B7CFC9" w:sz="4"/>
              <w:left w:val="single" w:color="B7CFC9" w:sz="4"/>
              <w:bottom w:val="single" w:color="B7CFC9" w:sz="4"/>
              <w:right w:val="single" w:color="B7CFC9" w:sz="4"/>
            </w:tcBorders>
            <w:shd w:fill="E3F1ED" w:color="auto" w:val="clear"/>
            <w:tcMar>
              <w:top w:type="dxa" w:w="70"/>
              <w:left w:type="dxa" w:w="110"/>
              <w:bottom w:type="dxa" w:w="70"/>
              <w:right w:type="dxa" w:w="110"/>
            </w:tcMar>
          </w:tcPr>
          <w:p>
            <w:pPr>
              <w:spacing w:after="40" w:line="260"/>
            </w:pPr>
            <w:r>
              <w:rPr>
                <w:rFonts w:ascii="Calibri" w:cs="Calibri" w:eastAsia="Calibri" w:hAnsi="Calibri"/>
                <w:b/>
                <w:bCs/>
                <w:color w:val="185953"/>
                <w:sz w:val="20"/>
                <w:szCs w:val="20"/>
              </w:rPr>
              <w:t xml:space="preserve">Result</w:t>
            </w:r>
          </w:p>
        </w:tc>
        <w:tc>
          <w:tcPr>
            <w:tcW w:type="dxa" w:w="7326"/>
            <w:tcBorders>
              <w:top w:val="single" w:color="B7CFC9" w:sz="4"/>
              <w:left w:val="single" w:color="B7CFC9" w:sz="4"/>
              <w:bottom w:val="single" w:color="B7CFC9" w:sz="4"/>
              <w:right w:val="single" w:color="B7CFC9" w:sz="4"/>
            </w:tcBorders>
            <w:tcMar>
              <w:top w:type="dxa" w:w="70"/>
              <w:left w:type="dxa" w:w="110"/>
              <w:bottom w:type="dxa" w:w="70"/>
              <w:right w:type="dxa" w:w="110"/>
            </w:tcMar>
          </w:tcPr>
          <w:p>
            <w:pPr>
              <w:spacing w:after="40" w:line="260"/>
            </w:pPr>
            <w:r>
              <w:rPr>
                <w:rFonts w:ascii="Calibri" w:cs="Calibri" w:eastAsia="Calibri" w:hAnsi="Calibri"/>
                <w:b w:val="false"/>
                <w:bCs w:val="false"/>
                <w:sz w:val="20"/>
                <w:szCs w:val="20"/>
              </w:rPr>
              <w:t xml:space="preserve">Overall average 4.4 days. Longest: Physical Medicine and Rehabilitation (9.0), Psychiatry (6.7), Cardiovascular/Thoracic Surgery (6.0). Shortest: Obstetrics and Gynecology (3.1), Urology (3.2), Pediatrics and Radiologist (3.5).</w:t>
            </w:r>
          </w:p>
        </w:tc>
      </w:tr>
      <w:tr>
        <w:trPr>
          <w:cantSplit/>
        </w:trPr>
        <w:tc>
          <w:tcPr>
            <w:tcW w:type="dxa" w:w="1700"/>
            <w:tcBorders>
              <w:top w:val="single" w:color="B7CFC9" w:sz="4"/>
              <w:left w:val="single" w:color="B7CFC9" w:sz="4"/>
              <w:bottom w:val="single" w:color="B7CFC9" w:sz="4"/>
              <w:right w:val="single" w:color="B7CFC9" w:sz="4"/>
            </w:tcBorders>
            <w:shd w:fill="E3F1ED" w:color="auto" w:val="clear"/>
            <w:tcMar>
              <w:top w:type="dxa" w:w="70"/>
              <w:left w:type="dxa" w:w="110"/>
              <w:bottom w:type="dxa" w:w="70"/>
              <w:right w:type="dxa" w:w="110"/>
            </w:tcMar>
          </w:tcPr>
          <w:p>
            <w:pPr>
              <w:spacing w:after="40" w:line="260"/>
            </w:pPr>
            <w:r>
              <w:rPr>
                <w:rFonts w:ascii="Calibri" w:cs="Calibri" w:eastAsia="Calibri" w:hAnsi="Calibri"/>
                <w:b/>
                <w:bCs/>
                <w:color w:val="185953"/>
                <w:sz w:val="20"/>
                <w:szCs w:val="20"/>
              </w:rPr>
              <w:t xml:space="preserve">Insight</w:t>
            </w:r>
          </w:p>
        </w:tc>
        <w:tc>
          <w:tcPr>
            <w:tcW w:type="dxa" w:w="7326"/>
            <w:tcBorders>
              <w:top w:val="single" w:color="B7CFC9" w:sz="4"/>
              <w:left w:val="single" w:color="B7CFC9" w:sz="4"/>
              <w:bottom w:val="single" w:color="B7CFC9" w:sz="4"/>
              <w:right w:val="single" w:color="B7CFC9" w:sz="4"/>
            </w:tcBorders>
            <w:tcMar>
              <w:top w:type="dxa" w:w="70"/>
              <w:left w:type="dxa" w:w="110"/>
              <w:bottom w:type="dxa" w:w="70"/>
              <w:right w:type="dxa" w:w="110"/>
            </w:tcMar>
          </w:tcPr>
          <w:p>
            <w:pPr>
              <w:spacing w:after="40" w:line="260"/>
            </w:pPr>
            <w:r>
              <w:rPr>
                <w:rFonts w:ascii="Calibri" w:cs="Calibri" w:eastAsia="Calibri" w:hAnsi="Calibri"/>
                <w:b w:val="false"/>
                <w:bCs w:val="false"/>
                <w:sz w:val="20"/>
                <w:szCs w:val="20"/>
              </w:rPr>
              <w:t xml:space="preserve">Rehabilitation and psychiatry patients stay about twice as long as average, while procedure-based specialties stay shorter.</w:t>
            </w:r>
          </w:p>
        </w:tc>
      </w:tr>
      <w:tr>
        <w:trPr>
          <w:cantSplit/>
        </w:trPr>
        <w:tc>
          <w:tcPr>
            <w:tcW w:type="dxa" w:w="1700"/>
            <w:tcBorders>
              <w:top w:val="single" w:color="B7CFC9" w:sz="4"/>
              <w:left w:val="single" w:color="B7CFC9" w:sz="4"/>
              <w:bottom w:val="single" w:color="B7CFC9" w:sz="4"/>
              <w:right w:val="single" w:color="B7CFC9" w:sz="4"/>
            </w:tcBorders>
            <w:shd w:fill="E3F1ED" w:color="auto" w:val="clear"/>
            <w:tcMar>
              <w:top w:type="dxa" w:w="70"/>
              <w:left w:type="dxa" w:w="110"/>
              <w:bottom w:type="dxa" w:w="70"/>
              <w:right w:type="dxa" w:w="110"/>
            </w:tcMar>
          </w:tcPr>
          <w:p>
            <w:pPr>
              <w:spacing w:after="40" w:line="260"/>
            </w:pPr>
            <w:r>
              <w:rPr>
                <w:rFonts w:ascii="Calibri" w:cs="Calibri" w:eastAsia="Calibri" w:hAnsi="Calibri"/>
                <w:b/>
                <w:bCs/>
                <w:color w:val="185953"/>
                <w:sz w:val="20"/>
                <w:szCs w:val="20"/>
              </w:rPr>
              <w:t xml:space="preserve">Recommendation</w:t>
            </w:r>
          </w:p>
        </w:tc>
        <w:tc>
          <w:tcPr>
            <w:tcW w:type="dxa" w:w="7326"/>
            <w:tcBorders>
              <w:top w:val="single" w:color="B7CFC9" w:sz="4"/>
              <w:left w:val="single" w:color="B7CFC9" w:sz="4"/>
              <w:bottom w:val="single" w:color="B7CFC9" w:sz="4"/>
              <w:right w:val="single" w:color="B7CFC9" w:sz="4"/>
            </w:tcBorders>
            <w:tcMar>
              <w:top w:type="dxa" w:w="70"/>
              <w:left w:type="dxa" w:w="110"/>
              <w:bottom w:type="dxa" w:w="70"/>
              <w:right w:type="dxa" w:w="110"/>
            </w:tcMar>
          </w:tcPr>
          <w:p>
            <w:pPr>
              <w:spacing w:after="40" w:line="260"/>
            </w:pPr>
            <w:r>
              <w:rPr>
                <w:rFonts w:ascii="Calibri" w:cs="Calibri" w:eastAsia="Calibri" w:hAnsi="Calibri"/>
                <w:b w:val="false"/>
                <w:bCs w:val="false"/>
                <w:sz w:val="20"/>
                <w:szCs w:val="20"/>
              </w:rPr>
              <w:t xml:space="preserve">Plan beds, staffing and discharge planning around the long-stay specialties, and start discharge planning early for them.</w:t>
            </w:r>
          </w:p>
        </w:tc>
      </w:tr>
      <w:tr>
        <w:trPr>
          <w:cantSplit/>
        </w:trPr>
        <w:tc>
          <w:tcPr>
            <w:tcW w:type="dxa" w:w="1700"/>
            <w:tcBorders>
              <w:top w:val="single" w:color="B7CFC9" w:sz="4"/>
              <w:left w:val="single" w:color="B7CFC9" w:sz="4"/>
              <w:bottom w:val="single" w:color="B7CFC9" w:sz="4"/>
              <w:right w:val="single" w:color="B7CFC9" w:sz="4"/>
            </w:tcBorders>
            <w:shd w:fill="E3F1ED" w:color="auto" w:val="clear"/>
            <w:tcMar>
              <w:top w:type="dxa" w:w="70"/>
              <w:left w:type="dxa" w:w="110"/>
              <w:bottom w:type="dxa" w:w="70"/>
              <w:right w:type="dxa" w:w="110"/>
            </w:tcMar>
          </w:tcPr>
          <w:p>
            <w:pPr>
              <w:spacing w:after="40" w:line="260"/>
            </w:pPr>
            <w:r>
              <w:rPr>
                <w:rFonts w:ascii="Calibri" w:cs="Calibri" w:eastAsia="Calibri" w:hAnsi="Calibri"/>
                <w:b/>
                <w:bCs/>
                <w:color w:val="185953"/>
                <w:sz w:val="20"/>
                <w:szCs w:val="20"/>
              </w:rPr>
              <w:t xml:space="preserve">Limitation</w:t>
            </w:r>
          </w:p>
        </w:tc>
        <w:tc>
          <w:tcPr>
            <w:tcW w:type="dxa" w:w="7326"/>
            <w:tcBorders>
              <w:top w:val="single" w:color="B7CFC9" w:sz="4"/>
              <w:left w:val="single" w:color="B7CFC9" w:sz="4"/>
              <w:bottom w:val="single" w:color="B7CFC9" w:sz="4"/>
              <w:right w:val="single" w:color="B7CFC9" w:sz="4"/>
            </w:tcBorders>
            <w:tcMar>
              <w:top w:type="dxa" w:w="70"/>
              <w:left w:type="dxa" w:w="110"/>
              <w:bottom w:type="dxa" w:w="70"/>
              <w:right w:type="dxa" w:w="110"/>
            </w:tcMar>
          </w:tcPr>
          <w:p>
            <w:pPr>
              <w:spacing w:after="40" w:line="260"/>
            </w:pPr>
            <w:r>
              <w:rPr>
                <w:rFonts w:ascii="Calibri" w:cs="Calibri" w:eastAsia="Calibri" w:hAnsi="Calibri"/>
                <w:b w:val="false"/>
                <w:bCs w:val="false"/>
                <w:sz w:val="20"/>
                <w:szCs w:val="20"/>
              </w:rPr>
              <w:t xml:space="preserve">49% of encounters have an unknown specialty, so the picture covers only about half of the patients.</w:t>
            </w:r>
          </w:p>
        </w:tc>
      </w:tr>
    </w:tbl>
    <w:p>
      <w:pPr>
        <w:spacing w:after="60"/>
      </w:pPr>
      <w:r>
        <w:rPr>
          <w:rFonts w:ascii="Calibri" w:cs="Calibri" w:eastAsia="Calibri" w:hAnsi="Calibri"/>
          <w:sz w:val="21"/>
          <w:szCs w:val="21"/>
        </w:rPr>
        <w:t xml:space="preserve"/>
      </w:r>
    </w:p>
    <w:p>
      <w:pPr>
        <w:pStyle w:val="Heading3"/>
        <w:keepNext/>
        <w:spacing w:after="90" w:before="220"/>
      </w:pPr>
      <w:r>
        <w:rPr>
          <w:rFonts w:ascii="Calibri" w:cs="Calibri" w:eastAsia="Calibri" w:hAnsi="Calibri"/>
          <w:b/>
          <w:bCs/>
          <w:color w:val="185953"/>
          <w:sz w:val="22"/>
          <w:szCs w:val="22"/>
        </w:rPr>
        <w:t xml:space="preserve">Basic Q3: Emergency visits and readmission</w:t>
      </w:r>
    </w:p>
    <w:p>
      <w:pPr>
        <w:keepNext/>
        <w:spacing w:after="80"/>
      </w:pPr>
      <w:r>
        <w:rPr>
          <w:rFonts w:ascii="Calibri" w:cs="Calibri" w:eastAsia="Calibri" w:hAnsi="Calibri"/>
          <w:b/>
          <w:bCs/>
          <w:i/>
          <w:iCs/>
          <w:sz w:val="21"/>
          <w:szCs w:val="21"/>
        </w:rPr>
        <w:t xml:space="preserve">Question: </w:t>
      </w:r>
      <w:r>
        <w:rPr>
          <w:rFonts w:ascii="Calibri" w:cs="Calibri" w:eastAsia="Calibri" w:hAnsi="Calibri"/>
          <w:i/>
          <w:iCs/>
          <w:sz w:val="21"/>
          <w:szCs w:val="21"/>
        </w:rPr>
        <w:t xml:space="preserve">How does the number of emergency visits in the previous year correlate with readmission rates?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rPr>
          <w:cantSplit/>
        </w:trPr>
        <w:tc>
          <w:tcPr>
            <w:tcW w:type="dxa" w:w="1700"/>
            <w:tcBorders>
              <w:top w:val="single" w:color="B7CFC9" w:sz="4"/>
              <w:left w:val="single" w:color="B7CFC9" w:sz="4"/>
              <w:bottom w:val="single" w:color="B7CFC9" w:sz="4"/>
              <w:right w:val="single" w:color="B7CFC9" w:sz="4"/>
            </w:tcBorders>
            <w:shd w:fill="E3F1ED" w:color="auto" w:val="clear"/>
            <w:tcMar>
              <w:top w:type="dxa" w:w="70"/>
              <w:left w:type="dxa" w:w="110"/>
              <w:bottom w:type="dxa" w:w="70"/>
              <w:right w:type="dxa" w:w="110"/>
            </w:tcMar>
          </w:tcPr>
          <w:p>
            <w:pPr>
              <w:spacing w:after="40" w:line="260"/>
            </w:pPr>
            <w:r>
              <w:rPr>
                <w:rFonts w:ascii="Calibri" w:cs="Calibri" w:eastAsia="Calibri" w:hAnsi="Calibri"/>
                <w:b/>
                <w:bCs/>
                <w:color w:val="185953"/>
                <w:sz w:val="20"/>
                <w:szCs w:val="20"/>
              </w:rPr>
              <w:t xml:space="preserve">Method</w:t>
            </w:r>
          </w:p>
        </w:tc>
        <w:tc>
          <w:tcPr>
            <w:tcW w:type="dxa" w:w="7326"/>
            <w:tcBorders>
              <w:top w:val="single" w:color="B7CFC9" w:sz="4"/>
              <w:left w:val="single" w:color="B7CFC9" w:sz="4"/>
              <w:bottom w:val="single" w:color="B7CFC9" w:sz="4"/>
              <w:right w:val="single" w:color="B7CFC9" w:sz="4"/>
            </w:tcBorders>
            <w:tcMar>
              <w:top w:type="dxa" w:w="70"/>
              <w:left w:type="dxa" w:w="110"/>
              <w:bottom w:type="dxa" w:w="70"/>
              <w:right w:type="dxa" w:w="110"/>
            </w:tcMar>
          </w:tcPr>
          <w:p>
            <w:pPr>
              <w:spacing w:after="40" w:line="260"/>
            </w:pPr>
            <w:r>
              <w:rPr>
                <w:rFonts w:ascii="Calibri" w:cs="Calibri" w:eastAsia="Calibri" w:hAnsi="Calibri"/>
                <w:b w:val="false"/>
                <w:bCs w:val="false"/>
                <w:sz w:val="20"/>
                <w:szCs w:val="20"/>
              </w:rPr>
              <w:t xml:space="preserve">CORREL between number_emergency and readmitted, plus a pivot (Q3_Emergency) with visits grouped as 0, 1, 2, 3-4 and 5 or more.</w:t>
            </w:r>
          </w:p>
        </w:tc>
      </w:tr>
      <w:tr>
        <w:trPr>
          <w:cantSplit/>
        </w:trPr>
        <w:tc>
          <w:tcPr>
            <w:tcW w:type="dxa" w:w="1700"/>
            <w:tcBorders>
              <w:top w:val="single" w:color="B7CFC9" w:sz="4"/>
              <w:left w:val="single" w:color="B7CFC9" w:sz="4"/>
              <w:bottom w:val="single" w:color="B7CFC9" w:sz="4"/>
              <w:right w:val="single" w:color="B7CFC9" w:sz="4"/>
            </w:tcBorders>
            <w:shd w:fill="E3F1ED" w:color="auto" w:val="clear"/>
            <w:tcMar>
              <w:top w:type="dxa" w:w="70"/>
              <w:left w:type="dxa" w:w="110"/>
              <w:bottom w:type="dxa" w:w="70"/>
              <w:right w:type="dxa" w:w="110"/>
            </w:tcMar>
          </w:tcPr>
          <w:p>
            <w:pPr>
              <w:spacing w:after="40" w:line="260"/>
            </w:pPr>
            <w:r>
              <w:rPr>
                <w:rFonts w:ascii="Calibri" w:cs="Calibri" w:eastAsia="Calibri" w:hAnsi="Calibri"/>
                <w:b/>
                <w:bCs/>
                <w:color w:val="185953"/>
                <w:sz w:val="20"/>
                <w:szCs w:val="20"/>
              </w:rPr>
              <w:t xml:space="preserve">Result</w:t>
            </w:r>
          </w:p>
        </w:tc>
        <w:tc>
          <w:tcPr>
            <w:tcW w:type="dxa" w:w="7326"/>
            <w:tcBorders>
              <w:top w:val="single" w:color="B7CFC9" w:sz="4"/>
              <w:left w:val="single" w:color="B7CFC9" w:sz="4"/>
              <w:bottom w:val="single" w:color="B7CFC9" w:sz="4"/>
              <w:right w:val="single" w:color="B7CFC9" w:sz="4"/>
            </w:tcBorders>
            <w:tcMar>
              <w:top w:type="dxa" w:w="70"/>
              <w:left w:type="dxa" w:w="110"/>
              <w:bottom w:type="dxa" w:w="70"/>
              <w:right w:type="dxa" w:w="110"/>
            </w:tcMar>
          </w:tcPr>
          <w:p>
            <w:pPr>
              <w:spacing w:after="40" w:line="260"/>
            </w:pPr>
            <w:r>
              <w:rPr>
                <w:rFonts w:ascii="Calibri" w:cs="Calibri" w:eastAsia="Calibri" w:hAnsi="Calibri"/>
                <w:b w:val="false"/>
                <w:bCs w:val="false"/>
                <w:sz w:val="20"/>
                <w:szCs w:val="20"/>
              </w:rPr>
              <w:t xml:space="preserve">Correlation 0.109 (weak, positive). Readmission rises from 44.0% (0 visits) to 59.1% (1), 67.9% (2), 74.3% (3-4) and 87.1% (5 or more).</w:t>
            </w:r>
          </w:p>
        </w:tc>
      </w:tr>
      <w:tr>
        <w:trPr>
          <w:cantSplit/>
        </w:trPr>
        <w:tc>
          <w:tcPr>
            <w:tcW w:type="dxa" w:w="1700"/>
            <w:tcBorders>
              <w:top w:val="single" w:color="B7CFC9" w:sz="4"/>
              <w:left w:val="single" w:color="B7CFC9" w:sz="4"/>
              <w:bottom w:val="single" w:color="B7CFC9" w:sz="4"/>
              <w:right w:val="single" w:color="B7CFC9" w:sz="4"/>
            </w:tcBorders>
            <w:shd w:fill="E3F1ED" w:color="auto" w:val="clear"/>
            <w:tcMar>
              <w:top w:type="dxa" w:w="70"/>
              <w:left w:type="dxa" w:w="110"/>
              <w:bottom w:type="dxa" w:w="70"/>
              <w:right w:type="dxa" w:w="110"/>
            </w:tcMar>
          </w:tcPr>
          <w:p>
            <w:pPr>
              <w:spacing w:after="40" w:line="260"/>
            </w:pPr>
            <w:r>
              <w:rPr>
                <w:rFonts w:ascii="Calibri" w:cs="Calibri" w:eastAsia="Calibri" w:hAnsi="Calibri"/>
                <w:b/>
                <w:bCs/>
                <w:color w:val="185953"/>
                <w:sz w:val="20"/>
                <w:szCs w:val="20"/>
              </w:rPr>
              <w:t xml:space="preserve">Insight</w:t>
            </w:r>
          </w:p>
        </w:tc>
        <w:tc>
          <w:tcPr>
            <w:tcW w:type="dxa" w:w="7326"/>
            <w:tcBorders>
              <w:top w:val="single" w:color="B7CFC9" w:sz="4"/>
              <w:left w:val="single" w:color="B7CFC9" w:sz="4"/>
              <w:bottom w:val="single" w:color="B7CFC9" w:sz="4"/>
              <w:right w:val="single" w:color="B7CFC9" w:sz="4"/>
            </w:tcBorders>
            <w:tcMar>
              <w:top w:type="dxa" w:w="70"/>
              <w:left w:type="dxa" w:w="110"/>
              <w:bottom w:type="dxa" w:w="70"/>
              <w:right w:type="dxa" w:w="110"/>
            </w:tcMar>
          </w:tcPr>
          <w:p>
            <w:pPr>
              <w:spacing w:after="40" w:line="260"/>
            </w:pPr>
            <w:r>
              <w:rPr>
                <w:rFonts w:ascii="Calibri" w:cs="Calibri" w:eastAsia="Calibri" w:hAnsi="Calibri"/>
                <w:b w:val="false"/>
                <w:bCs w:val="false"/>
                <w:sz w:val="20"/>
                <w:szCs w:val="20"/>
              </w:rPr>
              <w:t xml:space="preserve">Each extra emergency visit raises readmission risk. The correlation looks weak only because 88.6% of patients have no emergency visits.</w:t>
            </w:r>
          </w:p>
        </w:tc>
      </w:tr>
      <w:tr>
        <w:trPr>
          <w:cantSplit/>
        </w:trPr>
        <w:tc>
          <w:tcPr>
            <w:tcW w:type="dxa" w:w="1700"/>
            <w:tcBorders>
              <w:top w:val="single" w:color="B7CFC9" w:sz="4"/>
              <w:left w:val="single" w:color="B7CFC9" w:sz="4"/>
              <w:bottom w:val="single" w:color="B7CFC9" w:sz="4"/>
              <w:right w:val="single" w:color="B7CFC9" w:sz="4"/>
            </w:tcBorders>
            <w:shd w:fill="E3F1ED" w:color="auto" w:val="clear"/>
            <w:tcMar>
              <w:top w:type="dxa" w:w="70"/>
              <w:left w:type="dxa" w:w="110"/>
              <w:bottom w:type="dxa" w:w="70"/>
              <w:right w:type="dxa" w:w="110"/>
            </w:tcMar>
          </w:tcPr>
          <w:p>
            <w:pPr>
              <w:spacing w:after="40" w:line="260"/>
            </w:pPr>
            <w:r>
              <w:rPr>
                <w:rFonts w:ascii="Calibri" w:cs="Calibri" w:eastAsia="Calibri" w:hAnsi="Calibri"/>
                <w:b/>
                <w:bCs/>
                <w:color w:val="185953"/>
                <w:sz w:val="20"/>
                <w:szCs w:val="20"/>
              </w:rPr>
              <w:t xml:space="preserve">Recommendation</w:t>
            </w:r>
          </w:p>
        </w:tc>
        <w:tc>
          <w:tcPr>
            <w:tcW w:type="dxa" w:w="7326"/>
            <w:tcBorders>
              <w:top w:val="single" w:color="B7CFC9" w:sz="4"/>
              <w:left w:val="single" w:color="B7CFC9" w:sz="4"/>
              <w:bottom w:val="single" w:color="B7CFC9" w:sz="4"/>
              <w:right w:val="single" w:color="B7CFC9" w:sz="4"/>
            </w:tcBorders>
            <w:tcMar>
              <w:top w:type="dxa" w:w="70"/>
              <w:left w:type="dxa" w:w="110"/>
              <w:bottom w:type="dxa" w:w="70"/>
              <w:right w:type="dxa" w:w="110"/>
            </w:tcMar>
          </w:tcPr>
          <w:p>
            <w:pPr>
              <w:spacing w:after="40" w:line="260"/>
            </w:pPr>
            <w:r>
              <w:rPr>
                <w:rFonts w:ascii="Calibri" w:cs="Calibri" w:eastAsia="Calibri" w:hAnsi="Calibri"/>
                <w:b w:val="false"/>
                <w:bCs w:val="false"/>
                <w:sz w:val="20"/>
                <w:szCs w:val="20"/>
              </w:rPr>
              <w:t xml:space="preserve">Flag every patient with one or more prior emergency visits for follow-up, and prioritise those with 3 or more (841 encounters, 74% or higher) for intensive care coordination.</w:t>
            </w:r>
          </w:p>
        </w:tc>
      </w:tr>
      <w:tr>
        <w:trPr>
          <w:cantSplit/>
        </w:trPr>
        <w:tc>
          <w:tcPr>
            <w:tcW w:type="dxa" w:w="1700"/>
            <w:tcBorders>
              <w:top w:val="single" w:color="B7CFC9" w:sz="4"/>
              <w:left w:val="single" w:color="B7CFC9" w:sz="4"/>
              <w:bottom w:val="single" w:color="B7CFC9" w:sz="4"/>
              <w:right w:val="single" w:color="B7CFC9" w:sz="4"/>
            </w:tcBorders>
            <w:shd w:fill="E3F1ED" w:color="auto" w:val="clear"/>
            <w:tcMar>
              <w:top w:type="dxa" w:w="70"/>
              <w:left w:type="dxa" w:w="110"/>
              <w:bottom w:type="dxa" w:w="70"/>
              <w:right w:type="dxa" w:w="110"/>
            </w:tcMar>
          </w:tcPr>
          <w:p>
            <w:pPr>
              <w:spacing w:after="40" w:line="260"/>
            </w:pPr>
            <w:r>
              <w:rPr>
                <w:rFonts w:ascii="Calibri" w:cs="Calibri" w:eastAsia="Calibri" w:hAnsi="Calibri"/>
                <w:b/>
                <w:bCs/>
                <w:color w:val="185953"/>
                <w:sz w:val="20"/>
                <w:szCs w:val="20"/>
              </w:rPr>
              <w:t xml:space="preserve">Limitation</w:t>
            </w:r>
          </w:p>
        </w:tc>
        <w:tc>
          <w:tcPr>
            <w:tcW w:type="dxa" w:w="7326"/>
            <w:tcBorders>
              <w:top w:val="single" w:color="B7CFC9" w:sz="4"/>
              <w:left w:val="single" w:color="B7CFC9" w:sz="4"/>
              <w:bottom w:val="single" w:color="B7CFC9" w:sz="4"/>
              <w:right w:val="single" w:color="B7CFC9" w:sz="4"/>
            </w:tcBorders>
            <w:tcMar>
              <w:top w:type="dxa" w:w="70"/>
              <w:left w:type="dxa" w:w="110"/>
              <w:bottom w:type="dxa" w:w="70"/>
              <w:right w:type="dxa" w:w="110"/>
            </w:tcMar>
          </w:tcPr>
          <w:p>
            <w:pPr>
              <w:spacing w:after="40" w:line="260"/>
            </w:pPr>
            <w:r>
              <w:rPr>
                <w:rFonts w:ascii="Calibri" w:cs="Calibri" w:eastAsia="Calibri" w:hAnsi="Calibri"/>
                <w:b w:val="false"/>
                <w:bCs w:val="false"/>
                <w:sz w:val="20"/>
                <w:szCs w:val="20"/>
              </w:rPr>
              <w:t xml:space="preserve">Association, not cause. Correlation captures only straight-line relationships, so it was confirmed with the grouped pivot.</w:t>
            </w:r>
          </w:p>
        </w:tc>
      </w:tr>
    </w:tbl>
    <w:p>
      <w:pPr>
        <w:spacing w:after="60"/>
      </w:pPr>
      <w:r>
        <w:rPr>
          <w:rFonts w:ascii="Calibri" w:cs="Calibri" w:eastAsia="Calibri" w:hAnsi="Calibri"/>
          <w:sz w:val="21"/>
          <w:szCs w:val="21"/>
        </w:rPr>
        <w:t xml:space="preserve"/>
      </w:r>
    </w:p>
    <w:p>
      <w:pPr>
        <w:pStyle w:val="Heading3"/>
        <w:keepNext/>
        <w:spacing w:after="90" w:before="220"/>
      </w:pPr>
      <w:r>
        <w:rPr>
          <w:rFonts w:ascii="Calibri" w:cs="Calibri" w:eastAsia="Calibri" w:hAnsi="Calibri"/>
          <w:b/>
          <w:bCs/>
          <w:color w:val="185953"/>
          <w:sz w:val="22"/>
          <w:szCs w:val="22"/>
        </w:rPr>
        <w:t xml:space="preserve">Basic Q4: Diabetic patients and readmission</w:t>
      </w:r>
    </w:p>
    <w:p>
      <w:pPr>
        <w:keepNext/>
        <w:spacing w:after="80"/>
      </w:pPr>
      <w:r>
        <w:rPr>
          <w:rFonts w:ascii="Calibri" w:cs="Calibri" w:eastAsia="Calibri" w:hAnsi="Calibri"/>
          <w:b/>
          <w:bCs/>
          <w:i/>
          <w:iCs/>
          <w:sz w:val="21"/>
          <w:szCs w:val="21"/>
        </w:rPr>
        <w:t xml:space="preserve">Question: </w:t>
      </w:r>
      <w:r>
        <w:rPr>
          <w:rFonts w:ascii="Calibri" w:cs="Calibri" w:eastAsia="Calibri" w:hAnsi="Calibri"/>
          <w:i/>
          <w:iCs/>
          <w:sz w:val="21"/>
          <w:szCs w:val="21"/>
        </w:rPr>
        <w:t xml:space="preserve">What proportion of patients with diabetes were readmitted within 30 days?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rPr>
          <w:cantSplit/>
        </w:trPr>
        <w:tc>
          <w:tcPr>
            <w:tcW w:type="dxa" w:w="1700"/>
            <w:tcBorders>
              <w:top w:val="single" w:color="B7CFC9" w:sz="4"/>
              <w:left w:val="single" w:color="B7CFC9" w:sz="4"/>
              <w:bottom w:val="single" w:color="B7CFC9" w:sz="4"/>
              <w:right w:val="single" w:color="B7CFC9" w:sz="4"/>
            </w:tcBorders>
            <w:shd w:fill="E3F1ED" w:color="auto" w:val="clear"/>
            <w:tcMar>
              <w:top w:type="dxa" w:w="70"/>
              <w:left w:type="dxa" w:w="110"/>
              <w:bottom w:type="dxa" w:w="70"/>
              <w:right w:type="dxa" w:w="110"/>
            </w:tcMar>
          </w:tcPr>
          <w:p>
            <w:pPr>
              <w:spacing w:after="40" w:line="260"/>
            </w:pPr>
            <w:r>
              <w:rPr>
                <w:rFonts w:ascii="Calibri" w:cs="Calibri" w:eastAsia="Calibri" w:hAnsi="Calibri"/>
                <w:b/>
                <w:bCs/>
                <w:color w:val="185953"/>
                <w:sz w:val="20"/>
                <w:szCs w:val="20"/>
              </w:rPr>
              <w:t xml:space="preserve">Method</w:t>
            </w:r>
          </w:p>
        </w:tc>
        <w:tc>
          <w:tcPr>
            <w:tcW w:type="dxa" w:w="7326"/>
            <w:tcBorders>
              <w:top w:val="single" w:color="B7CFC9" w:sz="4"/>
              <w:left w:val="single" w:color="B7CFC9" w:sz="4"/>
              <w:bottom w:val="single" w:color="B7CFC9" w:sz="4"/>
              <w:right w:val="single" w:color="B7CFC9" w:sz="4"/>
            </w:tcBorders>
            <w:tcMar>
              <w:top w:type="dxa" w:w="70"/>
              <w:left w:type="dxa" w:w="110"/>
              <w:bottom w:type="dxa" w:w="70"/>
              <w:right w:type="dxa" w:w="110"/>
            </w:tcMar>
          </w:tcPr>
          <w:p>
            <w:pPr>
              <w:spacing w:after="40" w:line="260"/>
            </w:pPr>
            <w:r>
              <w:rPr>
                <w:rFonts w:ascii="Calibri" w:cs="Calibri" w:eastAsia="Calibri" w:hAnsi="Calibri"/>
                <w:b w:val="false"/>
                <w:bCs w:val="false"/>
                <w:sz w:val="20"/>
                <w:szCs w:val="20"/>
              </w:rPr>
              <w:t xml:space="preserve">Pivot table (Q4_Diabetes): diabetesMed in rows, average of readmitted and encounter count.</w:t>
            </w:r>
          </w:p>
        </w:tc>
      </w:tr>
      <w:tr>
        <w:trPr>
          <w:cantSplit/>
        </w:trPr>
        <w:tc>
          <w:tcPr>
            <w:tcW w:type="dxa" w:w="1700"/>
            <w:tcBorders>
              <w:top w:val="single" w:color="B7CFC9" w:sz="4"/>
              <w:left w:val="single" w:color="B7CFC9" w:sz="4"/>
              <w:bottom w:val="single" w:color="B7CFC9" w:sz="4"/>
              <w:right w:val="single" w:color="B7CFC9" w:sz="4"/>
            </w:tcBorders>
            <w:shd w:fill="E3F1ED" w:color="auto" w:val="clear"/>
            <w:tcMar>
              <w:top w:type="dxa" w:w="70"/>
              <w:left w:type="dxa" w:w="110"/>
              <w:bottom w:type="dxa" w:w="70"/>
              <w:right w:type="dxa" w:w="110"/>
            </w:tcMar>
          </w:tcPr>
          <w:p>
            <w:pPr>
              <w:spacing w:after="40" w:line="260"/>
            </w:pPr>
            <w:r>
              <w:rPr>
                <w:rFonts w:ascii="Calibri" w:cs="Calibri" w:eastAsia="Calibri" w:hAnsi="Calibri"/>
                <w:b/>
                <w:bCs/>
                <w:color w:val="185953"/>
                <w:sz w:val="20"/>
                <w:szCs w:val="20"/>
              </w:rPr>
              <w:t xml:space="preserve">Result</w:t>
            </w:r>
          </w:p>
        </w:tc>
        <w:tc>
          <w:tcPr>
            <w:tcW w:type="dxa" w:w="7326"/>
            <w:tcBorders>
              <w:top w:val="single" w:color="B7CFC9" w:sz="4"/>
              <w:left w:val="single" w:color="B7CFC9" w:sz="4"/>
              <w:bottom w:val="single" w:color="B7CFC9" w:sz="4"/>
              <w:right w:val="single" w:color="B7CFC9" w:sz="4"/>
            </w:tcBorders>
            <w:tcMar>
              <w:top w:type="dxa" w:w="70"/>
              <w:left w:type="dxa" w:w="110"/>
              <w:bottom w:type="dxa" w:w="70"/>
              <w:right w:type="dxa" w:w="110"/>
            </w:tcMar>
          </w:tcPr>
          <w:p>
            <w:pPr>
              <w:spacing w:after="40" w:line="260"/>
            </w:pPr>
            <w:r>
              <w:rPr>
                <w:rFonts w:ascii="Calibri" w:cs="Calibri" w:eastAsia="Calibri" w:hAnsi="Calibri"/>
                <w:b w:val="false"/>
                <w:bCs w:val="false"/>
                <w:sz w:val="20"/>
                <w:szCs w:val="20"/>
              </w:rPr>
              <w:t xml:space="preserve">Diabetes medication: 47.94% readmitted (37,640 encounters). No diabetes medication: 40.50% (11,271 encounters). Overall: 46.22%.</w:t>
            </w:r>
          </w:p>
        </w:tc>
      </w:tr>
      <w:tr>
        <w:trPr>
          <w:cantSplit/>
        </w:trPr>
        <w:tc>
          <w:tcPr>
            <w:tcW w:type="dxa" w:w="1700"/>
            <w:tcBorders>
              <w:top w:val="single" w:color="B7CFC9" w:sz="4"/>
              <w:left w:val="single" w:color="B7CFC9" w:sz="4"/>
              <w:bottom w:val="single" w:color="B7CFC9" w:sz="4"/>
              <w:right w:val="single" w:color="B7CFC9" w:sz="4"/>
            </w:tcBorders>
            <w:shd w:fill="E3F1ED" w:color="auto" w:val="clear"/>
            <w:tcMar>
              <w:top w:type="dxa" w:w="70"/>
              <w:left w:type="dxa" w:w="110"/>
              <w:bottom w:type="dxa" w:w="70"/>
              <w:right w:type="dxa" w:w="110"/>
            </w:tcMar>
          </w:tcPr>
          <w:p>
            <w:pPr>
              <w:spacing w:after="40" w:line="260"/>
            </w:pPr>
            <w:r>
              <w:rPr>
                <w:rFonts w:ascii="Calibri" w:cs="Calibri" w:eastAsia="Calibri" w:hAnsi="Calibri"/>
                <w:b/>
                <w:bCs/>
                <w:color w:val="185953"/>
                <w:sz w:val="20"/>
                <w:szCs w:val="20"/>
              </w:rPr>
              <w:t xml:space="preserve">Insight</w:t>
            </w:r>
          </w:p>
        </w:tc>
        <w:tc>
          <w:tcPr>
            <w:tcW w:type="dxa" w:w="7326"/>
            <w:tcBorders>
              <w:top w:val="single" w:color="B7CFC9" w:sz="4"/>
              <w:left w:val="single" w:color="B7CFC9" w:sz="4"/>
              <w:bottom w:val="single" w:color="B7CFC9" w:sz="4"/>
              <w:right w:val="single" w:color="B7CFC9" w:sz="4"/>
            </w:tcBorders>
            <w:tcMar>
              <w:top w:type="dxa" w:w="70"/>
              <w:left w:type="dxa" w:w="110"/>
              <w:bottom w:type="dxa" w:w="70"/>
              <w:right w:type="dxa" w:w="110"/>
            </w:tcMar>
          </w:tcPr>
          <w:p>
            <w:pPr>
              <w:spacing w:after="40" w:line="260"/>
            </w:pPr>
            <w:r>
              <w:rPr>
                <w:rFonts w:ascii="Calibri" w:cs="Calibri" w:eastAsia="Calibri" w:hAnsi="Calibri"/>
                <w:b w:val="false"/>
                <w:bCs w:val="false"/>
                <w:sz w:val="20"/>
                <w:szCs w:val="20"/>
              </w:rPr>
              <w:t xml:space="preserve">Diabetic patients are readmitted more often, and they make up about 77% of encounters and roughly 80% of all readmissions.</w:t>
            </w:r>
          </w:p>
        </w:tc>
      </w:tr>
      <w:tr>
        <w:trPr>
          <w:cantSplit/>
        </w:trPr>
        <w:tc>
          <w:tcPr>
            <w:tcW w:type="dxa" w:w="1700"/>
            <w:tcBorders>
              <w:top w:val="single" w:color="B7CFC9" w:sz="4"/>
              <w:left w:val="single" w:color="B7CFC9" w:sz="4"/>
              <w:bottom w:val="single" w:color="B7CFC9" w:sz="4"/>
              <w:right w:val="single" w:color="B7CFC9" w:sz="4"/>
            </w:tcBorders>
            <w:shd w:fill="E3F1ED" w:color="auto" w:val="clear"/>
            <w:tcMar>
              <w:top w:type="dxa" w:w="70"/>
              <w:left w:type="dxa" w:w="110"/>
              <w:bottom w:type="dxa" w:w="70"/>
              <w:right w:type="dxa" w:w="110"/>
            </w:tcMar>
          </w:tcPr>
          <w:p>
            <w:pPr>
              <w:spacing w:after="40" w:line="260"/>
            </w:pPr>
            <w:r>
              <w:rPr>
                <w:rFonts w:ascii="Calibri" w:cs="Calibri" w:eastAsia="Calibri" w:hAnsi="Calibri"/>
                <w:b/>
                <w:bCs/>
                <w:color w:val="185953"/>
                <w:sz w:val="20"/>
                <w:szCs w:val="20"/>
              </w:rPr>
              <w:t xml:space="preserve">Recommendation</w:t>
            </w:r>
          </w:p>
        </w:tc>
        <w:tc>
          <w:tcPr>
            <w:tcW w:type="dxa" w:w="7326"/>
            <w:tcBorders>
              <w:top w:val="single" w:color="B7CFC9" w:sz="4"/>
              <w:left w:val="single" w:color="B7CFC9" w:sz="4"/>
              <w:bottom w:val="single" w:color="B7CFC9" w:sz="4"/>
              <w:right w:val="single" w:color="B7CFC9" w:sz="4"/>
            </w:tcBorders>
            <w:tcMar>
              <w:top w:type="dxa" w:w="70"/>
              <w:left w:type="dxa" w:w="110"/>
              <w:bottom w:type="dxa" w:w="70"/>
              <w:right w:type="dxa" w:w="110"/>
            </w:tcMar>
          </w:tcPr>
          <w:p>
            <w:pPr>
              <w:spacing w:after="40" w:line="260"/>
            </w:pPr>
            <w:r>
              <w:rPr>
                <w:rFonts w:ascii="Calibri" w:cs="Calibri" w:eastAsia="Calibri" w:hAnsi="Calibri"/>
                <w:b w:val="false"/>
                <w:bCs w:val="false"/>
                <w:sz w:val="20"/>
                <w:szCs w:val="20"/>
              </w:rPr>
              <w:t xml:space="preserve">Make diabetes patients the priority group for the readmission program: medication review at discharge, glucose-control education and an early follow-up visit.</w:t>
            </w:r>
          </w:p>
        </w:tc>
      </w:tr>
      <w:tr>
        <w:trPr>
          <w:cantSplit/>
        </w:trPr>
        <w:tc>
          <w:tcPr>
            <w:tcW w:type="dxa" w:w="1700"/>
            <w:tcBorders>
              <w:top w:val="single" w:color="B7CFC9" w:sz="4"/>
              <w:left w:val="single" w:color="B7CFC9" w:sz="4"/>
              <w:bottom w:val="single" w:color="B7CFC9" w:sz="4"/>
              <w:right w:val="single" w:color="B7CFC9" w:sz="4"/>
            </w:tcBorders>
            <w:shd w:fill="E3F1ED" w:color="auto" w:val="clear"/>
            <w:tcMar>
              <w:top w:type="dxa" w:w="70"/>
              <w:left w:type="dxa" w:w="110"/>
              <w:bottom w:type="dxa" w:w="70"/>
              <w:right w:type="dxa" w:w="110"/>
            </w:tcMar>
          </w:tcPr>
          <w:p>
            <w:pPr>
              <w:spacing w:after="40" w:line="260"/>
            </w:pPr>
            <w:r>
              <w:rPr>
                <w:rFonts w:ascii="Calibri" w:cs="Calibri" w:eastAsia="Calibri" w:hAnsi="Calibri"/>
                <w:b/>
                <w:bCs/>
                <w:color w:val="185953"/>
                <w:sz w:val="20"/>
                <w:szCs w:val="20"/>
              </w:rPr>
              <w:t xml:space="preserve">Limitation</w:t>
            </w:r>
          </w:p>
        </w:tc>
        <w:tc>
          <w:tcPr>
            <w:tcW w:type="dxa" w:w="7326"/>
            <w:tcBorders>
              <w:top w:val="single" w:color="B7CFC9" w:sz="4"/>
              <w:left w:val="single" w:color="B7CFC9" w:sz="4"/>
              <w:bottom w:val="single" w:color="B7CFC9" w:sz="4"/>
              <w:right w:val="single" w:color="B7CFC9" w:sz="4"/>
            </w:tcBorders>
            <w:tcMar>
              <w:top w:type="dxa" w:w="70"/>
              <w:left w:type="dxa" w:w="110"/>
              <w:bottom w:type="dxa" w:w="70"/>
              <w:right w:type="dxa" w:w="110"/>
            </w:tcMar>
          </w:tcPr>
          <w:p>
            <w:pPr>
              <w:spacing w:after="40" w:line="260"/>
            </w:pPr>
            <w:r>
              <w:rPr>
                <w:rFonts w:ascii="Calibri" w:cs="Calibri" w:eastAsia="Calibri" w:hAnsi="Calibri"/>
                <w:b w:val="false"/>
                <w:bCs w:val="false"/>
                <w:sz w:val="20"/>
                <w:szCs w:val="20"/>
              </w:rPr>
              <w:t xml:space="preserve">Diabetic is defined by diabetes medication (diabetesMed), not diagnosis codes, so patients with diabetes who take no medication fall into the No group.</w:t>
            </w:r>
          </w:p>
        </w:tc>
      </w:tr>
    </w:tbl>
    <w:p>
      <w:pPr>
        <w:spacing w:after="60"/>
      </w:pPr>
      <w:r>
        <w:rPr>
          <w:rFonts w:ascii="Calibri" w:cs="Calibri" w:eastAsia="Calibri" w:hAnsi="Calibri"/>
          <w:sz w:val="21"/>
          <w:szCs w:val="21"/>
        </w:rPr>
        <w:t xml:space="preserve"/>
      </w:r>
    </w:p>
    <w:p>
      <w:pPr>
        <w:pStyle w:val="Heading3"/>
        <w:keepNext/>
        <w:spacing w:after="90" w:before="220"/>
      </w:pPr>
      <w:r>
        <w:rPr>
          <w:rFonts w:ascii="Calibri" w:cs="Calibri" w:eastAsia="Calibri" w:hAnsi="Calibri"/>
          <w:b/>
          <w:bCs/>
          <w:color w:val="185953"/>
          <w:sz w:val="22"/>
          <w:szCs w:val="22"/>
        </w:rPr>
        <w:t xml:space="preserve">Basic Q5: Medication change and readmission</w:t>
      </w:r>
    </w:p>
    <w:p>
      <w:pPr>
        <w:keepNext/>
        <w:spacing w:after="80"/>
      </w:pPr>
      <w:r>
        <w:rPr>
          <w:rFonts w:ascii="Calibri" w:cs="Calibri" w:eastAsia="Calibri" w:hAnsi="Calibri"/>
          <w:b/>
          <w:bCs/>
          <w:i/>
          <w:iCs/>
          <w:sz w:val="21"/>
          <w:szCs w:val="21"/>
        </w:rPr>
        <w:t xml:space="preserve">Question: </w:t>
      </w:r>
      <w:r>
        <w:rPr>
          <w:rFonts w:ascii="Calibri" w:cs="Calibri" w:eastAsia="Calibri" w:hAnsi="Calibri"/>
          <w:i/>
          <w:iCs/>
          <w:sz w:val="21"/>
          <w:szCs w:val="21"/>
        </w:rPr>
        <w:t xml:space="preserve">Is there a significant difference in readmission rates between patients with changes in diabetic medication and those without?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rPr>
          <w:cantSplit/>
        </w:trPr>
        <w:tc>
          <w:tcPr>
            <w:tcW w:type="dxa" w:w="1700"/>
            <w:tcBorders>
              <w:top w:val="single" w:color="B7CFC9" w:sz="4"/>
              <w:left w:val="single" w:color="B7CFC9" w:sz="4"/>
              <w:bottom w:val="single" w:color="B7CFC9" w:sz="4"/>
              <w:right w:val="single" w:color="B7CFC9" w:sz="4"/>
            </w:tcBorders>
            <w:shd w:fill="E3F1ED" w:color="auto" w:val="clear"/>
            <w:tcMar>
              <w:top w:type="dxa" w:w="70"/>
              <w:left w:type="dxa" w:w="110"/>
              <w:bottom w:type="dxa" w:w="70"/>
              <w:right w:type="dxa" w:w="110"/>
            </w:tcMar>
          </w:tcPr>
          <w:p>
            <w:pPr>
              <w:spacing w:after="40" w:line="260"/>
            </w:pPr>
            <w:r>
              <w:rPr>
                <w:rFonts w:ascii="Calibri" w:cs="Calibri" w:eastAsia="Calibri" w:hAnsi="Calibri"/>
                <w:b/>
                <w:bCs/>
                <w:color w:val="185953"/>
                <w:sz w:val="20"/>
                <w:szCs w:val="20"/>
              </w:rPr>
              <w:t xml:space="preserve">Method</w:t>
            </w:r>
          </w:p>
        </w:tc>
        <w:tc>
          <w:tcPr>
            <w:tcW w:type="dxa" w:w="7326"/>
            <w:tcBorders>
              <w:top w:val="single" w:color="B7CFC9" w:sz="4"/>
              <w:left w:val="single" w:color="B7CFC9" w:sz="4"/>
              <w:bottom w:val="single" w:color="B7CFC9" w:sz="4"/>
              <w:right w:val="single" w:color="B7CFC9" w:sz="4"/>
            </w:tcBorders>
            <w:tcMar>
              <w:top w:type="dxa" w:w="70"/>
              <w:left w:type="dxa" w:w="110"/>
              <w:bottom w:type="dxa" w:w="70"/>
              <w:right w:type="dxa" w:w="110"/>
            </w:tcMar>
          </w:tcPr>
          <w:p>
            <w:pPr>
              <w:spacing w:after="40" w:line="260"/>
            </w:pPr>
            <w:r>
              <w:rPr>
                <w:rFonts w:ascii="Calibri" w:cs="Calibri" w:eastAsia="Calibri" w:hAnsi="Calibri"/>
                <w:b w:val="false"/>
                <w:bCs w:val="false"/>
                <w:sz w:val="20"/>
                <w:szCs w:val="20"/>
              </w:rPr>
              <w:t xml:space="preserve">Pivot table (Q5_MedChange) comparing the average of readmitted by the change column, followed by a two-proportion z-test.</w:t>
            </w:r>
          </w:p>
        </w:tc>
      </w:tr>
      <w:tr>
        <w:trPr>
          <w:cantSplit/>
        </w:trPr>
        <w:tc>
          <w:tcPr>
            <w:tcW w:type="dxa" w:w="1700"/>
            <w:tcBorders>
              <w:top w:val="single" w:color="B7CFC9" w:sz="4"/>
              <w:left w:val="single" w:color="B7CFC9" w:sz="4"/>
              <w:bottom w:val="single" w:color="B7CFC9" w:sz="4"/>
              <w:right w:val="single" w:color="B7CFC9" w:sz="4"/>
            </w:tcBorders>
            <w:shd w:fill="E3F1ED" w:color="auto" w:val="clear"/>
            <w:tcMar>
              <w:top w:type="dxa" w:w="70"/>
              <w:left w:type="dxa" w:w="110"/>
              <w:bottom w:type="dxa" w:w="70"/>
              <w:right w:type="dxa" w:w="110"/>
            </w:tcMar>
          </w:tcPr>
          <w:p>
            <w:pPr>
              <w:spacing w:after="40" w:line="260"/>
            </w:pPr>
            <w:r>
              <w:rPr>
                <w:rFonts w:ascii="Calibri" w:cs="Calibri" w:eastAsia="Calibri" w:hAnsi="Calibri"/>
                <w:b/>
                <w:bCs/>
                <w:color w:val="185953"/>
                <w:sz w:val="20"/>
                <w:szCs w:val="20"/>
              </w:rPr>
              <w:t xml:space="preserve">Result</w:t>
            </w:r>
          </w:p>
        </w:tc>
        <w:tc>
          <w:tcPr>
            <w:tcW w:type="dxa" w:w="7326"/>
            <w:tcBorders>
              <w:top w:val="single" w:color="B7CFC9" w:sz="4"/>
              <w:left w:val="single" w:color="B7CFC9" w:sz="4"/>
              <w:bottom w:val="single" w:color="B7CFC9" w:sz="4"/>
              <w:right w:val="single" w:color="B7CFC9" w:sz="4"/>
            </w:tcBorders>
            <w:tcMar>
              <w:top w:type="dxa" w:w="70"/>
              <w:left w:type="dxa" w:w="110"/>
              <w:bottom w:type="dxa" w:w="70"/>
              <w:right w:type="dxa" w:w="110"/>
            </w:tcMar>
          </w:tcPr>
          <w:p>
            <w:pPr>
              <w:spacing w:after="40" w:line="260"/>
            </w:pPr>
            <w:r>
              <w:rPr>
                <w:rFonts w:ascii="Calibri" w:cs="Calibri" w:eastAsia="Calibri" w:hAnsi="Calibri"/>
                <w:b w:val="false"/>
                <w:bCs w:val="false"/>
                <w:sz w:val="20"/>
                <w:szCs w:val="20"/>
              </w:rPr>
              <w:t xml:space="preserve">Changed: 48.69% (22,547 encounters). No change: 44.12% (26,364). Gap of 4.57 percentage points, z = 10.11, p = 4.97E-24.</w:t>
            </w:r>
          </w:p>
        </w:tc>
      </w:tr>
      <w:tr>
        <w:trPr>
          <w:cantSplit/>
        </w:trPr>
        <w:tc>
          <w:tcPr>
            <w:tcW w:type="dxa" w:w="1700"/>
            <w:tcBorders>
              <w:top w:val="single" w:color="B7CFC9" w:sz="4"/>
              <w:left w:val="single" w:color="B7CFC9" w:sz="4"/>
              <w:bottom w:val="single" w:color="B7CFC9" w:sz="4"/>
              <w:right w:val="single" w:color="B7CFC9" w:sz="4"/>
            </w:tcBorders>
            <w:shd w:fill="E3F1ED" w:color="auto" w:val="clear"/>
            <w:tcMar>
              <w:top w:type="dxa" w:w="70"/>
              <w:left w:type="dxa" w:w="110"/>
              <w:bottom w:type="dxa" w:w="70"/>
              <w:right w:type="dxa" w:w="110"/>
            </w:tcMar>
          </w:tcPr>
          <w:p>
            <w:pPr>
              <w:spacing w:after="40" w:line="260"/>
            </w:pPr>
            <w:r>
              <w:rPr>
                <w:rFonts w:ascii="Calibri" w:cs="Calibri" w:eastAsia="Calibri" w:hAnsi="Calibri"/>
                <w:b/>
                <w:bCs/>
                <w:color w:val="185953"/>
                <w:sz w:val="20"/>
                <w:szCs w:val="20"/>
              </w:rPr>
              <w:t xml:space="preserve">Insight</w:t>
            </w:r>
          </w:p>
        </w:tc>
        <w:tc>
          <w:tcPr>
            <w:tcW w:type="dxa" w:w="7326"/>
            <w:tcBorders>
              <w:top w:val="single" w:color="B7CFC9" w:sz="4"/>
              <w:left w:val="single" w:color="B7CFC9" w:sz="4"/>
              <w:bottom w:val="single" w:color="B7CFC9" w:sz="4"/>
              <w:right w:val="single" w:color="B7CFC9" w:sz="4"/>
            </w:tcBorders>
            <w:tcMar>
              <w:top w:type="dxa" w:w="70"/>
              <w:left w:type="dxa" w:w="110"/>
              <w:bottom w:type="dxa" w:w="70"/>
              <w:right w:type="dxa" w:w="110"/>
            </w:tcMar>
          </w:tcPr>
          <w:p>
            <w:pPr>
              <w:spacing w:after="40" w:line="260"/>
            </w:pPr>
            <w:r>
              <w:rPr>
                <w:rFonts w:ascii="Calibri" w:cs="Calibri" w:eastAsia="Calibri" w:hAnsi="Calibri"/>
                <w:b w:val="false"/>
                <w:bCs w:val="false"/>
                <w:sz w:val="20"/>
                <w:szCs w:val="20"/>
              </w:rPr>
              <w:t xml:space="preserve">Patients whose diabetic medication was changed are readmitted significantly more often, about 10% more than those with no change.</w:t>
            </w:r>
          </w:p>
        </w:tc>
      </w:tr>
      <w:tr>
        <w:trPr>
          <w:cantSplit/>
        </w:trPr>
        <w:tc>
          <w:tcPr>
            <w:tcW w:type="dxa" w:w="1700"/>
            <w:tcBorders>
              <w:top w:val="single" w:color="B7CFC9" w:sz="4"/>
              <w:left w:val="single" w:color="B7CFC9" w:sz="4"/>
              <w:bottom w:val="single" w:color="B7CFC9" w:sz="4"/>
              <w:right w:val="single" w:color="B7CFC9" w:sz="4"/>
            </w:tcBorders>
            <w:shd w:fill="E3F1ED" w:color="auto" w:val="clear"/>
            <w:tcMar>
              <w:top w:type="dxa" w:w="70"/>
              <w:left w:type="dxa" w:w="110"/>
              <w:bottom w:type="dxa" w:w="70"/>
              <w:right w:type="dxa" w:w="110"/>
            </w:tcMar>
          </w:tcPr>
          <w:p>
            <w:pPr>
              <w:spacing w:after="40" w:line="260"/>
            </w:pPr>
            <w:r>
              <w:rPr>
                <w:rFonts w:ascii="Calibri" w:cs="Calibri" w:eastAsia="Calibri" w:hAnsi="Calibri"/>
                <w:b/>
                <w:bCs/>
                <w:color w:val="185953"/>
                <w:sz w:val="20"/>
                <w:szCs w:val="20"/>
              </w:rPr>
              <w:t xml:space="preserve">Recommendation</w:t>
            </w:r>
          </w:p>
        </w:tc>
        <w:tc>
          <w:tcPr>
            <w:tcW w:type="dxa" w:w="7326"/>
            <w:tcBorders>
              <w:top w:val="single" w:color="B7CFC9" w:sz="4"/>
              <w:left w:val="single" w:color="B7CFC9" w:sz="4"/>
              <w:bottom w:val="single" w:color="B7CFC9" w:sz="4"/>
              <w:right w:val="single" w:color="B7CFC9" w:sz="4"/>
            </w:tcBorders>
            <w:tcMar>
              <w:top w:type="dxa" w:w="70"/>
              <w:left w:type="dxa" w:w="110"/>
              <w:bottom w:type="dxa" w:w="70"/>
              <w:right w:type="dxa" w:w="110"/>
            </w:tcMar>
          </w:tcPr>
          <w:p>
            <w:pPr>
              <w:spacing w:after="40" w:line="260"/>
            </w:pPr>
            <w:r>
              <w:rPr>
                <w:rFonts w:ascii="Calibri" w:cs="Calibri" w:eastAsia="Calibri" w:hAnsi="Calibri"/>
                <w:b w:val="false"/>
                <w:bCs w:val="false"/>
                <w:sz w:val="20"/>
                <w:szCs w:val="20"/>
              </w:rPr>
              <w:t xml:space="preserve">Review the medication-change policy. Add a pharmacist review at discharge and a follow-up call within a few days for every patient whose medication changed.</w:t>
            </w:r>
          </w:p>
        </w:tc>
      </w:tr>
      <w:tr>
        <w:trPr>
          <w:cantSplit/>
        </w:trPr>
        <w:tc>
          <w:tcPr>
            <w:tcW w:type="dxa" w:w="1700"/>
            <w:tcBorders>
              <w:top w:val="single" w:color="B7CFC9" w:sz="4"/>
              <w:left w:val="single" w:color="B7CFC9" w:sz="4"/>
              <w:bottom w:val="single" w:color="B7CFC9" w:sz="4"/>
              <w:right w:val="single" w:color="B7CFC9" w:sz="4"/>
            </w:tcBorders>
            <w:shd w:fill="E3F1ED" w:color="auto" w:val="clear"/>
            <w:tcMar>
              <w:top w:type="dxa" w:w="70"/>
              <w:left w:type="dxa" w:w="110"/>
              <w:bottom w:type="dxa" w:w="70"/>
              <w:right w:type="dxa" w:w="110"/>
            </w:tcMar>
          </w:tcPr>
          <w:p>
            <w:pPr>
              <w:spacing w:after="40" w:line="260"/>
            </w:pPr>
            <w:r>
              <w:rPr>
                <w:rFonts w:ascii="Calibri" w:cs="Calibri" w:eastAsia="Calibri" w:hAnsi="Calibri"/>
                <w:b/>
                <w:bCs/>
                <w:color w:val="185953"/>
                <w:sz w:val="20"/>
                <w:szCs w:val="20"/>
              </w:rPr>
              <w:t xml:space="preserve">Limitation</w:t>
            </w:r>
          </w:p>
        </w:tc>
        <w:tc>
          <w:tcPr>
            <w:tcW w:type="dxa" w:w="7326"/>
            <w:tcBorders>
              <w:top w:val="single" w:color="B7CFC9" w:sz="4"/>
              <w:left w:val="single" w:color="B7CFC9" w:sz="4"/>
              <w:bottom w:val="single" w:color="B7CFC9" w:sz="4"/>
              <w:right w:val="single" w:color="B7CFC9" w:sz="4"/>
            </w:tcBorders>
            <w:tcMar>
              <w:top w:type="dxa" w:w="70"/>
              <w:left w:type="dxa" w:w="110"/>
              <w:bottom w:type="dxa" w:w="70"/>
              <w:right w:type="dxa" w:w="110"/>
            </w:tcMar>
          </w:tcPr>
          <w:p>
            <w:pPr>
              <w:spacing w:after="40" w:line="260"/>
            </w:pPr>
            <w:r>
              <w:rPr>
                <w:rFonts w:ascii="Calibri" w:cs="Calibri" w:eastAsia="Calibri" w:hAnsi="Calibri"/>
                <w:b w:val="false"/>
                <w:bCs w:val="false"/>
                <w:sz w:val="20"/>
                <w:szCs w:val="20"/>
              </w:rPr>
              <w:t xml:space="preserve">Association, not cause. Patients with more complex conditions may be more likely to have changes, so the change itself may not drive readmission.</w:t>
            </w:r>
          </w:p>
        </w:tc>
      </w:tr>
    </w:tbl>
    <w:p>
      <w:pPr>
        <w:spacing w:after="60"/>
      </w:pPr>
      <w:r>
        <w:rPr>
          <w:rFonts w:ascii="Calibri" w:cs="Calibri" w:eastAsia="Calibri" w:hAnsi="Calibri"/>
          <w:sz w:val="21"/>
          <w:szCs w:val="21"/>
        </w:rPr>
        <w:t xml:space="preserve"/>
      </w:r>
    </w:p>
    <w:p>
      <w:pPr>
        <w:pStyle w:val="Heading3"/>
        <w:keepNext/>
        <w:spacing w:after="90" w:before="220"/>
      </w:pPr>
      <w:r>
        <w:rPr>
          <w:rFonts w:ascii="Calibri" w:cs="Calibri" w:eastAsia="Calibri" w:hAnsi="Calibri"/>
          <w:b/>
          <w:bCs/>
          <w:color w:val="185953"/>
          <w:sz w:val="22"/>
          <w:szCs w:val="22"/>
        </w:rPr>
        <w:t xml:space="preserve">Basic Q6: Lab procedures and readmission</w:t>
      </w:r>
    </w:p>
    <w:p>
      <w:pPr>
        <w:keepNext/>
        <w:spacing w:after="80"/>
      </w:pPr>
      <w:r>
        <w:rPr>
          <w:rFonts w:ascii="Calibri" w:cs="Calibri" w:eastAsia="Calibri" w:hAnsi="Calibri"/>
          <w:b/>
          <w:bCs/>
          <w:i/>
          <w:iCs/>
          <w:sz w:val="21"/>
          <w:szCs w:val="21"/>
        </w:rPr>
        <w:t xml:space="preserve">Question: </w:t>
      </w:r>
      <w:r>
        <w:rPr>
          <w:rFonts w:ascii="Calibri" w:cs="Calibri" w:eastAsia="Calibri" w:hAnsi="Calibri"/>
          <w:i/>
          <w:iCs/>
          <w:sz w:val="21"/>
          <w:szCs w:val="21"/>
        </w:rPr>
        <w:t xml:space="preserve">Investigate the relationship between the number of lab procedures during the stay and readmission rates.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rPr>
          <w:cantSplit/>
        </w:trPr>
        <w:tc>
          <w:tcPr>
            <w:tcW w:type="dxa" w:w="1700"/>
            <w:tcBorders>
              <w:top w:val="single" w:color="B7CFC9" w:sz="4"/>
              <w:left w:val="single" w:color="B7CFC9" w:sz="4"/>
              <w:bottom w:val="single" w:color="B7CFC9" w:sz="4"/>
              <w:right w:val="single" w:color="B7CFC9" w:sz="4"/>
            </w:tcBorders>
            <w:shd w:fill="E3F1ED" w:color="auto" w:val="clear"/>
            <w:tcMar>
              <w:top w:type="dxa" w:w="70"/>
              <w:left w:type="dxa" w:w="110"/>
              <w:bottom w:type="dxa" w:w="70"/>
              <w:right w:type="dxa" w:w="110"/>
            </w:tcMar>
          </w:tcPr>
          <w:p>
            <w:pPr>
              <w:spacing w:after="40" w:line="260"/>
            </w:pPr>
            <w:r>
              <w:rPr>
                <w:rFonts w:ascii="Calibri" w:cs="Calibri" w:eastAsia="Calibri" w:hAnsi="Calibri"/>
                <w:b/>
                <w:bCs/>
                <w:color w:val="185953"/>
                <w:sz w:val="20"/>
                <w:szCs w:val="20"/>
              </w:rPr>
              <w:t xml:space="preserve">Method</w:t>
            </w:r>
          </w:p>
        </w:tc>
        <w:tc>
          <w:tcPr>
            <w:tcW w:type="dxa" w:w="7326"/>
            <w:tcBorders>
              <w:top w:val="single" w:color="B7CFC9" w:sz="4"/>
              <w:left w:val="single" w:color="B7CFC9" w:sz="4"/>
              <w:bottom w:val="single" w:color="B7CFC9" w:sz="4"/>
              <w:right w:val="single" w:color="B7CFC9" w:sz="4"/>
            </w:tcBorders>
            <w:tcMar>
              <w:top w:type="dxa" w:w="70"/>
              <w:left w:type="dxa" w:w="110"/>
              <w:bottom w:type="dxa" w:w="70"/>
              <w:right w:type="dxa" w:w="110"/>
            </w:tcMar>
          </w:tcPr>
          <w:p>
            <w:pPr>
              <w:spacing w:after="40" w:line="260"/>
            </w:pPr>
            <w:r>
              <w:rPr>
                <w:rFonts w:ascii="Calibri" w:cs="Calibri" w:eastAsia="Calibri" w:hAnsi="Calibri"/>
                <w:b w:val="false"/>
                <w:bCs w:val="false"/>
                <w:sz w:val="20"/>
                <w:szCs w:val="20"/>
              </w:rPr>
              <w:t xml:space="preserve">CORREL between num_lab_procedures and readmitted, plus a pivot (Q6_LabProcedures) with lab procedures grouped in bands of 10.</w:t>
            </w:r>
          </w:p>
        </w:tc>
      </w:tr>
      <w:tr>
        <w:trPr>
          <w:cantSplit/>
        </w:trPr>
        <w:tc>
          <w:tcPr>
            <w:tcW w:type="dxa" w:w="1700"/>
            <w:tcBorders>
              <w:top w:val="single" w:color="B7CFC9" w:sz="4"/>
              <w:left w:val="single" w:color="B7CFC9" w:sz="4"/>
              <w:bottom w:val="single" w:color="B7CFC9" w:sz="4"/>
              <w:right w:val="single" w:color="B7CFC9" w:sz="4"/>
            </w:tcBorders>
            <w:shd w:fill="E3F1ED" w:color="auto" w:val="clear"/>
            <w:tcMar>
              <w:top w:type="dxa" w:w="70"/>
              <w:left w:type="dxa" w:w="110"/>
              <w:bottom w:type="dxa" w:w="70"/>
              <w:right w:type="dxa" w:w="110"/>
            </w:tcMar>
          </w:tcPr>
          <w:p>
            <w:pPr>
              <w:spacing w:after="40" w:line="260"/>
            </w:pPr>
            <w:r>
              <w:rPr>
                <w:rFonts w:ascii="Calibri" w:cs="Calibri" w:eastAsia="Calibri" w:hAnsi="Calibri"/>
                <w:b/>
                <w:bCs/>
                <w:color w:val="185953"/>
                <w:sz w:val="20"/>
                <w:szCs w:val="20"/>
              </w:rPr>
              <w:t xml:space="preserve">Result</w:t>
            </w:r>
          </w:p>
        </w:tc>
        <w:tc>
          <w:tcPr>
            <w:tcW w:type="dxa" w:w="7326"/>
            <w:tcBorders>
              <w:top w:val="single" w:color="B7CFC9" w:sz="4"/>
              <w:left w:val="single" w:color="B7CFC9" w:sz="4"/>
              <w:bottom w:val="single" w:color="B7CFC9" w:sz="4"/>
              <w:right w:val="single" w:color="B7CFC9" w:sz="4"/>
            </w:tcBorders>
            <w:tcMar>
              <w:top w:type="dxa" w:w="70"/>
              <w:left w:type="dxa" w:w="110"/>
              <w:bottom w:type="dxa" w:w="70"/>
              <w:right w:type="dxa" w:w="110"/>
            </w:tcMar>
          </w:tcPr>
          <w:p>
            <w:pPr>
              <w:spacing w:after="40" w:line="260"/>
            </w:pPr>
            <w:r>
              <w:rPr>
                <w:rFonts w:ascii="Calibri" w:cs="Calibri" w:eastAsia="Calibri" w:hAnsi="Calibri"/>
                <w:b w:val="false"/>
                <w:bCs w:val="false"/>
                <w:sz w:val="20"/>
                <w:szCs w:val="20"/>
              </w:rPr>
              <w:t xml:space="preserve">Correlation 0.037 (very weak, positive). Readmission rises from 42.0% (10-19 procedures) to 50.2% (70-79).</w:t>
            </w:r>
          </w:p>
        </w:tc>
      </w:tr>
      <w:tr>
        <w:trPr>
          <w:cantSplit/>
        </w:trPr>
        <w:tc>
          <w:tcPr>
            <w:tcW w:type="dxa" w:w="1700"/>
            <w:tcBorders>
              <w:top w:val="single" w:color="B7CFC9" w:sz="4"/>
              <w:left w:val="single" w:color="B7CFC9" w:sz="4"/>
              <w:bottom w:val="single" w:color="B7CFC9" w:sz="4"/>
              <w:right w:val="single" w:color="B7CFC9" w:sz="4"/>
            </w:tcBorders>
            <w:shd w:fill="E3F1ED" w:color="auto" w:val="clear"/>
            <w:tcMar>
              <w:top w:type="dxa" w:w="70"/>
              <w:left w:type="dxa" w:w="110"/>
              <w:bottom w:type="dxa" w:w="70"/>
              <w:right w:type="dxa" w:w="110"/>
            </w:tcMar>
          </w:tcPr>
          <w:p>
            <w:pPr>
              <w:spacing w:after="40" w:line="260"/>
            </w:pPr>
            <w:r>
              <w:rPr>
                <w:rFonts w:ascii="Calibri" w:cs="Calibri" w:eastAsia="Calibri" w:hAnsi="Calibri"/>
                <w:b/>
                <w:bCs/>
                <w:color w:val="185953"/>
                <w:sz w:val="20"/>
                <w:szCs w:val="20"/>
              </w:rPr>
              <w:t xml:space="preserve">Insight</w:t>
            </w:r>
          </w:p>
        </w:tc>
        <w:tc>
          <w:tcPr>
            <w:tcW w:type="dxa" w:w="7326"/>
            <w:tcBorders>
              <w:top w:val="single" w:color="B7CFC9" w:sz="4"/>
              <w:left w:val="single" w:color="B7CFC9" w:sz="4"/>
              <w:bottom w:val="single" w:color="B7CFC9" w:sz="4"/>
              <w:right w:val="single" w:color="B7CFC9" w:sz="4"/>
            </w:tcBorders>
            <w:tcMar>
              <w:top w:type="dxa" w:w="70"/>
              <w:left w:type="dxa" w:w="110"/>
              <w:bottom w:type="dxa" w:w="70"/>
              <w:right w:type="dxa" w:w="110"/>
            </w:tcMar>
          </w:tcPr>
          <w:p>
            <w:pPr>
              <w:spacing w:after="40" w:line="260"/>
            </w:pPr>
            <w:r>
              <w:rPr>
                <w:rFonts w:ascii="Calibri" w:cs="Calibri" w:eastAsia="Calibri" w:hAnsi="Calibri"/>
                <w:b w:val="false"/>
                <w:bCs w:val="false"/>
                <w:sz w:val="20"/>
                <w:szCs w:val="20"/>
              </w:rPr>
              <w:t xml:space="preserve">Patients who receive more lab procedures are readmitted somewhat more often, probably because they are sicker. The effect is gradual, not sharp.</w:t>
            </w:r>
          </w:p>
        </w:tc>
      </w:tr>
      <w:tr>
        <w:trPr>
          <w:cantSplit/>
        </w:trPr>
        <w:tc>
          <w:tcPr>
            <w:tcW w:type="dxa" w:w="1700"/>
            <w:tcBorders>
              <w:top w:val="single" w:color="B7CFC9" w:sz="4"/>
              <w:left w:val="single" w:color="B7CFC9" w:sz="4"/>
              <w:bottom w:val="single" w:color="B7CFC9" w:sz="4"/>
              <w:right w:val="single" w:color="B7CFC9" w:sz="4"/>
            </w:tcBorders>
            <w:shd w:fill="E3F1ED" w:color="auto" w:val="clear"/>
            <w:tcMar>
              <w:top w:type="dxa" w:w="70"/>
              <w:left w:type="dxa" w:w="110"/>
              <w:bottom w:type="dxa" w:w="70"/>
              <w:right w:type="dxa" w:w="110"/>
            </w:tcMar>
          </w:tcPr>
          <w:p>
            <w:pPr>
              <w:spacing w:after="40" w:line="260"/>
            </w:pPr>
            <w:r>
              <w:rPr>
                <w:rFonts w:ascii="Calibri" w:cs="Calibri" w:eastAsia="Calibri" w:hAnsi="Calibri"/>
                <w:b/>
                <w:bCs/>
                <w:color w:val="185953"/>
                <w:sz w:val="20"/>
                <w:szCs w:val="20"/>
              </w:rPr>
              <w:t xml:space="preserve">Recommendation</w:t>
            </w:r>
          </w:p>
        </w:tc>
        <w:tc>
          <w:tcPr>
            <w:tcW w:type="dxa" w:w="7326"/>
            <w:tcBorders>
              <w:top w:val="single" w:color="B7CFC9" w:sz="4"/>
              <w:left w:val="single" w:color="B7CFC9" w:sz="4"/>
              <w:bottom w:val="single" w:color="B7CFC9" w:sz="4"/>
              <w:right w:val="single" w:color="B7CFC9" w:sz="4"/>
            </w:tcBorders>
            <w:tcMar>
              <w:top w:type="dxa" w:w="70"/>
              <w:left w:type="dxa" w:w="110"/>
              <w:bottom w:type="dxa" w:w="70"/>
              <w:right w:type="dxa" w:w="110"/>
            </w:tcMar>
          </w:tcPr>
          <w:p>
            <w:pPr>
              <w:spacing w:after="40" w:line="260"/>
            </w:pPr>
            <w:r>
              <w:rPr>
                <w:rFonts w:ascii="Calibri" w:cs="Calibri" w:eastAsia="Calibri" w:hAnsi="Calibri"/>
                <w:b w:val="false"/>
                <w:bCs w:val="false"/>
                <w:sz w:val="20"/>
                <w:szCs w:val="20"/>
              </w:rPr>
              <w:t xml:space="preserve">Treat 60 or more lab procedures as a risk marker for follow-up. Review whether high lab volumes reflect needed or avoidable tests before changing any protocol.</w:t>
            </w:r>
          </w:p>
        </w:tc>
      </w:tr>
      <w:tr>
        <w:trPr>
          <w:cantSplit/>
        </w:trPr>
        <w:tc>
          <w:tcPr>
            <w:tcW w:type="dxa" w:w="1700"/>
            <w:tcBorders>
              <w:top w:val="single" w:color="B7CFC9" w:sz="4"/>
              <w:left w:val="single" w:color="B7CFC9" w:sz="4"/>
              <w:bottom w:val="single" w:color="B7CFC9" w:sz="4"/>
              <w:right w:val="single" w:color="B7CFC9" w:sz="4"/>
            </w:tcBorders>
            <w:shd w:fill="E3F1ED" w:color="auto" w:val="clear"/>
            <w:tcMar>
              <w:top w:type="dxa" w:w="70"/>
              <w:left w:type="dxa" w:w="110"/>
              <w:bottom w:type="dxa" w:w="70"/>
              <w:right w:type="dxa" w:w="110"/>
            </w:tcMar>
          </w:tcPr>
          <w:p>
            <w:pPr>
              <w:spacing w:after="40" w:line="260"/>
            </w:pPr>
            <w:r>
              <w:rPr>
                <w:rFonts w:ascii="Calibri" w:cs="Calibri" w:eastAsia="Calibri" w:hAnsi="Calibri"/>
                <w:b/>
                <w:bCs/>
                <w:color w:val="185953"/>
                <w:sz w:val="20"/>
                <w:szCs w:val="20"/>
              </w:rPr>
              <w:t xml:space="preserve">Limitation</w:t>
            </w:r>
          </w:p>
        </w:tc>
        <w:tc>
          <w:tcPr>
            <w:tcW w:type="dxa" w:w="7326"/>
            <w:tcBorders>
              <w:top w:val="single" w:color="B7CFC9" w:sz="4"/>
              <w:left w:val="single" w:color="B7CFC9" w:sz="4"/>
              <w:bottom w:val="single" w:color="B7CFC9" w:sz="4"/>
              <w:right w:val="single" w:color="B7CFC9" w:sz="4"/>
            </w:tcBorders>
            <w:tcMar>
              <w:top w:type="dxa" w:w="70"/>
              <w:left w:type="dxa" w:w="110"/>
              <w:bottom w:type="dxa" w:w="70"/>
              <w:right w:type="dxa" w:w="110"/>
            </w:tcMar>
          </w:tcPr>
          <w:p>
            <w:pPr>
              <w:spacing w:after="40" w:line="260"/>
            </w:pPr>
            <w:r>
              <w:rPr>
                <w:rFonts w:ascii="Calibri" w:cs="Calibri" w:eastAsia="Calibri" w:hAnsi="Calibri"/>
                <w:b w:val="false"/>
                <w:bCs w:val="false"/>
                <w:sz w:val="20"/>
                <w:szCs w:val="20"/>
              </w:rPr>
              <w:t xml:space="preserve">Association, not cause. Bands above 80 have too few encounters (812, 203 and 33) to read.</w:t>
            </w:r>
          </w:p>
        </w:tc>
      </w:tr>
    </w:tbl>
    <w:p>
      <w:pPr>
        <w:spacing w:after="60"/>
      </w:pPr>
      <w:r>
        <w:rPr>
          <w:rFonts w:ascii="Calibri" w:cs="Calibri" w:eastAsia="Calibri" w:hAnsi="Calibri"/>
          <w:sz w:val="21"/>
          <w:szCs w:val="21"/>
        </w:rPr>
        <w:t xml:space="preserve"/>
      </w:r>
    </w:p>
    <w:p>
      <w:pPr>
        <w:pStyle w:val="Heading3"/>
        <w:keepNext/>
        <w:spacing w:after="90" w:before="220"/>
      </w:pPr>
      <w:r>
        <w:rPr>
          <w:rFonts w:ascii="Calibri" w:cs="Calibri" w:eastAsia="Calibri" w:hAnsi="Calibri"/>
          <w:b/>
          <w:bCs/>
          <w:color w:val="185953"/>
          <w:sz w:val="22"/>
          <w:szCs w:val="22"/>
        </w:rPr>
        <w:t xml:space="preserve">Basic Q7: Readmission by race and gender</w:t>
      </w:r>
    </w:p>
    <w:p>
      <w:pPr>
        <w:keepNext/>
        <w:spacing w:after="80"/>
      </w:pPr>
      <w:r>
        <w:rPr>
          <w:rFonts w:ascii="Calibri" w:cs="Calibri" w:eastAsia="Calibri" w:hAnsi="Calibri"/>
          <w:b/>
          <w:bCs/>
          <w:i/>
          <w:iCs/>
          <w:sz w:val="21"/>
          <w:szCs w:val="21"/>
        </w:rPr>
        <w:t xml:space="preserve">Question: </w:t>
      </w:r>
      <w:r>
        <w:rPr>
          <w:rFonts w:ascii="Calibri" w:cs="Calibri" w:eastAsia="Calibri" w:hAnsi="Calibri"/>
          <w:i/>
          <w:iCs/>
          <w:sz w:val="21"/>
          <w:szCs w:val="21"/>
        </w:rPr>
        <w:t xml:space="preserve">How do readmission rates vary by race and gender?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rPr>
          <w:cantSplit/>
        </w:trPr>
        <w:tc>
          <w:tcPr>
            <w:tcW w:type="dxa" w:w="1700"/>
            <w:tcBorders>
              <w:top w:val="single" w:color="B7CFC9" w:sz="4"/>
              <w:left w:val="single" w:color="B7CFC9" w:sz="4"/>
              <w:bottom w:val="single" w:color="B7CFC9" w:sz="4"/>
              <w:right w:val="single" w:color="B7CFC9" w:sz="4"/>
            </w:tcBorders>
            <w:shd w:fill="E3F1ED" w:color="auto" w:val="clear"/>
            <w:tcMar>
              <w:top w:type="dxa" w:w="70"/>
              <w:left w:type="dxa" w:w="110"/>
              <w:bottom w:type="dxa" w:w="70"/>
              <w:right w:type="dxa" w:w="110"/>
            </w:tcMar>
          </w:tcPr>
          <w:p>
            <w:pPr>
              <w:spacing w:after="40" w:line="260"/>
            </w:pPr>
            <w:r>
              <w:rPr>
                <w:rFonts w:ascii="Calibri" w:cs="Calibri" w:eastAsia="Calibri" w:hAnsi="Calibri"/>
                <w:b/>
                <w:bCs/>
                <w:color w:val="185953"/>
                <w:sz w:val="20"/>
                <w:szCs w:val="20"/>
              </w:rPr>
              <w:t xml:space="preserve">Method</w:t>
            </w:r>
          </w:p>
        </w:tc>
        <w:tc>
          <w:tcPr>
            <w:tcW w:type="dxa" w:w="7326"/>
            <w:tcBorders>
              <w:top w:val="single" w:color="B7CFC9" w:sz="4"/>
              <w:left w:val="single" w:color="B7CFC9" w:sz="4"/>
              <w:bottom w:val="single" w:color="B7CFC9" w:sz="4"/>
              <w:right w:val="single" w:color="B7CFC9" w:sz="4"/>
            </w:tcBorders>
            <w:tcMar>
              <w:top w:type="dxa" w:w="70"/>
              <w:left w:type="dxa" w:w="110"/>
              <w:bottom w:type="dxa" w:w="70"/>
              <w:right w:type="dxa" w:w="110"/>
            </w:tcMar>
          </w:tcPr>
          <w:p>
            <w:pPr>
              <w:spacing w:after="40" w:line="260"/>
            </w:pPr>
            <w:r>
              <w:rPr>
                <w:rFonts w:ascii="Calibri" w:cs="Calibri" w:eastAsia="Calibri" w:hAnsi="Calibri"/>
                <w:b w:val="false"/>
                <w:bCs w:val="false"/>
                <w:sz w:val="20"/>
                <w:szCs w:val="20"/>
              </w:rPr>
              <w:t xml:space="preserve">Two pivot tables (Q7_RaceGender): average of readmitted by race (rows) and gender (columns), and a matching count of encounters.</w:t>
            </w:r>
          </w:p>
        </w:tc>
      </w:tr>
      <w:tr>
        <w:trPr>
          <w:cantSplit/>
        </w:trPr>
        <w:tc>
          <w:tcPr>
            <w:tcW w:type="dxa" w:w="1700"/>
            <w:tcBorders>
              <w:top w:val="single" w:color="B7CFC9" w:sz="4"/>
              <w:left w:val="single" w:color="B7CFC9" w:sz="4"/>
              <w:bottom w:val="single" w:color="B7CFC9" w:sz="4"/>
              <w:right w:val="single" w:color="B7CFC9" w:sz="4"/>
            </w:tcBorders>
            <w:shd w:fill="E3F1ED" w:color="auto" w:val="clear"/>
            <w:tcMar>
              <w:top w:type="dxa" w:w="70"/>
              <w:left w:type="dxa" w:w="110"/>
              <w:bottom w:type="dxa" w:w="70"/>
              <w:right w:type="dxa" w:w="110"/>
            </w:tcMar>
          </w:tcPr>
          <w:p>
            <w:pPr>
              <w:spacing w:after="40" w:line="260"/>
            </w:pPr>
            <w:r>
              <w:rPr>
                <w:rFonts w:ascii="Calibri" w:cs="Calibri" w:eastAsia="Calibri" w:hAnsi="Calibri"/>
                <w:b/>
                <w:bCs/>
                <w:color w:val="185953"/>
                <w:sz w:val="20"/>
                <w:szCs w:val="20"/>
              </w:rPr>
              <w:t xml:space="preserve">Result</w:t>
            </w:r>
          </w:p>
        </w:tc>
        <w:tc>
          <w:tcPr>
            <w:tcW w:type="dxa" w:w="7326"/>
            <w:tcBorders>
              <w:top w:val="single" w:color="B7CFC9" w:sz="4"/>
              <w:left w:val="single" w:color="B7CFC9" w:sz="4"/>
              <w:bottom w:val="single" w:color="B7CFC9" w:sz="4"/>
              <w:right w:val="single" w:color="B7CFC9" w:sz="4"/>
            </w:tcBorders>
            <w:tcMar>
              <w:top w:type="dxa" w:w="70"/>
              <w:left w:type="dxa" w:w="110"/>
              <w:bottom w:type="dxa" w:w="70"/>
              <w:right w:type="dxa" w:w="110"/>
            </w:tcMar>
          </w:tcPr>
          <w:p>
            <w:pPr>
              <w:spacing w:after="40" w:line="260"/>
            </w:pPr>
            <w:r>
              <w:rPr>
                <w:rFonts w:ascii="Calibri" w:cs="Calibri" w:eastAsia="Calibri" w:hAnsi="Calibri"/>
                <w:b w:val="false"/>
                <w:bCs w:val="false"/>
                <w:sz w:val="20"/>
                <w:szCs w:val="20"/>
              </w:rPr>
              <w:t xml:space="preserve">Race: Caucasian 47.0%, African American 46.1%, Hispanic 41.1%, Other 40.6%, Asian 37.0%, Unknown 31.5%. Gender: Female 46.8%, Male 45.5%.</w:t>
            </w:r>
          </w:p>
        </w:tc>
      </w:tr>
      <w:tr>
        <w:trPr>
          <w:cantSplit/>
        </w:trPr>
        <w:tc>
          <w:tcPr>
            <w:tcW w:type="dxa" w:w="1700"/>
            <w:tcBorders>
              <w:top w:val="single" w:color="B7CFC9" w:sz="4"/>
              <w:left w:val="single" w:color="B7CFC9" w:sz="4"/>
              <w:bottom w:val="single" w:color="B7CFC9" w:sz="4"/>
              <w:right w:val="single" w:color="B7CFC9" w:sz="4"/>
            </w:tcBorders>
            <w:shd w:fill="E3F1ED" w:color="auto" w:val="clear"/>
            <w:tcMar>
              <w:top w:type="dxa" w:w="70"/>
              <w:left w:type="dxa" w:w="110"/>
              <w:bottom w:type="dxa" w:w="70"/>
              <w:right w:type="dxa" w:w="110"/>
            </w:tcMar>
          </w:tcPr>
          <w:p>
            <w:pPr>
              <w:spacing w:after="40" w:line="260"/>
            </w:pPr>
            <w:r>
              <w:rPr>
                <w:rFonts w:ascii="Calibri" w:cs="Calibri" w:eastAsia="Calibri" w:hAnsi="Calibri"/>
                <w:b/>
                <w:bCs/>
                <w:color w:val="185953"/>
                <w:sz w:val="20"/>
                <w:szCs w:val="20"/>
              </w:rPr>
              <w:t xml:space="preserve">Insight</w:t>
            </w:r>
          </w:p>
        </w:tc>
        <w:tc>
          <w:tcPr>
            <w:tcW w:type="dxa" w:w="7326"/>
            <w:tcBorders>
              <w:top w:val="single" w:color="B7CFC9" w:sz="4"/>
              <w:left w:val="single" w:color="B7CFC9" w:sz="4"/>
              <w:bottom w:val="single" w:color="B7CFC9" w:sz="4"/>
              <w:right w:val="single" w:color="B7CFC9" w:sz="4"/>
            </w:tcBorders>
            <w:tcMar>
              <w:top w:type="dxa" w:w="70"/>
              <w:left w:type="dxa" w:w="110"/>
              <w:bottom w:type="dxa" w:w="70"/>
              <w:right w:type="dxa" w:w="110"/>
            </w:tcMar>
          </w:tcPr>
          <w:p>
            <w:pPr>
              <w:spacing w:after="40" w:line="260"/>
            </w:pPr>
            <w:r>
              <w:rPr>
                <w:rFonts w:ascii="Calibri" w:cs="Calibri" w:eastAsia="Calibri" w:hAnsi="Calibri"/>
                <w:b w:val="false"/>
                <w:bCs w:val="false"/>
                <w:sz w:val="20"/>
                <w:szCs w:val="20"/>
              </w:rPr>
              <w:t xml:space="preserve">The two largest racial groups (93.7% of encounters) have almost the same rate, and the gender gap is small (1.3 points). Lower rates for Asian, Hispanic and Other patients rest on much smaller groups.</w:t>
            </w:r>
          </w:p>
        </w:tc>
      </w:tr>
      <w:tr>
        <w:trPr>
          <w:cantSplit/>
        </w:trPr>
        <w:tc>
          <w:tcPr>
            <w:tcW w:type="dxa" w:w="1700"/>
            <w:tcBorders>
              <w:top w:val="single" w:color="B7CFC9" w:sz="4"/>
              <w:left w:val="single" w:color="B7CFC9" w:sz="4"/>
              <w:bottom w:val="single" w:color="B7CFC9" w:sz="4"/>
              <w:right w:val="single" w:color="B7CFC9" w:sz="4"/>
            </w:tcBorders>
            <w:shd w:fill="E3F1ED" w:color="auto" w:val="clear"/>
            <w:tcMar>
              <w:top w:type="dxa" w:w="70"/>
              <w:left w:type="dxa" w:w="110"/>
              <w:bottom w:type="dxa" w:w="70"/>
              <w:right w:type="dxa" w:w="110"/>
            </w:tcMar>
          </w:tcPr>
          <w:p>
            <w:pPr>
              <w:spacing w:after="40" w:line="260"/>
            </w:pPr>
            <w:r>
              <w:rPr>
                <w:rFonts w:ascii="Calibri" w:cs="Calibri" w:eastAsia="Calibri" w:hAnsi="Calibri"/>
                <w:b/>
                <w:bCs/>
                <w:color w:val="185953"/>
                <w:sz w:val="20"/>
                <w:szCs w:val="20"/>
              </w:rPr>
              <w:t xml:space="preserve">Recommendation</w:t>
            </w:r>
          </w:p>
        </w:tc>
        <w:tc>
          <w:tcPr>
            <w:tcW w:type="dxa" w:w="7326"/>
            <w:tcBorders>
              <w:top w:val="single" w:color="B7CFC9" w:sz="4"/>
              <w:left w:val="single" w:color="B7CFC9" w:sz="4"/>
              <w:bottom w:val="single" w:color="B7CFC9" w:sz="4"/>
              <w:right w:val="single" w:color="B7CFC9" w:sz="4"/>
            </w:tcBorders>
            <w:tcMar>
              <w:top w:type="dxa" w:w="70"/>
              <w:left w:type="dxa" w:w="110"/>
              <w:bottom w:type="dxa" w:w="70"/>
              <w:right w:type="dxa" w:w="110"/>
            </w:tcMar>
          </w:tcPr>
          <w:p>
            <w:pPr>
              <w:spacing w:after="40" w:line="260"/>
            </w:pPr>
            <w:r>
              <w:rPr>
                <w:rFonts w:ascii="Calibri" w:cs="Calibri" w:eastAsia="Calibri" w:hAnsi="Calibri"/>
                <w:b w:val="false"/>
                <w:bCs w:val="false"/>
                <w:sz w:val="20"/>
                <w:szCs w:val="20"/>
              </w:rPr>
              <w:t xml:space="preserve">The data does not support targeting a program by race or gender. Keep monitoring the Asian and Hispanic groups as volumes grow, and improve how race is recorded (2.3% is unknown).</w:t>
            </w:r>
          </w:p>
        </w:tc>
      </w:tr>
      <w:tr>
        <w:trPr>
          <w:cantSplit/>
        </w:trPr>
        <w:tc>
          <w:tcPr>
            <w:tcW w:type="dxa" w:w="1700"/>
            <w:tcBorders>
              <w:top w:val="single" w:color="B7CFC9" w:sz="4"/>
              <w:left w:val="single" w:color="B7CFC9" w:sz="4"/>
              <w:bottom w:val="single" w:color="B7CFC9" w:sz="4"/>
              <w:right w:val="single" w:color="B7CFC9" w:sz="4"/>
            </w:tcBorders>
            <w:shd w:fill="E3F1ED" w:color="auto" w:val="clear"/>
            <w:tcMar>
              <w:top w:type="dxa" w:w="70"/>
              <w:left w:type="dxa" w:w="110"/>
              <w:bottom w:type="dxa" w:w="70"/>
              <w:right w:type="dxa" w:w="110"/>
            </w:tcMar>
          </w:tcPr>
          <w:p>
            <w:pPr>
              <w:spacing w:after="40" w:line="260"/>
            </w:pPr>
            <w:r>
              <w:rPr>
                <w:rFonts w:ascii="Calibri" w:cs="Calibri" w:eastAsia="Calibri" w:hAnsi="Calibri"/>
                <w:b/>
                <w:bCs/>
                <w:color w:val="185953"/>
                <w:sz w:val="20"/>
                <w:szCs w:val="20"/>
              </w:rPr>
              <w:t xml:space="preserve">Limitation</w:t>
            </w:r>
          </w:p>
        </w:tc>
        <w:tc>
          <w:tcPr>
            <w:tcW w:type="dxa" w:w="7326"/>
            <w:tcBorders>
              <w:top w:val="single" w:color="B7CFC9" w:sz="4"/>
              <w:left w:val="single" w:color="B7CFC9" w:sz="4"/>
              <w:bottom w:val="single" w:color="B7CFC9" w:sz="4"/>
              <w:right w:val="single" w:color="B7CFC9" w:sz="4"/>
            </w:tcBorders>
            <w:tcMar>
              <w:top w:type="dxa" w:w="70"/>
              <w:left w:type="dxa" w:w="110"/>
              <w:bottom w:type="dxa" w:w="70"/>
              <w:right w:type="dxa" w:w="110"/>
            </w:tcMar>
          </w:tcPr>
          <w:p>
            <w:pPr>
              <w:spacing w:after="40" w:line="260"/>
            </w:pPr>
            <w:r>
              <w:rPr>
                <w:rFonts w:ascii="Calibri" w:cs="Calibri" w:eastAsia="Calibri" w:hAnsi="Calibri"/>
                <w:b w:val="false"/>
                <w:bCs w:val="false"/>
                <w:sz w:val="20"/>
                <w:szCs w:val="20"/>
              </w:rPr>
              <w:t xml:space="preserve">The gender gap was not tested for significance, and cells under about 500 encounters are unreliable. Lower rates in small groups could reflect care received elsewhere.</w:t>
            </w:r>
          </w:p>
        </w:tc>
      </w:tr>
    </w:tbl>
    <w:p>
      <w:pPr>
        <w:spacing w:after="60"/>
      </w:pPr>
      <w:r>
        <w:rPr>
          <w:rFonts w:ascii="Calibri" w:cs="Calibri" w:eastAsia="Calibri" w:hAnsi="Calibri"/>
          <w:sz w:val="21"/>
          <w:szCs w:val="21"/>
        </w:rPr>
        <w:t xml:space="preserve"/>
      </w:r>
    </w:p>
    <w:p>
      <w:pPr>
        <w:pStyle w:val="Heading3"/>
        <w:keepNext/>
        <w:spacing w:after="90" w:before="220"/>
      </w:pPr>
      <w:r>
        <w:rPr>
          <w:rFonts w:ascii="Calibri" w:cs="Calibri" w:eastAsia="Calibri" w:hAnsi="Calibri"/>
          <w:b/>
          <w:bCs/>
          <w:color w:val="185953"/>
          <w:sz w:val="22"/>
          <w:szCs w:val="22"/>
        </w:rPr>
        <w:t xml:space="preserve">Basic Q8: Weight categories</w:t>
      </w:r>
    </w:p>
    <w:p>
      <w:pPr>
        <w:keepNext/>
        <w:spacing w:after="80"/>
      </w:pPr>
      <w:r>
        <w:rPr>
          <w:rFonts w:ascii="Calibri" w:cs="Calibri" w:eastAsia="Calibri" w:hAnsi="Calibri"/>
          <w:b/>
          <w:bCs/>
          <w:i/>
          <w:iCs/>
          <w:sz w:val="21"/>
          <w:szCs w:val="21"/>
        </w:rPr>
        <w:t xml:space="preserve">Question: </w:t>
      </w:r>
      <w:r>
        <w:rPr>
          <w:rFonts w:ascii="Calibri" w:cs="Calibri" w:eastAsia="Calibri" w:hAnsi="Calibri"/>
          <w:i/>
          <w:iCs/>
          <w:sz w:val="21"/>
          <w:szCs w:val="21"/>
        </w:rPr>
        <w:t xml:space="preserve">What is the distribution of patients across weight categories, and how does this relate to readmission rates?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rPr>
          <w:cantSplit/>
        </w:trPr>
        <w:tc>
          <w:tcPr>
            <w:tcW w:type="dxa" w:w="1700"/>
            <w:tcBorders>
              <w:top w:val="single" w:color="B7CFC9" w:sz="4"/>
              <w:left w:val="single" w:color="B7CFC9" w:sz="4"/>
              <w:bottom w:val="single" w:color="B7CFC9" w:sz="4"/>
              <w:right w:val="single" w:color="B7CFC9" w:sz="4"/>
            </w:tcBorders>
            <w:shd w:fill="E3F1ED" w:color="auto" w:val="clear"/>
            <w:tcMar>
              <w:top w:type="dxa" w:w="70"/>
              <w:left w:type="dxa" w:w="110"/>
              <w:bottom w:type="dxa" w:w="70"/>
              <w:right w:type="dxa" w:w="110"/>
            </w:tcMar>
          </w:tcPr>
          <w:p>
            <w:pPr>
              <w:spacing w:after="40" w:line="260"/>
            </w:pPr>
            <w:r>
              <w:rPr>
                <w:rFonts w:ascii="Calibri" w:cs="Calibri" w:eastAsia="Calibri" w:hAnsi="Calibri"/>
                <w:b/>
                <w:bCs/>
                <w:color w:val="185953"/>
                <w:sz w:val="20"/>
                <w:szCs w:val="20"/>
              </w:rPr>
              <w:t xml:space="preserve">Method</w:t>
            </w:r>
          </w:p>
        </w:tc>
        <w:tc>
          <w:tcPr>
            <w:tcW w:type="dxa" w:w="7326"/>
            <w:tcBorders>
              <w:top w:val="single" w:color="B7CFC9" w:sz="4"/>
              <w:left w:val="single" w:color="B7CFC9" w:sz="4"/>
              <w:bottom w:val="single" w:color="B7CFC9" w:sz="4"/>
              <w:right w:val="single" w:color="B7CFC9" w:sz="4"/>
            </w:tcBorders>
            <w:tcMar>
              <w:top w:type="dxa" w:w="70"/>
              <w:left w:type="dxa" w:w="110"/>
              <w:bottom w:type="dxa" w:w="70"/>
              <w:right w:type="dxa" w:w="110"/>
            </w:tcMar>
          </w:tcPr>
          <w:p>
            <w:pPr>
              <w:spacing w:after="40" w:line="260"/>
            </w:pPr>
            <w:r>
              <w:rPr>
                <w:rFonts w:ascii="Calibri" w:cs="Calibri" w:eastAsia="Calibri" w:hAnsi="Calibri"/>
                <w:b w:val="false"/>
                <w:bCs w:val="false"/>
                <w:sz w:val="20"/>
                <w:szCs w:val="20"/>
              </w:rPr>
              <w:t xml:space="preserve">Missing-value check on weight, then weight and encounter_id were taken from the raw file, de-duplicated and joined back to the table. Pivot (Weight_Pivot) of readmission rate and count by weight band for patients with a recorded weight.</w:t>
            </w:r>
          </w:p>
        </w:tc>
      </w:tr>
      <w:tr>
        <w:trPr>
          <w:cantSplit/>
        </w:trPr>
        <w:tc>
          <w:tcPr>
            <w:tcW w:type="dxa" w:w="1700"/>
            <w:tcBorders>
              <w:top w:val="single" w:color="B7CFC9" w:sz="4"/>
              <w:left w:val="single" w:color="B7CFC9" w:sz="4"/>
              <w:bottom w:val="single" w:color="B7CFC9" w:sz="4"/>
              <w:right w:val="single" w:color="B7CFC9" w:sz="4"/>
            </w:tcBorders>
            <w:shd w:fill="E3F1ED" w:color="auto" w:val="clear"/>
            <w:tcMar>
              <w:top w:type="dxa" w:w="70"/>
              <w:left w:type="dxa" w:w="110"/>
              <w:bottom w:type="dxa" w:w="70"/>
              <w:right w:type="dxa" w:w="110"/>
            </w:tcMar>
          </w:tcPr>
          <w:p>
            <w:pPr>
              <w:spacing w:after="40" w:line="260"/>
            </w:pPr>
            <w:r>
              <w:rPr>
                <w:rFonts w:ascii="Calibri" w:cs="Calibri" w:eastAsia="Calibri" w:hAnsi="Calibri"/>
                <w:b/>
                <w:bCs/>
                <w:color w:val="185953"/>
                <w:sz w:val="20"/>
                <w:szCs w:val="20"/>
              </w:rPr>
              <w:t xml:space="preserve">Result</w:t>
            </w:r>
          </w:p>
        </w:tc>
        <w:tc>
          <w:tcPr>
            <w:tcW w:type="dxa" w:w="7326"/>
            <w:tcBorders>
              <w:top w:val="single" w:color="B7CFC9" w:sz="4"/>
              <w:left w:val="single" w:color="B7CFC9" w:sz="4"/>
              <w:bottom w:val="single" w:color="B7CFC9" w:sz="4"/>
              <w:right w:val="single" w:color="B7CFC9" w:sz="4"/>
            </w:tcBorders>
            <w:tcMar>
              <w:top w:type="dxa" w:w="70"/>
              <w:left w:type="dxa" w:w="110"/>
              <w:bottom w:type="dxa" w:w="70"/>
              <w:right w:type="dxa" w:w="110"/>
            </w:tcMar>
          </w:tcPr>
          <w:p>
            <w:pPr>
              <w:spacing w:after="40" w:line="260"/>
            </w:pPr>
            <w:r>
              <w:rPr>
                <w:rFonts w:ascii="Calibri" w:cs="Calibri" w:eastAsia="Calibri" w:hAnsi="Calibri"/>
                <w:b w:val="false"/>
                <w:bCs w:val="false"/>
                <w:sz w:val="20"/>
                <w:szCs w:val="20"/>
              </w:rPr>
              <w:t xml:space="preserve">96.8% of weights are missing (47,354 of 48,911), leaving 1,557 usable records. Readmission: 53.6% (50-75), 60.2% (75-100), 57.7% (100-125), with no clear trend.</w:t>
            </w:r>
          </w:p>
        </w:tc>
      </w:tr>
      <w:tr>
        <w:trPr>
          <w:cantSplit/>
        </w:trPr>
        <w:tc>
          <w:tcPr>
            <w:tcW w:type="dxa" w:w="1700"/>
            <w:tcBorders>
              <w:top w:val="single" w:color="B7CFC9" w:sz="4"/>
              <w:left w:val="single" w:color="B7CFC9" w:sz="4"/>
              <w:bottom w:val="single" w:color="B7CFC9" w:sz="4"/>
              <w:right w:val="single" w:color="B7CFC9" w:sz="4"/>
            </w:tcBorders>
            <w:shd w:fill="E3F1ED" w:color="auto" w:val="clear"/>
            <w:tcMar>
              <w:top w:type="dxa" w:w="70"/>
              <w:left w:type="dxa" w:w="110"/>
              <w:bottom w:type="dxa" w:w="70"/>
              <w:right w:type="dxa" w:w="110"/>
            </w:tcMar>
          </w:tcPr>
          <w:p>
            <w:pPr>
              <w:spacing w:after="40" w:line="260"/>
            </w:pPr>
            <w:r>
              <w:rPr>
                <w:rFonts w:ascii="Calibri" w:cs="Calibri" w:eastAsia="Calibri" w:hAnsi="Calibri"/>
                <w:b/>
                <w:bCs/>
                <w:color w:val="185953"/>
                <w:sz w:val="20"/>
                <w:szCs w:val="20"/>
              </w:rPr>
              <w:t xml:space="preserve">Insight</w:t>
            </w:r>
          </w:p>
        </w:tc>
        <w:tc>
          <w:tcPr>
            <w:tcW w:type="dxa" w:w="7326"/>
            <w:tcBorders>
              <w:top w:val="single" w:color="B7CFC9" w:sz="4"/>
              <w:left w:val="single" w:color="B7CFC9" w:sz="4"/>
              <w:bottom w:val="single" w:color="B7CFC9" w:sz="4"/>
              <w:right w:val="single" w:color="B7CFC9" w:sz="4"/>
            </w:tcBorders>
            <w:tcMar>
              <w:top w:type="dxa" w:w="70"/>
              <w:left w:type="dxa" w:w="110"/>
              <w:bottom w:type="dxa" w:w="70"/>
              <w:right w:type="dxa" w:w="110"/>
            </w:tcMar>
          </w:tcPr>
          <w:p>
            <w:pPr>
              <w:spacing w:after="40" w:line="260"/>
            </w:pPr>
            <w:r>
              <w:rPr>
                <w:rFonts w:ascii="Calibri" w:cs="Calibri" w:eastAsia="Calibri" w:hAnsi="Calibri"/>
                <w:b w:val="false"/>
                <w:bCs w:val="false"/>
                <w:sz w:val="20"/>
                <w:szCs w:val="20"/>
              </w:rPr>
              <w:t xml:space="preserve">Weight data is too incomplete to support conclusions about all patients. The small weighed group has a much higher readmission rate (57.6% vs 46.2%), so it is not representative.</w:t>
            </w:r>
          </w:p>
        </w:tc>
      </w:tr>
      <w:tr>
        <w:trPr>
          <w:cantSplit/>
        </w:trPr>
        <w:tc>
          <w:tcPr>
            <w:tcW w:type="dxa" w:w="1700"/>
            <w:tcBorders>
              <w:top w:val="single" w:color="B7CFC9" w:sz="4"/>
              <w:left w:val="single" w:color="B7CFC9" w:sz="4"/>
              <w:bottom w:val="single" w:color="B7CFC9" w:sz="4"/>
              <w:right w:val="single" w:color="B7CFC9" w:sz="4"/>
            </w:tcBorders>
            <w:shd w:fill="E3F1ED" w:color="auto" w:val="clear"/>
            <w:tcMar>
              <w:top w:type="dxa" w:w="70"/>
              <w:left w:type="dxa" w:w="110"/>
              <w:bottom w:type="dxa" w:w="70"/>
              <w:right w:type="dxa" w:w="110"/>
            </w:tcMar>
          </w:tcPr>
          <w:p>
            <w:pPr>
              <w:spacing w:after="40" w:line="260"/>
            </w:pPr>
            <w:r>
              <w:rPr>
                <w:rFonts w:ascii="Calibri" w:cs="Calibri" w:eastAsia="Calibri" w:hAnsi="Calibri"/>
                <w:b/>
                <w:bCs/>
                <w:color w:val="185953"/>
                <w:sz w:val="20"/>
                <w:szCs w:val="20"/>
              </w:rPr>
              <w:t xml:space="preserve">Recommendation</w:t>
            </w:r>
          </w:p>
        </w:tc>
        <w:tc>
          <w:tcPr>
            <w:tcW w:type="dxa" w:w="7326"/>
            <w:tcBorders>
              <w:top w:val="single" w:color="B7CFC9" w:sz="4"/>
              <w:left w:val="single" w:color="B7CFC9" w:sz="4"/>
              <w:bottom w:val="single" w:color="B7CFC9" w:sz="4"/>
              <w:right w:val="single" w:color="B7CFC9" w:sz="4"/>
            </w:tcBorders>
            <w:tcMar>
              <w:top w:type="dxa" w:w="70"/>
              <w:left w:type="dxa" w:w="110"/>
              <w:bottom w:type="dxa" w:w="70"/>
              <w:right w:type="dxa" w:w="110"/>
            </w:tcMar>
          </w:tcPr>
          <w:p>
            <w:pPr>
              <w:spacing w:after="40" w:line="260"/>
            </w:pPr>
            <w:r>
              <w:rPr>
                <w:rFonts w:ascii="Calibri" w:cs="Calibri" w:eastAsia="Calibri" w:hAnsi="Calibri"/>
                <w:b w:val="false"/>
                <w:bCs w:val="false"/>
                <w:sz w:val="20"/>
                <w:szCs w:val="20"/>
              </w:rPr>
              <w:t xml:space="preserve">Make weight a required field at admission so a proper analysis becomes possible.</w:t>
            </w:r>
          </w:p>
        </w:tc>
      </w:tr>
      <w:tr>
        <w:trPr>
          <w:cantSplit/>
        </w:trPr>
        <w:tc>
          <w:tcPr>
            <w:tcW w:type="dxa" w:w="1700"/>
            <w:tcBorders>
              <w:top w:val="single" w:color="B7CFC9" w:sz="4"/>
              <w:left w:val="single" w:color="B7CFC9" w:sz="4"/>
              <w:bottom w:val="single" w:color="B7CFC9" w:sz="4"/>
              <w:right w:val="single" w:color="B7CFC9" w:sz="4"/>
            </w:tcBorders>
            <w:shd w:fill="E3F1ED" w:color="auto" w:val="clear"/>
            <w:tcMar>
              <w:top w:type="dxa" w:w="70"/>
              <w:left w:type="dxa" w:w="110"/>
              <w:bottom w:type="dxa" w:w="70"/>
              <w:right w:type="dxa" w:w="110"/>
            </w:tcMar>
          </w:tcPr>
          <w:p>
            <w:pPr>
              <w:spacing w:after="40" w:line="260"/>
            </w:pPr>
            <w:r>
              <w:rPr>
                <w:rFonts w:ascii="Calibri" w:cs="Calibri" w:eastAsia="Calibri" w:hAnsi="Calibri"/>
                <w:b/>
                <w:bCs/>
                <w:color w:val="185953"/>
                <w:sz w:val="20"/>
                <w:szCs w:val="20"/>
              </w:rPr>
              <w:t xml:space="preserve">Limitation</w:t>
            </w:r>
          </w:p>
        </w:tc>
        <w:tc>
          <w:tcPr>
            <w:tcW w:type="dxa" w:w="7326"/>
            <w:tcBorders>
              <w:top w:val="single" w:color="B7CFC9" w:sz="4"/>
              <w:left w:val="single" w:color="B7CFC9" w:sz="4"/>
              <w:bottom w:val="single" w:color="B7CFC9" w:sz="4"/>
              <w:right w:val="single" w:color="B7CFC9" w:sz="4"/>
            </w:tcBorders>
            <w:tcMar>
              <w:top w:type="dxa" w:w="70"/>
              <w:left w:type="dxa" w:w="110"/>
              <w:bottom w:type="dxa" w:w="70"/>
              <w:right w:type="dxa" w:w="110"/>
            </w:tcMar>
          </w:tcPr>
          <w:p>
            <w:pPr>
              <w:spacing w:after="40" w:line="260"/>
            </w:pPr>
            <w:r>
              <w:rPr>
                <w:rFonts w:ascii="Calibri" w:cs="Calibri" w:eastAsia="Calibri" w:hAnsi="Calibri"/>
                <w:b w:val="false"/>
                <w:bCs w:val="false"/>
                <w:sz w:val="20"/>
                <w:szCs w:val="20"/>
              </w:rPr>
              <w:t xml:space="preserve">Indicative only: a 3.2% sample from a different kind of patient. Bands with fewer than 100 patients were not interpreted. Weight units are not stated in the data dictionary.</w:t>
            </w:r>
          </w:p>
        </w:tc>
      </w:tr>
    </w:tbl>
    <w:p>
      <w:pPr>
        <w:spacing w:after="60"/>
      </w:pPr>
      <w:r>
        <w:rPr>
          <w:rFonts w:ascii="Calibri" w:cs="Calibri" w:eastAsia="Calibri" w:hAnsi="Calibri"/>
          <w:sz w:val="21"/>
          <w:szCs w:val="21"/>
        </w:rPr>
        <w:t xml:space="preserve"/>
      </w:r>
    </w:p>
    <w:p>
      <w:pPr>
        <w:pStyle w:val="Heading3"/>
        <w:keepNext/>
        <w:spacing w:after="90" w:before="220"/>
      </w:pPr>
      <w:r>
        <w:rPr>
          <w:rFonts w:ascii="Calibri" w:cs="Calibri" w:eastAsia="Calibri" w:hAnsi="Calibri"/>
          <w:b/>
          <w:bCs/>
          <w:color w:val="185953"/>
          <w:sz w:val="22"/>
          <w:szCs w:val="22"/>
        </w:rPr>
        <w:t xml:space="preserve">Basic Q9: Medications and length of stay</w:t>
      </w:r>
    </w:p>
    <w:p>
      <w:pPr>
        <w:keepNext/>
        <w:spacing w:after="80"/>
      </w:pPr>
      <w:r>
        <w:rPr>
          <w:rFonts w:ascii="Calibri" w:cs="Calibri" w:eastAsia="Calibri" w:hAnsi="Calibri"/>
          <w:b/>
          <w:bCs/>
          <w:i/>
          <w:iCs/>
          <w:sz w:val="21"/>
          <w:szCs w:val="21"/>
        </w:rPr>
        <w:t xml:space="preserve">Question: </w:t>
      </w:r>
      <w:r>
        <w:rPr>
          <w:rFonts w:ascii="Calibri" w:cs="Calibri" w:eastAsia="Calibri" w:hAnsi="Calibri"/>
          <w:i/>
          <w:iCs/>
          <w:sz w:val="21"/>
          <w:szCs w:val="21"/>
        </w:rPr>
        <w:t xml:space="preserve">Evaluate the impact of the number of medications prescribed on the length of hospital stay.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rPr>
          <w:cantSplit/>
        </w:trPr>
        <w:tc>
          <w:tcPr>
            <w:tcW w:type="dxa" w:w="1700"/>
            <w:tcBorders>
              <w:top w:val="single" w:color="B7CFC9" w:sz="4"/>
              <w:left w:val="single" w:color="B7CFC9" w:sz="4"/>
              <w:bottom w:val="single" w:color="B7CFC9" w:sz="4"/>
              <w:right w:val="single" w:color="B7CFC9" w:sz="4"/>
            </w:tcBorders>
            <w:shd w:fill="E3F1ED" w:color="auto" w:val="clear"/>
            <w:tcMar>
              <w:top w:type="dxa" w:w="70"/>
              <w:left w:type="dxa" w:w="110"/>
              <w:bottom w:type="dxa" w:w="70"/>
              <w:right w:type="dxa" w:w="110"/>
            </w:tcMar>
          </w:tcPr>
          <w:p>
            <w:pPr>
              <w:spacing w:after="40" w:line="260"/>
            </w:pPr>
            <w:r>
              <w:rPr>
                <w:rFonts w:ascii="Calibri" w:cs="Calibri" w:eastAsia="Calibri" w:hAnsi="Calibri"/>
                <w:b/>
                <w:bCs/>
                <w:color w:val="185953"/>
                <w:sz w:val="20"/>
                <w:szCs w:val="20"/>
              </w:rPr>
              <w:t xml:space="preserve">Method</w:t>
            </w:r>
          </w:p>
        </w:tc>
        <w:tc>
          <w:tcPr>
            <w:tcW w:type="dxa" w:w="7326"/>
            <w:tcBorders>
              <w:top w:val="single" w:color="B7CFC9" w:sz="4"/>
              <w:left w:val="single" w:color="B7CFC9" w:sz="4"/>
              <w:bottom w:val="single" w:color="B7CFC9" w:sz="4"/>
              <w:right w:val="single" w:color="B7CFC9" w:sz="4"/>
            </w:tcBorders>
            <w:tcMar>
              <w:top w:type="dxa" w:w="70"/>
              <w:left w:type="dxa" w:w="110"/>
              <w:bottom w:type="dxa" w:w="70"/>
              <w:right w:type="dxa" w:w="110"/>
            </w:tcMar>
          </w:tcPr>
          <w:p>
            <w:pPr>
              <w:spacing w:after="40" w:line="260"/>
            </w:pPr>
            <w:r>
              <w:rPr>
                <w:rFonts w:ascii="Calibri" w:cs="Calibri" w:eastAsia="Calibri" w:hAnsi="Calibri"/>
                <w:b w:val="false"/>
                <w:bCs w:val="false"/>
                <w:sz w:val="20"/>
                <w:szCs w:val="20"/>
              </w:rPr>
              <w:t xml:space="preserve">CORREL and a simple linear regression (SLOPE, INTERCEPT, RSQ) of time_in_hospital on num_medications.</w:t>
            </w:r>
          </w:p>
        </w:tc>
      </w:tr>
      <w:tr>
        <w:trPr>
          <w:cantSplit/>
        </w:trPr>
        <w:tc>
          <w:tcPr>
            <w:tcW w:type="dxa" w:w="1700"/>
            <w:tcBorders>
              <w:top w:val="single" w:color="B7CFC9" w:sz="4"/>
              <w:left w:val="single" w:color="B7CFC9" w:sz="4"/>
              <w:bottom w:val="single" w:color="B7CFC9" w:sz="4"/>
              <w:right w:val="single" w:color="B7CFC9" w:sz="4"/>
            </w:tcBorders>
            <w:shd w:fill="E3F1ED" w:color="auto" w:val="clear"/>
            <w:tcMar>
              <w:top w:type="dxa" w:w="70"/>
              <w:left w:type="dxa" w:w="110"/>
              <w:bottom w:type="dxa" w:w="70"/>
              <w:right w:type="dxa" w:w="110"/>
            </w:tcMar>
          </w:tcPr>
          <w:p>
            <w:pPr>
              <w:spacing w:after="40" w:line="260"/>
            </w:pPr>
            <w:r>
              <w:rPr>
                <w:rFonts w:ascii="Calibri" w:cs="Calibri" w:eastAsia="Calibri" w:hAnsi="Calibri"/>
                <w:b/>
                <w:bCs/>
                <w:color w:val="185953"/>
                <w:sz w:val="20"/>
                <w:szCs w:val="20"/>
              </w:rPr>
              <w:t xml:space="preserve">Result</w:t>
            </w:r>
          </w:p>
        </w:tc>
        <w:tc>
          <w:tcPr>
            <w:tcW w:type="dxa" w:w="7326"/>
            <w:tcBorders>
              <w:top w:val="single" w:color="B7CFC9" w:sz="4"/>
              <w:left w:val="single" w:color="B7CFC9" w:sz="4"/>
              <w:bottom w:val="single" w:color="B7CFC9" w:sz="4"/>
              <w:right w:val="single" w:color="B7CFC9" w:sz="4"/>
            </w:tcBorders>
            <w:tcMar>
              <w:top w:type="dxa" w:w="70"/>
              <w:left w:type="dxa" w:w="110"/>
              <w:bottom w:type="dxa" w:w="70"/>
              <w:right w:type="dxa" w:w="110"/>
            </w:tcMar>
          </w:tcPr>
          <w:p>
            <w:pPr>
              <w:spacing w:after="40" w:line="260"/>
            </w:pPr>
            <w:r>
              <w:rPr>
                <w:rFonts w:ascii="Calibri" w:cs="Calibri" w:eastAsia="Calibri" w:hAnsi="Calibri"/>
                <w:b w:val="false"/>
                <w:bCs w:val="false"/>
                <w:sz w:val="20"/>
                <w:szCs w:val="20"/>
              </w:rPr>
              <w:t xml:space="preserve">Correlation 0.465, slope 0.171 days per medication, intercept 1.67, R-squared 0.216. Predicted stay: about 3.4 days for 10 medications and 6.8 days for 30.</w:t>
            </w:r>
          </w:p>
        </w:tc>
      </w:tr>
      <w:tr>
        <w:trPr>
          <w:cantSplit/>
        </w:trPr>
        <w:tc>
          <w:tcPr>
            <w:tcW w:type="dxa" w:w="1700"/>
            <w:tcBorders>
              <w:top w:val="single" w:color="B7CFC9" w:sz="4"/>
              <w:left w:val="single" w:color="B7CFC9" w:sz="4"/>
              <w:bottom w:val="single" w:color="B7CFC9" w:sz="4"/>
              <w:right w:val="single" w:color="B7CFC9" w:sz="4"/>
            </w:tcBorders>
            <w:shd w:fill="E3F1ED" w:color="auto" w:val="clear"/>
            <w:tcMar>
              <w:top w:type="dxa" w:w="70"/>
              <w:left w:type="dxa" w:w="110"/>
              <w:bottom w:type="dxa" w:w="70"/>
              <w:right w:type="dxa" w:w="110"/>
            </w:tcMar>
          </w:tcPr>
          <w:p>
            <w:pPr>
              <w:spacing w:after="40" w:line="260"/>
            </w:pPr>
            <w:r>
              <w:rPr>
                <w:rFonts w:ascii="Calibri" w:cs="Calibri" w:eastAsia="Calibri" w:hAnsi="Calibri"/>
                <w:b/>
                <w:bCs/>
                <w:color w:val="185953"/>
                <w:sz w:val="20"/>
                <w:szCs w:val="20"/>
              </w:rPr>
              <w:t xml:space="preserve">Insight</w:t>
            </w:r>
          </w:p>
        </w:tc>
        <w:tc>
          <w:tcPr>
            <w:tcW w:type="dxa" w:w="7326"/>
            <w:tcBorders>
              <w:top w:val="single" w:color="B7CFC9" w:sz="4"/>
              <w:left w:val="single" w:color="B7CFC9" w:sz="4"/>
              <w:bottom w:val="single" w:color="B7CFC9" w:sz="4"/>
              <w:right w:val="single" w:color="B7CFC9" w:sz="4"/>
            </w:tcBorders>
            <w:tcMar>
              <w:top w:type="dxa" w:w="70"/>
              <w:left w:type="dxa" w:w="110"/>
              <w:bottom w:type="dxa" w:w="70"/>
              <w:right w:type="dxa" w:w="110"/>
            </w:tcMar>
          </w:tcPr>
          <w:p>
            <w:pPr>
              <w:spacing w:after="40" w:line="260"/>
            </w:pPr>
            <w:r>
              <w:rPr>
                <w:rFonts w:ascii="Calibri" w:cs="Calibri" w:eastAsia="Calibri" w:hAnsi="Calibri"/>
                <w:b w:val="false"/>
                <w:bCs w:val="false"/>
                <w:sz w:val="20"/>
                <w:szCs w:val="20"/>
              </w:rPr>
              <w:t xml:space="preserve">Patients on more medications stay longer, by about 0.17 days for each extra medication. Medication count explains 21.6% of the variation in stay length.</w:t>
            </w:r>
          </w:p>
        </w:tc>
      </w:tr>
      <w:tr>
        <w:trPr>
          <w:cantSplit/>
        </w:trPr>
        <w:tc>
          <w:tcPr>
            <w:tcW w:type="dxa" w:w="1700"/>
            <w:tcBorders>
              <w:top w:val="single" w:color="B7CFC9" w:sz="4"/>
              <w:left w:val="single" w:color="B7CFC9" w:sz="4"/>
              <w:bottom w:val="single" w:color="B7CFC9" w:sz="4"/>
              <w:right w:val="single" w:color="B7CFC9" w:sz="4"/>
            </w:tcBorders>
            <w:shd w:fill="E3F1ED" w:color="auto" w:val="clear"/>
            <w:tcMar>
              <w:top w:type="dxa" w:w="70"/>
              <w:left w:type="dxa" w:w="110"/>
              <w:bottom w:type="dxa" w:w="70"/>
              <w:right w:type="dxa" w:w="110"/>
            </w:tcMar>
          </w:tcPr>
          <w:p>
            <w:pPr>
              <w:spacing w:after="40" w:line="260"/>
            </w:pPr>
            <w:r>
              <w:rPr>
                <w:rFonts w:ascii="Calibri" w:cs="Calibri" w:eastAsia="Calibri" w:hAnsi="Calibri"/>
                <w:b/>
                <w:bCs/>
                <w:color w:val="185953"/>
                <w:sz w:val="20"/>
                <w:szCs w:val="20"/>
              </w:rPr>
              <w:t xml:space="preserve">Recommendation</w:t>
            </w:r>
          </w:p>
        </w:tc>
        <w:tc>
          <w:tcPr>
            <w:tcW w:type="dxa" w:w="7326"/>
            <w:tcBorders>
              <w:top w:val="single" w:color="B7CFC9" w:sz="4"/>
              <w:left w:val="single" w:color="B7CFC9" w:sz="4"/>
              <w:bottom w:val="single" w:color="B7CFC9" w:sz="4"/>
              <w:right w:val="single" w:color="B7CFC9" w:sz="4"/>
            </w:tcBorders>
            <w:tcMar>
              <w:top w:type="dxa" w:w="70"/>
              <w:left w:type="dxa" w:w="110"/>
              <w:bottom w:type="dxa" w:w="70"/>
              <w:right w:type="dxa" w:w="110"/>
            </w:tcMar>
          </w:tcPr>
          <w:p>
            <w:pPr>
              <w:spacing w:after="40" w:line="260"/>
            </w:pPr>
            <w:r>
              <w:rPr>
                <w:rFonts w:ascii="Calibri" w:cs="Calibri" w:eastAsia="Calibri" w:hAnsi="Calibri"/>
                <w:b w:val="false"/>
                <w:bCs w:val="false"/>
                <w:sz w:val="20"/>
                <w:szCs w:val="20"/>
              </w:rPr>
              <w:t xml:space="preserve">Use medication count at admission as an early flag for likely long stays in bed and staffing planning. Add a pharmacist review for patients on high medication counts.</w:t>
            </w:r>
          </w:p>
        </w:tc>
      </w:tr>
      <w:tr>
        <w:trPr>
          <w:cantSplit/>
        </w:trPr>
        <w:tc>
          <w:tcPr>
            <w:tcW w:type="dxa" w:w="1700"/>
            <w:tcBorders>
              <w:top w:val="single" w:color="B7CFC9" w:sz="4"/>
              <w:left w:val="single" w:color="B7CFC9" w:sz="4"/>
              <w:bottom w:val="single" w:color="B7CFC9" w:sz="4"/>
              <w:right w:val="single" w:color="B7CFC9" w:sz="4"/>
            </w:tcBorders>
            <w:shd w:fill="E3F1ED" w:color="auto" w:val="clear"/>
            <w:tcMar>
              <w:top w:type="dxa" w:w="70"/>
              <w:left w:type="dxa" w:w="110"/>
              <w:bottom w:type="dxa" w:w="70"/>
              <w:right w:type="dxa" w:w="110"/>
            </w:tcMar>
          </w:tcPr>
          <w:p>
            <w:pPr>
              <w:spacing w:after="40" w:line="260"/>
            </w:pPr>
            <w:r>
              <w:rPr>
                <w:rFonts w:ascii="Calibri" w:cs="Calibri" w:eastAsia="Calibri" w:hAnsi="Calibri"/>
                <w:b/>
                <w:bCs/>
                <w:color w:val="185953"/>
                <w:sz w:val="20"/>
                <w:szCs w:val="20"/>
              </w:rPr>
              <w:t xml:space="preserve">Limitation</w:t>
            </w:r>
          </w:p>
        </w:tc>
        <w:tc>
          <w:tcPr>
            <w:tcW w:type="dxa" w:w="7326"/>
            <w:tcBorders>
              <w:top w:val="single" w:color="B7CFC9" w:sz="4"/>
              <w:left w:val="single" w:color="B7CFC9" w:sz="4"/>
              <w:bottom w:val="single" w:color="B7CFC9" w:sz="4"/>
              <w:right w:val="single" w:color="B7CFC9" w:sz="4"/>
            </w:tcBorders>
            <w:tcMar>
              <w:top w:type="dxa" w:w="70"/>
              <w:left w:type="dxa" w:w="110"/>
              <w:bottom w:type="dxa" w:w="70"/>
              <w:right w:type="dxa" w:w="110"/>
            </w:tcMar>
          </w:tcPr>
          <w:p>
            <w:pPr>
              <w:spacing w:after="40" w:line="260"/>
            </w:pPr>
            <w:r>
              <w:rPr>
                <w:rFonts w:ascii="Calibri" w:cs="Calibri" w:eastAsia="Calibri" w:hAnsi="Calibri"/>
                <w:b w:val="false"/>
                <w:bCs w:val="false"/>
                <w:sz w:val="20"/>
                <w:szCs w:val="20"/>
              </w:rPr>
              <w:t xml:space="preserve">Association, not cause: sicker patients receive more medications and also stay longer. A straight line explains only 21.6% of the variation.</w:t>
            </w:r>
          </w:p>
        </w:tc>
      </w:tr>
    </w:tbl>
    <w:p>
      <w:pPr>
        <w:spacing w:after="60"/>
      </w:pPr>
      <w:r>
        <w:rPr>
          <w:rFonts w:ascii="Calibri" w:cs="Calibri" w:eastAsia="Calibri" w:hAnsi="Calibri"/>
          <w:sz w:val="21"/>
          <w:szCs w:val="21"/>
        </w:rPr>
        <w:t xml:space="preserve"/>
      </w:r>
    </w:p>
    <w:p>
      <w:pPr>
        <w:pStyle w:val="Heading3"/>
        <w:keepNext/>
        <w:spacing w:after="90" w:before="220"/>
      </w:pPr>
      <w:r>
        <w:rPr>
          <w:rFonts w:ascii="Calibri" w:cs="Calibri" w:eastAsia="Calibri" w:hAnsi="Calibri"/>
          <w:b/>
          <w:bCs/>
          <w:color w:val="185953"/>
          <w:sz w:val="22"/>
          <w:szCs w:val="22"/>
        </w:rPr>
        <w:t xml:space="preserve">Basic Q10: Outpatient visits and readmission</w:t>
      </w:r>
    </w:p>
    <w:p>
      <w:pPr>
        <w:keepNext/>
        <w:spacing w:after="80"/>
      </w:pPr>
      <w:r>
        <w:rPr>
          <w:rFonts w:ascii="Calibri" w:cs="Calibri" w:eastAsia="Calibri" w:hAnsi="Calibri"/>
          <w:b/>
          <w:bCs/>
          <w:i/>
          <w:iCs/>
          <w:sz w:val="21"/>
          <w:szCs w:val="21"/>
        </w:rPr>
        <w:t xml:space="preserve">Question: </w:t>
      </w:r>
      <w:r>
        <w:rPr>
          <w:rFonts w:ascii="Calibri" w:cs="Calibri" w:eastAsia="Calibri" w:hAnsi="Calibri"/>
          <w:i/>
          <w:iCs/>
          <w:sz w:val="21"/>
          <w:szCs w:val="21"/>
        </w:rPr>
        <w:t xml:space="preserve">Assess the frequency and impact of outpatient visits in the year prior to the current stay on readmission rates.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rPr>
          <w:cantSplit/>
        </w:trPr>
        <w:tc>
          <w:tcPr>
            <w:tcW w:type="dxa" w:w="1700"/>
            <w:tcBorders>
              <w:top w:val="single" w:color="B7CFC9" w:sz="4"/>
              <w:left w:val="single" w:color="B7CFC9" w:sz="4"/>
              <w:bottom w:val="single" w:color="B7CFC9" w:sz="4"/>
              <w:right w:val="single" w:color="B7CFC9" w:sz="4"/>
            </w:tcBorders>
            <w:shd w:fill="E3F1ED" w:color="auto" w:val="clear"/>
            <w:tcMar>
              <w:top w:type="dxa" w:w="70"/>
              <w:left w:type="dxa" w:w="110"/>
              <w:bottom w:type="dxa" w:w="70"/>
              <w:right w:type="dxa" w:w="110"/>
            </w:tcMar>
          </w:tcPr>
          <w:p>
            <w:pPr>
              <w:spacing w:after="40" w:line="260"/>
            </w:pPr>
            <w:r>
              <w:rPr>
                <w:rFonts w:ascii="Calibri" w:cs="Calibri" w:eastAsia="Calibri" w:hAnsi="Calibri"/>
                <w:b/>
                <w:bCs/>
                <w:color w:val="185953"/>
                <w:sz w:val="20"/>
                <w:szCs w:val="20"/>
              </w:rPr>
              <w:t xml:space="preserve">Method</w:t>
            </w:r>
          </w:p>
        </w:tc>
        <w:tc>
          <w:tcPr>
            <w:tcW w:type="dxa" w:w="7326"/>
            <w:tcBorders>
              <w:top w:val="single" w:color="B7CFC9" w:sz="4"/>
              <w:left w:val="single" w:color="B7CFC9" w:sz="4"/>
              <w:bottom w:val="single" w:color="B7CFC9" w:sz="4"/>
              <w:right w:val="single" w:color="B7CFC9" w:sz="4"/>
            </w:tcBorders>
            <w:tcMar>
              <w:top w:type="dxa" w:w="70"/>
              <w:left w:type="dxa" w:w="110"/>
              <w:bottom w:type="dxa" w:w="70"/>
              <w:right w:type="dxa" w:w="110"/>
            </w:tcMar>
          </w:tcPr>
          <w:p>
            <w:pPr>
              <w:spacing w:after="40" w:line="260"/>
            </w:pPr>
            <w:r>
              <w:rPr>
                <w:rFonts w:ascii="Calibri" w:cs="Calibri" w:eastAsia="Calibri" w:hAnsi="Calibri"/>
                <w:b w:val="false"/>
                <w:bCs w:val="false"/>
                <w:sz w:val="20"/>
                <w:szCs w:val="20"/>
              </w:rPr>
              <w:t xml:space="preserve">CORREL between number_outpatient and readmitted, plus a pivot (Q10_Outpatient) with visits grouped as 0, 1, 2, 3-4 and 5 or more.</w:t>
            </w:r>
          </w:p>
        </w:tc>
      </w:tr>
      <w:tr>
        <w:trPr>
          <w:cantSplit/>
        </w:trPr>
        <w:tc>
          <w:tcPr>
            <w:tcW w:type="dxa" w:w="1700"/>
            <w:tcBorders>
              <w:top w:val="single" w:color="B7CFC9" w:sz="4"/>
              <w:left w:val="single" w:color="B7CFC9" w:sz="4"/>
              <w:bottom w:val="single" w:color="B7CFC9" w:sz="4"/>
              <w:right w:val="single" w:color="B7CFC9" w:sz="4"/>
            </w:tcBorders>
            <w:shd w:fill="E3F1ED" w:color="auto" w:val="clear"/>
            <w:tcMar>
              <w:top w:type="dxa" w:w="70"/>
              <w:left w:type="dxa" w:w="110"/>
              <w:bottom w:type="dxa" w:w="70"/>
              <w:right w:type="dxa" w:w="110"/>
            </w:tcMar>
          </w:tcPr>
          <w:p>
            <w:pPr>
              <w:spacing w:after="40" w:line="260"/>
            </w:pPr>
            <w:r>
              <w:rPr>
                <w:rFonts w:ascii="Calibri" w:cs="Calibri" w:eastAsia="Calibri" w:hAnsi="Calibri"/>
                <w:b/>
                <w:bCs/>
                <w:color w:val="185953"/>
                <w:sz w:val="20"/>
                <w:szCs w:val="20"/>
              </w:rPr>
              <w:t xml:space="preserve">Result</w:t>
            </w:r>
          </w:p>
        </w:tc>
        <w:tc>
          <w:tcPr>
            <w:tcW w:type="dxa" w:w="7326"/>
            <w:tcBorders>
              <w:top w:val="single" w:color="B7CFC9" w:sz="4"/>
              <w:left w:val="single" w:color="B7CFC9" w:sz="4"/>
              <w:bottom w:val="single" w:color="B7CFC9" w:sz="4"/>
              <w:right w:val="single" w:color="B7CFC9" w:sz="4"/>
            </w:tcBorders>
            <w:tcMar>
              <w:top w:type="dxa" w:w="70"/>
              <w:left w:type="dxa" w:w="110"/>
              <w:bottom w:type="dxa" w:w="70"/>
              <w:right w:type="dxa" w:w="110"/>
            </w:tcMar>
          </w:tcPr>
          <w:p>
            <w:pPr>
              <w:spacing w:after="40" w:line="260"/>
            </w:pPr>
            <w:r>
              <w:rPr>
                <w:rFonts w:ascii="Calibri" w:cs="Calibri" w:eastAsia="Calibri" w:hAnsi="Calibri"/>
                <w:b w:val="false"/>
                <w:bCs w:val="false"/>
                <w:sz w:val="20"/>
                <w:szCs w:val="20"/>
              </w:rPr>
              <w:t xml:space="preserve">Correlation 0.083 (very weak, positive). 83.4% of encounters had no prior outpatient visit (43.8% readmitted). With any outpatient visit, readmission is 57.6% to 61.4%.</w:t>
            </w:r>
          </w:p>
        </w:tc>
      </w:tr>
      <w:tr>
        <w:trPr>
          <w:cantSplit/>
        </w:trPr>
        <w:tc>
          <w:tcPr>
            <w:tcW w:type="dxa" w:w="1700"/>
            <w:tcBorders>
              <w:top w:val="single" w:color="B7CFC9" w:sz="4"/>
              <w:left w:val="single" w:color="B7CFC9" w:sz="4"/>
              <w:bottom w:val="single" w:color="B7CFC9" w:sz="4"/>
              <w:right w:val="single" w:color="B7CFC9" w:sz="4"/>
            </w:tcBorders>
            <w:shd w:fill="E3F1ED" w:color="auto" w:val="clear"/>
            <w:tcMar>
              <w:top w:type="dxa" w:w="70"/>
              <w:left w:type="dxa" w:w="110"/>
              <w:bottom w:type="dxa" w:w="70"/>
              <w:right w:type="dxa" w:w="110"/>
            </w:tcMar>
          </w:tcPr>
          <w:p>
            <w:pPr>
              <w:spacing w:after="40" w:line="260"/>
            </w:pPr>
            <w:r>
              <w:rPr>
                <w:rFonts w:ascii="Calibri" w:cs="Calibri" w:eastAsia="Calibri" w:hAnsi="Calibri"/>
                <w:b/>
                <w:bCs/>
                <w:color w:val="185953"/>
                <w:sz w:val="20"/>
                <w:szCs w:val="20"/>
              </w:rPr>
              <w:t xml:space="preserve">Insight</w:t>
            </w:r>
          </w:p>
        </w:tc>
        <w:tc>
          <w:tcPr>
            <w:tcW w:type="dxa" w:w="7326"/>
            <w:tcBorders>
              <w:top w:val="single" w:color="B7CFC9" w:sz="4"/>
              <w:left w:val="single" w:color="B7CFC9" w:sz="4"/>
              <w:bottom w:val="single" w:color="B7CFC9" w:sz="4"/>
              <w:right w:val="single" w:color="B7CFC9" w:sz="4"/>
            </w:tcBorders>
            <w:tcMar>
              <w:top w:type="dxa" w:w="70"/>
              <w:left w:type="dxa" w:w="110"/>
              <w:bottom w:type="dxa" w:w="70"/>
              <w:right w:type="dxa" w:w="110"/>
            </w:tcMar>
          </w:tcPr>
          <w:p>
            <w:pPr>
              <w:spacing w:after="40" w:line="260"/>
            </w:pPr>
            <w:r>
              <w:rPr>
                <w:rFonts w:ascii="Calibri" w:cs="Calibri" w:eastAsia="Calibri" w:hAnsi="Calibri"/>
                <w:b w:val="false"/>
                <w:bCs w:val="false"/>
                <w:sz w:val="20"/>
                <w:szCs w:val="20"/>
              </w:rPr>
              <w:t xml:space="preserve">Prior outpatient contact marks higher-risk patients. The risk jumps at the first visit and then levels off, and more visits did not go with fewer readmissions.</w:t>
            </w:r>
          </w:p>
        </w:tc>
      </w:tr>
      <w:tr>
        <w:trPr>
          <w:cantSplit/>
        </w:trPr>
        <w:tc>
          <w:tcPr>
            <w:tcW w:type="dxa" w:w="1700"/>
            <w:tcBorders>
              <w:top w:val="single" w:color="B7CFC9" w:sz="4"/>
              <w:left w:val="single" w:color="B7CFC9" w:sz="4"/>
              <w:bottom w:val="single" w:color="B7CFC9" w:sz="4"/>
              <w:right w:val="single" w:color="B7CFC9" w:sz="4"/>
            </w:tcBorders>
            <w:shd w:fill="E3F1ED" w:color="auto" w:val="clear"/>
            <w:tcMar>
              <w:top w:type="dxa" w:w="70"/>
              <w:left w:type="dxa" w:w="110"/>
              <w:bottom w:type="dxa" w:w="70"/>
              <w:right w:type="dxa" w:w="110"/>
            </w:tcMar>
          </w:tcPr>
          <w:p>
            <w:pPr>
              <w:spacing w:after="40" w:line="260"/>
            </w:pPr>
            <w:r>
              <w:rPr>
                <w:rFonts w:ascii="Calibri" w:cs="Calibri" w:eastAsia="Calibri" w:hAnsi="Calibri"/>
                <w:b/>
                <w:bCs/>
                <w:color w:val="185953"/>
                <w:sz w:val="20"/>
                <w:szCs w:val="20"/>
              </w:rPr>
              <w:t xml:space="preserve">Recommendation</w:t>
            </w:r>
          </w:p>
        </w:tc>
        <w:tc>
          <w:tcPr>
            <w:tcW w:type="dxa" w:w="7326"/>
            <w:tcBorders>
              <w:top w:val="single" w:color="B7CFC9" w:sz="4"/>
              <w:left w:val="single" w:color="B7CFC9" w:sz="4"/>
              <w:bottom w:val="single" w:color="B7CFC9" w:sz="4"/>
              <w:right w:val="single" w:color="B7CFC9" w:sz="4"/>
            </w:tcBorders>
            <w:tcMar>
              <w:top w:type="dxa" w:w="70"/>
              <w:left w:type="dxa" w:w="110"/>
              <w:bottom w:type="dxa" w:w="70"/>
              <w:right w:type="dxa" w:w="110"/>
            </w:tcMar>
          </w:tcPr>
          <w:p>
            <w:pPr>
              <w:spacing w:after="40" w:line="260"/>
            </w:pPr>
            <w:r>
              <w:rPr>
                <w:rFonts w:ascii="Calibri" w:cs="Calibri" w:eastAsia="Calibri" w:hAnsi="Calibri"/>
                <w:b w:val="false"/>
                <w:bCs w:val="false"/>
                <w:sz w:val="20"/>
                <w:szCs w:val="20"/>
              </w:rPr>
              <w:t xml:space="preserve">Treat any prior outpatient visit as a risk flag at discharge. Review whether outpatient follow-up for these patients reaches the right issues.</w:t>
            </w:r>
          </w:p>
        </w:tc>
      </w:tr>
      <w:tr>
        <w:trPr>
          <w:cantSplit/>
        </w:trPr>
        <w:tc>
          <w:tcPr>
            <w:tcW w:type="dxa" w:w="1700"/>
            <w:tcBorders>
              <w:top w:val="single" w:color="B7CFC9" w:sz="4"/>
              <w:left w:val="single" w:color="B7CFC9" w:sz="4"/>
              <w:bottom w:val="single" w:color="B7CFC9" w:sz="4"/>
              <w:right w:val="single" w:color="B7CFC9" w:sz="4"/>
            </w:tcBorders>
            <w:shd w:fill="E3F1ED" w:color="auto" w:val="clear"/>
            <w:tcMar>
              <w:top w:type="dxa" w:w="70"/>
              <w:left w:type="dxa" w:w="110"/>
              <w:bottom w:type="dxa" w:w="70"/>
              <w:right w:type="dxa" w:w="110"/>
            </w:tcMar>
          </w:tcPr>
          <w:p>
            <w:pPr>
              <w:spacing w:after="40" w:line="260"/>
            </w:pPr>
            <w:r>
              <w:rPr>
                <w:rFonts w:ascii="Calibri" w:cs="Calibri" w:eastAsia="Calibri" w:hAnsi="Calibri"/>
                <w:b/>
                <w:bCs/>
                <w:color w:val="185953"/>
                <w:sz w:val="20"/>
                <w:szCs w:val="20"/>
              </w:rPr>
              <w:t xml:space="preserve">Limitation</w:t>
            </w:r>
          </w:p>
        </w:tc>
        <w:tc>
          <w:tcPr>
            <w:tcW w:type="dxa" w:w="7326"/>
            <w:tcBorders>
              <w:top w:val="single" w:color="B7CFC9" w:sz="4"/>
              <w:left w:val="single" w:color="B7CFC9" w:sz="4"/>
              <w:bottom w:val="single" w:color="B7CFC9" w:sz="4"/>
              <w:right w:val="single" w:color="B7CFC9" w:sz="4"/>
            </w:tcBorders>
            <w:tcMar>
              <w:top w:type="dxa" w:w="70"/>
              <w:left w:type="dxa" w:w="110"/>
              <w:bottom w:type="dxa" w:w="70"/>
              <w:right w:type="dxa" w:w="110"/>
            </w:tcMar>
          </w:tcPr>
          <w:p>
            <w:pPr>
              <w:spacing w:after="40" w:line="260"/>
            </w:pPr>
            <w:r>
              <w:rPr>
                <w:rFonts w:ascii="Calibri" w:cs="Calibri" w:eastAsia="Calibri" w:hAnsi="Calibri"/>
                <w:b w:val="false"/>
                <w:bCs w:val="false"/>
                <w:sz w:val="20"/>
                <w:szCs w:val="20"/>
              </w:rPr>
              <w:t xml:space="preserve">Association, not cause. Patients who visit outpatient clinics are likely already sicker, and visit quality is not recorded.</w:t>
            </w:r>
          </w:p>
        </w:tc>
      </w:tr>
    </w:tbl>
    <w:p>
      <w:pPr>
        <w:spacing w:after="60"/>
      </w:pPr>
      <w:r>
        <w:rPr>
          <w:rFonts w:ascii="Calibri" w:cs="Calibri" w:eastAsia="Calibri" w:hAnsi="Calibri"/>
          <w:sz w:val="21"/>
          <w:szCs w:val="21"/>
        </w:rPr>
        <w:t xml:space="preserve"/>
      </w:r>
    </w:p>
    <w:p>
      <w:pPr>
        <w:pStyle w:val="Heading2"/>
        <w:spacing w:after="120" w:before="280"/>
      </w:pPr>
      <w:r>
        <w:rPr>
          <w:rFonts w:ascii="Calibri" w:cs="Calibri" w:eastAsia="Calibri" w:hAnsi="Calibri"/>
          <w:b/>
          <w:bCs/>
          <w:color w:val="1F7363"/>
          <w:sz w:val="25"/>
          <w:szCs w:val="25"/>
        </w:rPr>
        <w:t xml:space="preserve">7.2 Medium questions (Q1 to Q10)</w:t>
      </w:r>
    </w:p>
    <w:p>
      <w:pPr>
        <w:pStyle w:val="Heading3"/>
        <w:keepNext/>
        <w:spacing w:after="90" w:before="220"/>
      </w:pPr>
      <w:r>
        <w:rPr>
          <w:rFonts w:ascii="Calibri" w:cs="Calibri" w:eastAsia="Calibri" w:hAnsi="Calibri"/>
          <w:b/>
          <w:bCs/>
          <w:color w:val="185953"/>
          <w:sz w:val="22"/>
          <w:szCs w:val="22"/>
        </w:rPr>
        <w:t xml:space="preserve">Medium Q1, Q3, Q6 and Q10: not answerable with this 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2300"/>
        <w:gridCol w:w="3000"/>
        <w:gridCol w:w="2626"/>
      </w:tblGrid>
      <w:tr>
        <w:trPr>
          <w:cantSplit/>
          <w:tblHeader/>
        </w:trPr>
        <w:tc>
          <w:tcPr>
            <w:tcW w:type="dxa" w:w="1100"/>
            <w:tcBorders>
              <w:top w:val="single" w:color="B7CFC9" w:sz="4"/>
              <w:left w:val="single" w:color="B7CFC9" w:sz="4"/>
              <w:bottom w:val="single" w:color="B7CFC9" w:sz="4"/>
              <w:right w:val="single" w:color="B7CFC9" w:sz="4"/>
            </w:tcBorders>
            <w:shd w:fill="185953" w:color="auto" w:val="clear"/>
            <w:tcMar>
              <w:top w:type="dxa" w:w="70"/>
              <w:left w:type="dxa" w:w="110"/>
              <w:bottom w:type="dxa" w:w="70"/>
              <w:right w:type="dxa" w:w="110"/>
            </w:tcMar>
          </w:tcPr>
          <w:p>
            <w:pPr>
              <w:spacing w:after="40" w:line="260"/>
            </w:pPr>
            <w:r>
              <w:rPr>
                <w:rFonts w:ascii="Calibri" w:cs="Calibri" w:eastAsia="Calibri" w:hAnsi="Calibri"/>
                <w:b/>
                <w:bCs/>
                <w:color w:val="FFFFFF"/>
                <w:sz w:val="20"/>
                <w:szCs w:val="20"/>
              </w:rPr>
              <w:t xml:space="preserve">Question</w:t>
            </w:r>
          </w:p>
        </w:tc>
        <w:tc>
          <w:tcPr>
            <w:tcW w:type="dxa" w:w="2300"/>
            <w:tcBorders>
              <w:top w:val="single" w:color="B7CFC9" w:sz="4"/>
              <w:left w:val="single" w:color="B7CFC9" w:sz="4"/>
              <w:bottom w:val="single" w:color="B7CFC9" w:sz="4"/>
              <w:right w:val="single" w:color="B7CFC9" w:sz="4"/>
            </w:tcBorders>
            <w:shd w:fill="185953" w:color="auto" w:val="clear"/>
            <w:tcMar>
              <w:top w:type="dxa" w:w="70"/>
              <w:left w:type="dxa" w:w="110"/>
              <w:bottom w:type="dxa" w:w="70"/>
              <w:right w:type="dxa" w:w="110"/>
            </w:tcMar>
          </w:tcPr>
          <w:p>
            <w:pPr>
              <w:spacing w:after="40" w:line="260"/>
            </w:pPr>
            <w:r>
              <w:rPr>
                <w:rFonts w:ascii="Calibri" w:cs="Calibri" w:eastAsia="Calibri" w:hAnsi="Calibri"/>
                <w:b/>
                <w:bCs/>
                <w:color w:val="FFFFFF"/>
                <w:sz w:val="20"/>
                <w:szCs w:val="20"/>
              </w:rPr>
              <w:t xml:space="preserve">Topic</w:t>
            </w:r>
          </w:p>
        </w:tc>
        <w:tc>
          <w:tcPr>
            <w:tcW w:type="dxa" w:w="3000"/>
            <w:tcBorders>
              <w:top w:val="single" w:color="B7CFC9" w:sz="4"/>
              <w:left w:val="single" w:color="B7CFC9" w:sz="4"/>
              <w:bottom w:val="single" w:color="B7CFC9" w:sz="4"/>
              <w:right w:val="single" w:color="B7CFC9" w:sz="4"/>
            </w:tcBorders>
            <w:shd w:fill="185953" w:color="auto" w:val="clear"/>
            <w:tcMar>
              <w:top w:type="dxa" w:w="70"/>
              <w:left w:type="dxa" w:w="110"/>
              <w:bottom w:type="dxa" w:w="70"/>
              <w:right w:type="dxa" w:w="110"/>
            </w:tcMar>
          </w:tcPr>
          <w:p>
            <w:pPr>
              <w:spacing w:after="40" w:line="260"/>
            </w:pPr>
            <w:r>
              <w:rPr>
                <w:rFonts w:ascii="Calibri" w:cs="Calibri" w:eastAsia="Calibri" w:hAnsi="Calibri"/>
                <w:b/>
                <w:bCs/>
                <w:color w:val="FFFFFF"/>
                <w:sz w:val="20"/>
                <w:szCs w:val="20"/>
              </w:rPr>
              <w:t xml:space="preserve">Why it cannot be answered</w:t>
            </w:r>
          </w:p>
        </w:tc>
        <w:tc>
          <w:tcPr>
            <w:tcW w:type="dxa" w:w="2626"/>
            <w:tcBorders>
              <w:top w:val="single" w:color="B7CFC9" w:sz="4"/>
              <w:left w:val="single" w:color="B7CFC9" w:sz="4"/>
              <w:bottom w:val="single" w:color="B7CFC9" w:sz="4"/>
              <w:right w:val="single" w:color="B7CFC9" w:sz="4"/>
            </w:tcBorders>
            <w:shd w:fill="185953" w:color="auto" w:val="clear"/>
            <w:tcMar>
              <w:top w:type="dxa" w:w="70"/>
              <w:left w:type="dxa" w:w="110"/>
              <w:bottom w:type="dxa" w:w="70"/>
              <w:right w:type="dxa" w:w="110"/>
            </w:tcMar>
          </w:tcPr>
          <w:p>
            <w:pPr>
              <w:spacing w:after="40" w:line="260"/>
            </w:pPr>
            <w:r>
              <w:rPr>
                <w:rFonts w:ascii="Calibri" w:cs="Calibri" w:eastAsia="Calibri" w:hAnsi="Calibri"/>
                <w:b/>
                <w:bCs/>
                <w:color w:val="FFFFFF"/>
                <w:sz w:val="20"/>
                <w:szCs w:val="20"/>
              </w:rPr>
              <w:t xml:space="preserve">Data that would fix it</w:t>
            </w:r>
          </w:p>
        </w:tc>
      </w:tr>
      <w:tr>
        <w:trPr>
          <w:cantSplit/>
          <w:tblHeader w:val="false"/>
        </w:trPr>
        <w:tc>
          <w:tcPr>
            <w:tcW w:type="dxa" w:w="1100"/>
            <w:tcBorders>
              <w:top w:val="single" w:color="B7CFC9" w:sz="4"/>
              <w:left w:val="single" w:color="B7CFC9" w:sz="4"/>
              <w:bottom w:val="single" w:color="B7CFC9" w:sz="4"/>
              <w:right w:val="single" w:color="B7CFC9" w:sz="4"/>
            </w:tcBorders>
            <w:tcMar>
              <w:top w:type="dxa" w:w="70"/>
              <w:left w:type="dxa" w:w="110"/>
              <w:bottom w:type="dxa" w:w="70"/>
              <w:right w:type="dxa" w:w="110"/>
            </w:tcMar>
          </w:tcPr>
          <w:p>
            <w:pPr>
              <w:spacing w:after="40" w:line="260"/>
            </w:pPr>
            <w:r>
              <w:rPr>
                <w:rFonts w:ascii="Calibri" w:cs="Calibri" w:eastAsia="Calibri" w:hAnsi="Calibri"/>
                <w:b w:val="false"/>
                <w:bCs w:val="false"/>
                <w:sz w:val="20"/>
                <w:szCs w:val="20"/>
              </w:rPr>
              <w:t xml:space="preserve">Q1</w:t>
            </w:r>
          </w:p>
        </w:tc>
        <w:tc>
          <w:tcPr>
            <w:tcW w:type="dxa" w:w="2300"/>
            <w:tcBorders>
              <w:top w:val="single" w:color="B7CFC9" w:sz="4"/>
              <w:left w:val="single" w:color="B7CFC9" w:sz="4"/>
              <w:bottom w:val="single" w:color="B7CFC9" w:sz="4"/>
              <w:right w:val="single" w:color="B7CFC9" w:sz="4"/>
            </w:tcBorders>
            <w:tcMar>
              <w:top w:type="dxa" w:w="70"/>
              <w:left w:type="dxa" w:w="110"/>
              <w:bottom w:type="dxa" w:w="70"/>
              <w:right w:type="dxa" w:w="110"/>
            </w:tcMar>
          </w:tcPr>
          <w:p>
            <w:pPr>
              <w:spacing w:after="40" w:line="260"/>
            </w:pPr>
            <w:r>
              <w:rPr>
                <w:rFonts w:ascii="Calibri" w:cs="Calibri" w:eastAsia="Calibri" w:hAnsi="Calibri"/>
                <w:b w:val="false"/>
                <w:bCs w:val="false"/>
                <w:sz w:val="20"/>
                <w:szCs w:val="20"/>
              </w:rPr>
              <w:t xml:space="preserve">Readmission trend over time</w:t>
            </w:r>
          </w:p>
        </w:tc>
        <w:tc>
          <w:tcPr>
            <w:tcW w:type="dxa" w:w="3000"/>
            <w:tcBorders>
              <w:top w:val="single" w:color="B7CFC9" w:sz="4"/>
              <w:left w:val="single" w:color="B7CFC9" w:sz="4"/>
              <w:bottom w:val="single" w:color="B7CFC9" w:sz="4"/>
              <w:right w:val="single" w:color="B7CFC9" w:sz="4"/>
            </w:tcBorders>
            <w:tcMar>
              <w:top w:type="dxa" w:w="70"/>
              <w:left w:type="dxa" w:w="110"/>
              <w:bottom w:type="dxa" w:w="70"/>
              <w:right w:type="dxa" w:w="110"/>
            </w:tcMar>
          </w:tcPr>
          <w:p>
            <w:pPr>
              <w:spacing w:after="40" w:line="260"/>
            </w:pPr>
            <w:r>
              <w:rPr>
                <w:rFonts w:ascii="Calibri" w:cs="Calibri" w:eastAsia="Calibri" w:hAnsi="Calibri"/>
                <w:b w:val="false"/>
                <w:bCs w:val="false"/>
                <w:sz w:val="20"/>
                <w:szCs w:val="20"/>
              </w:rPr>
              <w:t xml:space="preserve">No date, month, or admission and discharge date column.</w:t>
            </w:r>
          </w:p>
        </w:tc>
        <w:tc>
          <w:tcPr>
            <w:tcW w:type="dxa" w:w="2626"/>
            <w:tcBorders>
              <w:top w:val="single" w:color="B7CFC9" w:sz="4"/>
              <w:left w:val="single" w:color="B7CFC9" w:sz="4"/>
              <w:bottom w:val="single" w:color="B7CFC9" w:sz="4"/>
              <w:right w:val="single" w:color="B7CFC9" w:sz="4"/>
            </w:tcBorders>
            <w:tcMar>
              <w:top w:type="dxa" w:w="70"/>
              <w:left w:type="dxa" w:w="110"/>
              <w:bottom w:type="dxa" w:w="70"/>
              <w:right w:type="dxa" w:w="110"/>
            </w:tcMar>
          </w:tcPr>
          <w:p>
            <w:pPr>
              <w:spacing w:after="40" w:line="260"/>
            </w:pPr>
            <w:r>
              <w:rPr>
                <w:rFonts w:ascii="Calibri" w:cs="Calibri" w:eastAsia="Calibri" w:hAnsi="Calibri"/>
                <w:b w:val="false"/>
                <w:bCs w:val="false"/>
                <w:sz w:val="20"/>
                <w:szCs w:val="20"/>
              </w:rPr>
              <w:t xml:space="preserve">Admission and discharge dates.</w:t>
            </w:r>
          </w:p>
        </w:tc>
      </w:tr>
      <w:tr>
        <w:trPr>
          <w:cantSplit/>
          <w:tblHeader w:val="false"/>
        </w:trPr>
        <w:tc>
          <w:tcPr>
            <w:tcW w:type="dxa" w:w="1100"/>
            <w:tcBorders>
              <w:top w:val="single" w:color="B7CFC9" w:sz="4"/>
              <w:left w:val="single" w:color="B7CFC9" w:sz="4"/>
              <w:bottom w:val="single" w:color="B7CFC9" w:sz="4"/>
              <w:right w:val="single" w:color="B7CFC9" w:sz="4"/>
            </w:tcBorders>
            <w:tcMar>
              <w:top w:type="dxa" w:w="70"/>
              <w:left w:type="dxa" w:w="110"/>
              <w:bottom w:type="dxa" w:w="70"/>
              <w:right w:type="dxa" w:w="110"/>
            </w:tcMar>
          </w:tcPr>
          <w:p>
            <w:pPr>
              <w:spacing w:after="40" w:line="260"/>
            </w:pPr>
            <w:r>
              <w:rPr>
                <w:rFonts w:ascii="Calibri" w:cs="Calibri" w:eastAsia="Calibri" w:hAnsi="Calibri"/>
                <w:b w:val="false"/>
                <w:bCs w:val="false"/>
                <w:sz w:val="20"/>
                <w:szCs w:val="20"/>
              </w:rPr>
              <w:t xml:space="preserve">Q3</w:t>
            </w:r>
          </w:p>
        </w:tc>
        <w:tc>
          <w:tcPr>
            <w:tcW w:type="dxa" w:w="2300"/>
            <w:tcBorders>
              <w:top w:val="single" w:color="B7CFC9" w:sz="4"/>
              <w:left w:val="single" w:color="B7CFC9" w:sz="4"/>
              <w:bottom w:val="single" w:color="B7CFC9" w:sz="4"/>
              <w:right w:val="single" w:color="B7CFC9" w:sz="4"/>
            </w:tcBorders>
            <w:tcMar>
              <w:top w:type="dxa" w:w="70"/>
              <w:left w:type="dxa" w:w="110"/>
              <w:bottom w:type="dxa" w:w="70"/>
              <w:right w:type="dxa" w:w="110"/>
            </w:tcMar>
          </w:tcPr>
          <w:p>
            <w:pPr>
              <w:spacing w:after="40" w:line="260"/>
            </w:pPr>
            <w:r>
              <w:rPr>
                <w:rFonts w:ascii="Calibri" w:cs="Calibri" w:eastAsia="Calibri" w:hAnsi="Calibri"/>
                <w:b w:val="false"/>
                <w:bCs w:val="false"/>
                <w:sz w:val="20"/>
                <w:szCs w:val="20"/>
              </w:rPr>
              <w:t xml:space="preserve">Discharge disposition and readmission</w:t>
            </w:r>
          </w:p>
        </w:tc>
        <w:tc>
          <w:tcPr>
            <w:tcW w:type="dxa" w:w="3000"/>
            <w:tcBorders>
              <w:top w:val="single" w:color="B7CFC9" w:sz="4"/>
              <w:left w:val="single" w:color="B7CFC9" w:sz="4"/>
              <w:bottom w:val="single" w:color="B7CFC9" w:sz="4"/>
              <w:right w:val="single" w:color="B7CFC9" w:sz="4"/>
            </w:tcBorders>
            <w:tcMar>
              <w:top w:type="dxa" w:w="70"/>
              <w:left w:type="dxa" w:w="110"/>
              <w:bottom w:type="dxa" w:w="70"/>
              <w:right w:type="dxa" w:w="110"/>
            </w:tcMar>
          </w:tcPr>
          <w:p>
            <w:pPr>
              <w:spacing w:after="40" w:line="260"/>
            </w:pPr>
            <w:r>
              <w:rPr>
                <w:rFonts w:ascii="Calibri" w:cs="Calibri" w:eastAsia="Calibri" w:hAnsi="Calibri"/>
                <w:b w:val="false"/>
                <w:bCs w:val="false"/>
                <w:sz w:val="20"/>
                <w:szCs w:val="20"/>
              </w:rPr>
              <w:t xml:space="preserve">No discharge disposition column exists.</w:t>
            </w:r>
          </w:p>
        </w:tc>
        <w:tc>
          <w:tcPr>
            <w:tcW w:type="dxa" w:w="2626"/>
            <w:tcBorders>
              <w:top w:val="single" w:color="B7CFC9" w:sz="4"/>
              <w:left w:val="single" w:color="B7CFC9" w:sz="4"/>
              <w:bottom w:val="single" w:color="B7CFC9" w:sz="4"/>
              <w:right w:val="single" w:color="B7CFC9" w:sz="4"/>
            </w:tcBorders>
            <w:tcMar>
              <w:top w:type="dxa" w:w="70"/>
              <w:left w:type="dxa" w:w="110"/>
              <w:bottom w:type="dxa" w:w="70"/>
              <w:right w:type="dxa" w:w="110"/>
            </w:tcMar>
          </w:tcPr>
          <w:p>
            <w:pPr>
              <w:spacing w:after="40" w:line="260"/>
            </w:pPr>
            <w:r>
              <w:rPr>
                <w:rFonts w:ascii="Calibri" w:cs="Calibri" w:eastAsia="Calibri" w:hAnsi="Calibri"/>
                <w:b w:val="false"/>
                <w:bCs w:val="false"/>
                <w:sz w:val="20"/>
                <w:szCs w:val="20"/>
              </w:rPr>
              <w:t xml:space="preserve">Discharge disposition codes (home, transfer and so on).</w:t>
            </w:r>
          </w:p>
        </w:tc>
      </w:tr>
      <w:tr>
        <w:trPr>
          <w:cantSplit/>
          <w:tblHeader w:val="false"/>
        </w:trPr>
        <w:tc>
          <w:tcPr>
            <w:tcW w:type="dxa" w:w="1100"/>
            <w:tcBorders>
              <w:top w:val="single" w:color="B7CFC9" w:sz="4"/>
              <w:left w:val="single" w:color="B7CFC9" w:sz="4"/>
              <w:bottom w:val="single" w:color="B7CFC9" w:sz="4"/>
              <w:right w:val="single" w:color="B7CFC9" w:sz="4"/>
            </w:tcBorders>
            <w:tcMar>
              <w:top w:type="dxa" w:w="70"/>
              <w:left w:type="dxa" w:w="110"/>
              <w:bottom w:type="dxa" w:w="70"/>
              <w:right w:type="dxa" w:w="110"/>
            </w:tcMar>
          </w:tcPr>
          <w:p>
            <w:pPr>
              <w:spacing w:after="40" w:line="260"/>
            </w:pPr>
            <w:r>
              <w:rPr>
                <w:rFonts w:ascii="Calibri" w:cs="Calibri" w:eastAsia="Calibri" w:hAnsi="Calibri"/>
                <w:b w:val="false"/>
                <w:bCs w:val="false"/>
                <w:sz w:val="20"/>
                <w:szCs w:val="20"/>
              </w:rPr>
              <w:t xml:space="preserve">Q6</w:t>
            </w:r>
          </w:p>
        </w:tc>
        <w:tc>
          <w:tcPr>
            <w:tcW w:type="dxa" w:w="2300"/>
            <w:tcBorders>
              <w:top w:val="single" w:color="B7CFC9" w:sz="4"/>
              <w:left w:val="single" w:color="B7CFC9" w:sz="4"/>
              <w:bottom w:val="single" w:color="B7CFC9" w:sz="4"/>
              <w:right w:val="single" w:color="B7CFC9" w:sz="4"/>
            </w:tcBorders>
            <w:tcMar>
              <w:top w:type="dxa" w:w="70"/>
              <w:left w:type="dxa" w:w="110"/>
              <w:bottom w:type="dxa" w:w="70"/>
              <w:right w:type="dxa" w:w="110"/>
            </w:tcMar>
          </w:tcPr>
          <w:p>
            <w:pPr>
              <w:spacing w:after="40" w:line="260"/>
            </w:pPr>
            <w:r>
              <w:rPr>
                <w:rFonts w:ascii="Calibri" w:cs="Calibri" w:eastAsia="Calibri" w:hAnsi="Calibri"/>
                <w:b w:val="false"/>
                <w:bCs w:val="false"/>
                <w:sz w:val="20"/>
                <w:szCs w:val="20"/>
              </w:rPr>
              <w:t xml:space="preserve">Outcomes beyond readmission (mortality)</w:t>
            </w:r>
          </w:p>
        </w:tc>
        <w:tc>
          <w:tcPr>
            <w:tcW w:type="dxa" w:w="3000"/>
            <w:tcBorders>
              <w:top w:val="single" w:color="B7CFC9" w:sz="4"/>
              <w:left w:val="single" w:color="B7CFC9" w:sz="4"/>
              <w:bottom w:val="single" w:color="B7CFC9" w:sz="4"/>
              <w:right w:val="single" w:color="B7CFC9" w:sz="4"/>
            </w:tcBorders>
            <w:tcMar>
              <w:top w:type="dxa" w:w="70"/>
              <w:left w:type="dxa" w:w="110"/>
              <w:bottom w:type="dxa" w:w="70"/>
              <w:right w:type="dxa" w:w="110"/>
            </w:tcMar>
          </w:tcPr>
          <w:p>
            <w:pPr>
              <w:spacing w:after="40" w:line="260"/>
            </w:pPr>
            <w:r>
              <w:rPr>
                <w:rFonts w:ascii="Calibri" w:cs="Calibri" w:eastAsia="Calibri" w:hAnsi="Calibri"/>
                <w:b w:val="false"/>
                <w:bCs w:val="false"/>
                <w:sz w:val="20"/>
                <w:szCs w:val="20"/>
              </w:rPr>
              <w:t xml:space="preserve">Only the 30-day readmission flag exists, with no mortality or follow-up outcome.</w:t>
            </w:r>
          </w:p>
        </w:tc>
        <w:tc>
          <w:tcPr>
            <w:tcW w:type="dxa" w:w="2626"/>
            <w:tcBorders>
              <w:top w:val="single" w:color="B7CFC9" w:sz="4"/>
              <w:left w:val="single" w:color="B7CFC9" w:sz="4"/>
              <w:bottom w:val="single" w:color="B7CFC9" w:sz="4"/>
              <w:right w:val="single" w:color="B7CFC9" w:sz="4"/>
            </w:tcBorders>
            <w:tcMar>
              <w:top w:type="dxa" w:w="70"/>
              <w:left w:type="dxa" w:w="110"/>
              <w:bottom w:type="dxa" w:w="70"/>
              <w:right w:type="dxa" w:w="110"/>
            </w:tcMar>
          </w:tcPr>
          <w:p>
            <w:pPr>
              <w:spacing w:after="40" w:line="260"/>
            </w:pPr>
            <w:r>
              <w:rPr>
                <w:rFonts w:ascii="Calibri" w:cs="Calibri" w:eastAsia="Calibri" w:hAnsi="Calibri"/>
                <w:b w:val="false"/>
                <w:bCs w:val="false"/>
                <w:sz w:val="20"/>
                <w:szCs w:val="20"/>
              </w:rPr>
              <w:t xml:space="preserve">Mortality and post-discharge outcome records.</w:t>
            </w:r>
          </w:p>
        </w:tc>
      </w:tr>
      <w:tr>
        <w:trPr>
          <w:cantSplit/>
          <w:tblHeader w:val="false"/>
        </w:trPr>
        <w:tc>
          <w:tcPr>
            <w:tcW w:type="dxa" w:w="1100"/>
            <w:tcBorders>
              <w:top w:val="single" w:color="B7CFC9" w:sz="4"/>
              <w:left w:val="single" w:color="B7CFC9" w:sz="4"/>
              <w:bottom w:val="single" w:color="B7CFC9" w:sz="4"/>
              <w:right w:val="single" w:color="B7CFC9" w:sz="4"/>
            </w:tcBorders>
            <w:tcMar>
              <w:top w:type="dxa" w:w="70"/>
              <w:left w:type="dxa" w:w="110"/>
              <w:bottom w:type="dxa" w:w="70"/>
              <w:right w:type="dxa" w:w="110"/>
            </w:tcMar>
          </w:tcPr>
          <w:p>
            <w:pPr>
              <w:spacing w:after="40" w:line="260"/>
            </w:pPr>
            <w:r>
              <w:rPr>
                <w:rFonts w:ascii="Calibri" w:cs="Calibri" w:eastAsia="Calibri" w:hAnsi="Calibri"/>
                <w:b w:val="false"/>
                <w:bCs w:val="false"/>
                <w:sz w:val="20"/>
                <w:szCs w:val="20"/>
              </w:rPr>
              <w:t xml:space="preserve">Q10</w:t>
            </w:r>
          </w:p>
        </w:tc>
        <w:tc>
          <w:tcPr>
            <w:tcW w:type="dxa" w:w="2300"/>
            <w:tcBorders>
              <w:top w:val="single" w:color="B7CFC9" w:sz="4"/>
              <w:left w:val="single" w:color="B7CFC9" w:sz="4"/>
              <w:bottom w:val="single" w:color="B7CFC9" w:sz="4"/>
              <w:right w:val="single" w:color="B7CFC9" w:sz="4"/>
            </w:tcBorders>
            <w:tcMar>
              <w:top w:type="dxa" w:w="70"/>
              <w:left w:type="dxa" w:w="110"/>
              <w:bottom w:type="dxa" w:w="70"/>
              <w:right w:type="dxa" w:w="110"/>
            </w:tcMar>
          </w:tcPr>
          <w:p>
            <w:pPr>
              <w:spacing w:after="40" w:line="260"/>
            </w:pPr>
            <w:r>
              <w:rPr>
                <w:rFonts w:ascii="Calibri" w:cs="Calibri" w:eastAsia="Calibri" w:hAnsi="Calibri"/>
                <w:b w:val="false"/>
                <w:bCs w:val="false"/>
                <w:sz w:val="20"/>
                <w:szCs w:val="20"/>
              </w:rPr>
              <w:t xml:space="preserve">Patient satisfaction and readmission</w:t>
            </w:r>
          </w:p>
        </w:tc>
        <w:tc>
          <w:tcPr>
            <w:tcW w:type="dxa" w:w="3000"/>
            <w:tcBorders>
              <w:top w:val="single" w:color="B7CFC9" w:sz="4"/>
              <w:left w:val="single" w:color="B7CFC9" w:sz="4"/>
              <w:bottom w:val="single" w:color="B7CFC9" w:sz="4"/>
              <w:right w:val="single" w:color="B7CFC9" w:sz="4"/>
            </w:tcBorders>
            <w:tcMar>
              <w:top w:type="dxa" w:w="70"/>
              <w:left w:type="dxa" w:w="110"/>
              <w:bottom w:type="dxa" w:w="70"/>
              <w:right w:type="dxa" w:w="110"/>
            </w:tcMar>
          </w:tcPr>
          <w:p>
            <w:pPr>
              <w:spacing w:after="40" w:line="260"/>
            </w:pPr>
            <w:r>
              <w:rPr>
                <w:rFonts w:ascii="Calibri" w:cs="Calibri" w:eastAsia="Calibri" w:hAnsi="Calibri"/>
                <w:b w:val="false"/>
                <w:bCs w:val="false"/>
                <w:sz w:val="20"/>
                <w:szCs w:val="20"/>
              </w:rPr>
              <w:t xml:space="preserve">No satisfaction scores exist.</w:t>
            </w:r>
          </w:p>
        </w:tc>
        <w:tc>
          <w:tcPr>
            <w:tcW w:type="dxa" w:w="2626"/>
            <w:tcBorders>
              <w:top w:val="single" w:color="B7CFC9" w:sz="4"/>
              <w:left w:val="single" w:color="B7CFC9" w:sz="4"/>
              <w:bottom w:val="single" w:color="B7CFC9" w:sz="4"/>
              <w:right w:val="single" w:color="B7CFC9" w:sz="4"/>
            </w:tcBorders>
            <w:tcMar>
              <w:top w:type="dxa" w:w="70"/>
              <w:left w:type="dxa" w:w="110"/>
              <w:bottom w:type="dxa" w:w="70"/>
              <w:right w:type="dxa" w:w="110"/>
            </w:tcMar>
          </w:tcPr>
          <w:p>
            <w:pPr>
              <w:spacing w:after="40" w:line="260"/>
            </w:pPr>
            <w:r>
              <w:rPr>
                <w:rFonts w:ascii="Calibri" w:cs="Calibri" w:eastAsia="Calibri" w:hAnsi="Calibri"/>
                <w:b w:val="false"/>
                <w:bCs w:val="false"/>
                <w:sz w:val="20"/>
                <w:szCs w:val="20"/>
              </w:rPr>
              <w:t xml:space="preserve">Survey data linked to encounters.</w:t>
            </w:r>
          </w:p>
        </w:tc>
      </w:tr>
    </w:tbl>
    <w:p>
      <w:pPr>
        <w:spacing w:after="120" w:before="100"/>
      </w:pPr>
      <w:r>
        <w:rPr>
          <w:rFonts w:ascii="Calibri" w:cs="Calibri" w:eastAsia="Calibri" w:hAnsi="Calibri"/>
          <w:sz w:val="21"/>
          <w:szCs w:val="21"/>
        </w:rPr>
        <w:t xml:space="preserve">Recommendation for all four: add these fields to the hospital data collection so the analyses become possible.</w:t>
      </w:r>
    </w:p>
    <w:p>
      <w:pPr>
        <w:pStyle w:val="Heading3"/>
        <w:keepNext/>
        <w:spacing w:after="90" w:before="220"/>
      </w:pPr>
      <w:r>
        <w:rPr>
          <w:rFonts w:ascii="Calibri" w:cs="Calibri" w:eastAsia="Calibri" w:hAnsi="Calibri"/>
          <w:b/>
          <w:bCs/>
          <w:color w:val="185953"/>
          <w:sz w:val="22"/>
          <w:szCs w:val="22"/>
        </w:rPr>
        <w:t xml:space="preserve">Medium Q2: Comorbidity, stay and readmission</w:t>
      </w:r>
    </w:p>
    <w:p>
      <w:pPr>
        <w:keepNext/>
        <w:spacing w:after="80"/>
      </w:pPr>
      <w:r>
        <w:rPr>
          <w:rFonts w:ascii="Calibri" w:cs="Calibri" w:eastAsia="Calibri" w:hAnsi="Calibri"/>
          <w:b/>
          <w:bCs/>
          <w:i/>
          <w:iCs/>
          <w:sz w:val="21"/>
          <w:szCs w:val="21"/>
        </w:rPr>
        <w:t xml:space="preserve">Question: </w:t>
      </w:r>
      <w:r>
        <w:rPr>
          <w:rFonts w:ascii="Calibri" w:cs="Calibri" w:eastAsia="Calibri" w:hAnsi="Calibri"/>
          <w:i/>
          <w:iCs/>
          <w:sz w:val="21"/>
          <w:szCs w:val="21"/>
        </w:rPr>
        <w:t xml:space="preserve">Analyze the effect of comorbid conditions (multiple diagnoses) on length of stay and readmission rates.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rPr>
          <w:cantSplit/>
        </w:trPr>
        <w:tc>
          <w:tcPr>
            <w:tcW w:type="dxa" w:w="1700"/>
            <w:tcBorders>
              <w:top w:val="single" w:color="B7CFC9" w:sz="4"/>
              <w:left w:val="single" w:color="B7CFC9" w:sz="4"/>
              <w:bottom w:val="single" w:color="B7CFC9" w:sz="4"/>
              <w:right w:val="single" w:color="B7CFC9" w:sz="4"/>
            </w:tcBorders>
            <w:shd w:fill="E3F1ED" w:color="auto" w:val="clear"/>
            <w:tcMar>
              <w:top w:type="dxa" w:w="70"/>
              <w:left w:type="dxa" w:w="110"/>
              <w:bottom w:type="dxa" w:w="70"/>
              <w:right w:type="dxa" w:w="110"/>
            </w:tcMar>
          </w:tcPr>
          <w:p>
            <w:pPr>
              <w:spacing w:after="40" w:line="260"/>
            </w:pPr>
            <w:r>
              <w:rPr>
                <w:rFonts w:ascii="Calibri" w:cs="Calibri" w:eastAsia="Calibri" w:hAnsi="Calibri"/>
                <w:b/>
                <w:bCs/>
                <w:color w:val="185953"/>
                <w:sz w:val="20"/>
                <w:szCs w:val="20"/>
              </w:rPr>
              <w:t xml:space="preserve">Method</w:t>
            </w:r>
          </w:p>
        </w:tc>
        <w:tc>
          <w:tcPr>
            <w:tcW w:type="dxa" w:w="7326"/>
            <w:tcBorders>
              <w:top w:val="single" w:color="B7CFC9" w:sz="4"/>
              <w:left w:val="single" w:color="B7CFC9" w:sz="4"/>
              <w:bottom w:val="single" w:color="B7CFC9" w:sz="4"/>
              <w:right w:val="single" w:color="B7CFC9" w:sz="4"/>
            </w:tcBorders>
            <w:tcMar>
              <w:top w:type="dxa" w:w="70"/>
              <w:left w:type="dxa" w:w="110"/>
              <w:bottom w:type="dxa" w:w="70"/>
              <w:right w:type="dxa" w:w="110"/>
            </w:tcMar>
          </w:tcPr>
          <w:p>
            <w:pPr>
              <w:spacing w:after="40" w:line="260"/>
            </w:pPr>
            <w:r>
              <w:rPr>
                <w:rFonts w:ascii="Calibri" w:cs="Calibri" w:eastAsia="Calibri" w:hAnsi="Calibri"/>
                <w:b w:val="false"/>
                <w:bCs w:val="false"/>
                <w:sz w:val="20"/>
                <w:szCs w:val="20"/>
              </w:rPr>
              <w:t xml:space="preserve">Pivot table (MQ2_Comorbidity) using number_diagnoses as the comorbidity score, with average stay, readmission rate and encounter count.</w:t>
            </w:r>
          </w:p>
        </w:tc>
      </w:tr>
      <w:tr>
        <w:trPr>
          <w:cantSplit/>
        </w:trPr>
        <w:tc>
          <w:tcPr>
            <w:tcW w:type="dxa" w:w="1700"/>
            <w:tcBorders>
              <w:top w:val="single" w:color="B7CFC9" w:sz="4"/>
              <w:left w:val="single" w:color="B7CFC9" w:sz="4"/>
              <w:bottom w:val="single" w:color="B7CFC9" w:sz="4"/>
              <w:right w:val="single" w:color="B7CFC9" w:sz="4"/>
            </w:tcBorders>
            <w:shd w:fill="E3F1ED" w:color="auto" w:val="clear"/>
            <w:tcMar>
              <w:top w:type="dxa" w:w="70"/>
              <w:left w:type="dxa" w:w="110"/>
              <w:bottom w:type="dxa" w:w="70"/>
              <w:right w:type="dxa" w:w="110"/>
            </w:tcMar>
          </w:tcPr>
          <w:p>
            <w:pPr>
              <w:spacing w:after="40" w:line="260"/>
            </w:pPr>
            <w:r>
              <w:rPr>
                <w:rFonts w:ascii="Calibri" w:cs="Calibri" w:eastAsia="Calibri" w:hAnsi="Calibri"/>
                <w:b/>
                <w:bCs/>
                <w:color w:val="185953"/>
                <w:sz w:val="20"/>
                <w:szCs w:val="20"/>
              </w:rPr>
              <w:t xml:space="preserve">Result</w:t>
            </w:r>
          </w:p>
        </w:tc>
        <w:tc>
          <w:tcPr>
            <w:tcW w:type="dxa" w:w="7326"/>
            <w:tcBorders>
              <w:top w:val="single" w:color="B7CFC9" w:sz="4"/>
              <w:left w:val="single" w:color="B7CFC9" w:sz="4"/>
              <w:bottom w:val="single" w:color="B7CFC9" w:sz="4"/>
              <w:right w:val="single" w:color="B7CFC9" w:sz="4"/>
            </w:tcBorders>
            <w:tcMar>
              <w:top w:type="dxa" w:w="70"/>
              <w:left w:type="dxa" w:w="110"/>
              <w:bottom w:type="dxa" w:w="70"/>
              <w:right w:type="dxa" w:w="110"/>
            </w:tcMar>
          </w:tcPr>
          <w:p>
            <w:pPr>
              <w:spacing w:after="40" w:line="260"/>
            </w:pPr>
            <w:r>
              <w:rPr>
                <w:rFonts w:ascii="Calibri" w:cs="Calibri" w:eastAsia="Calibri" w:hAnsi="Calibri"/>
                <w:b w:val="false"/>
                <w:bCs w:val="false"/>
                <w:sz w:val="20"/>
                <w:szCs w:val="20"/>
              </w:rPr>
              <w:t xml:space="preserve">From 1 to 9 diagnoses, average stay rises from 2.3 to 5.0 days and readmission from 22.6% to 50.7%. Patients with 6 to 9 diagnoses are readmitted at 49.0% against 35.7% for 1 to 5.</w:t>
            </w:r>
          </w:p>
        </w:tc>
      </w:tr>
      <w:tr>
        <w:trPr>
          <w:cantSplit/>
        </w:trPr>
        <w:tc>
          <w:tcPr>
            <w:tcW w:type="dxa" w:w="1700"/>
            <w:tcBorders>
              <w:top w:val="single" w:color="B7CFC9" w:sz="4"/>
              <w:left w:val="single" w:color="B7CFC9" w:sz="4"/>
              <w:bottom w:val="single" w:color="B7CFC9" w:sz="4"/>
              <w:right w:val="single" w:color="B7CFC9" w:sz="4"/>
            </w:tcBorders>
            <w:shd w:fill="E3F1ED" w:color="auto" w:val="clear"/>
            <w:tcMar>
              <w:top w:type="dxa" w:w="70"/>
              <w:left w:type="dxa" w:w="110"/>
              <w:bottom w:type="dxa" w:w="70"/>
              <w:right w:type="dxa" w:w="110"/>
            </w:tcMar>
          </w:tcPr>
          <w:p>
            <w:pPr>
              <w:spacing w:after="40" w:line="260"/>
            </w:pPr>
            <w:r>
              <w:rPr>
                <w:rFonts w:ascii="Calibri" w:cs="Calibri" w:eastAsia="Calibri" w:hAnsi="Calibri"/>
                <w:b/>
                <w:bCs/>
                <w:color w:val="185953"/>
                <w:sz w:val="20"/>
                <w:szCs w:val="20"/>
              </w:rPr>
              <w:t xml:space="preserve">Insight</w:t>
            </w:r>
          </w:p>
        </w:tc>
        <w:tc>
          <w:tcPr>
            <w:tcW w:type="dxa" w:w="7326"/>
            <w:tcBorders>
              <w:top w:val="single" w:color="B7CFC9" w:sz="4"/>
              <w:left w:val="single" w:color="B7CFC9" w:sz="4"/>
              <w:bottom w:val="single" w:color="B7CFC9" w:sz="4"/>
              <w:right w:val="single" w:color="B7CFC9" w:sz="4"/>
            </w:tcBorders>
            <w:tcMar>
              <w:top w:type="dxa" w:w="70"/>
              <w:left w:type="dxa" w:w="110"/>
              <w:bottom w:type="dxa" w:w="70"/>
              <w:right w:type="dxa" w:w="110"/>
            </w:tcMar>
          </w:tcPr>
          <w:p>
            <w:pPr>
              <w:spacing w:after="40" w:line="260"/>
            </w:pPr>
            <w:r>
              <w:rPr>
                <w:rFonts w:ascii="Calibri" w:cs="Calibri" w:eastAsia="Calibri" w:hAnsi="Calibri"/>
                <w:b w:val="false"/>
                <w:bCs w:val="false"/>
                <w:sz w:val="20"/>
                <w:szCs w:val="20"/>
              </w:rPr>
              <w:t xml:space="preserve">Each additional diagnosis goes with longer stays and higher readmission risk. Comorbidity is one of the strongest risk signals found.</w:t>
            </w:r>
          </w:p>
        </w:tc>
      </w:tr>
      <w:tr>
        <w:trPr>
          <w:cantSplit/>
        </w:trPr>
        <w:tc>
          <w:tcPr>
            <w:tcW w:type="dxa" w:w="1700"/>
            <w:tcBorders>
              <w:top w:val="single" w:color="B7CFC9" w:sz="4"/>
              <w:left w:val="single" w:color="B7CFC9" w:sz="4"/>
              <w:bottom w:val="single" w:color="B7CFC9" w:sz="4"/>
              <w:right w:val="single" w:color="B7CFC9" w:sz="4"/>
            </w:tcBorders>
            <w:shd w:fill="E3F1ED" w:color="auto" w:val="clear"/>
            <w:tcMar>
              <w:top w:type="dxa" w:w="70"/>
              <w:left w:type="dxa" w:w="110"/>
              <w:bottom w:type="dxa" w:w="70"/>
              <w:right w:type="dxa" w:w="110"/>
            </w:tcMar>
          </w:tcPr>
          <w:p>
            <w:pPr>
              <w:spacing w:after="40" w:line="260"/>
            </w:pPr>
            <w:r>
              <w:rPr>
                <w:rFonts w:ascii="Calibri" w:cs="Calibri" w:eastAsia="Calibri" w:hAnsi="Calibri"/>
                <w:b/>
                <w:bCs/>
                <w:color w:val="185953"/>
                <w:sz w:val="20"/>
                <w:szCs w:val="20"/>
              </w:rPr>
              <w:t xml:space="preserve">Recommendation</w:t>
            </w:r>
          </w:p>
        </w:tc>
        <w:tc>
          <w:tcPr>
            <w:tcW w:type="dxa" w:w="7326"/>
            <w:tcBorders>
              <w:top w:val="single" w:color="B7CFC9" w:sz="4"/>
              <w:left w:val="single" w:color="B7CFC9" w:sz="4"/>
              <w:bottom w:val="single" w:color="B7CFC9" w:sz="4"/>
              <w:right w:val="single" w:color="B7CFC9" w:sz="4"/>
            </w:tcBorders>
            <w:tcMar>
              <w:top w:type="dxa" w:w="70"/>
              <w:left w:type="dxa" w:w="110"/>
              <w:bottom w:type="dxa" w:w="70"/>
              <w:right w:type="dxa" w:w="110"/>
            </w:tcMar>
          </w:tcPr>
          <w:p>
            <w:pPr>
              <w:spacing w:after="40" w:line="260"/>
            </w:pPr>
            <w:r>
              <w:rPr>
                <w:rFonts w:ascii="Calibri" w:cs="Calibri" w:eastAsia="Calibri" w:hAnsi="Calibri"/>
                <w:b w:val="false"/>
                <w:bCs w:val="false"/>
                <w:sz w:val="20"/>
                <w:szCs w:val="20"/>
              </w:rPr>
              <w:t xml:space="preserve">Flag patients with 6 or more diagnoses at admission for comorbidity-focused discharge planning, and plan beds and staffing around their longer stays.</w:t>
            </w:r>
          </w:p>
        </w:tc>
      </w:tr>
      <w:tr>
        <w:trPr>
          <w:cantSplit/>
        </w:trPr>
        <w:tc>
          <w:tcPr>
            <w:tcW w:type="dxa" w:w="1700"/>
            <w:tcBorders>
              <w:top w:val="single" w:color="B7CFC9" w:sz="4"/>
              <w:left w:val="single" w:color="B7CFC9" w:sz="4"/>
              <w:bottom w:val="single" w:color="B7CFC9" w:sz="4"/>
              <w:right w:val="single" w:color="B7CFC9" w:sz="4"/>
            </w:tcBorders>
            <w:shd w:fill="E3F1ED" w:color="auto" w:val="clear"/>
            <w:tcMar>
              <w:top w:type="dxa" w:w="70"/>
              <w:left w:type="dxa" w:w="110"/>
              <w:bottom w:type="dxa" w:w="70"/>
              <w:right w:type="dxa" w:w="110"/>
            </w:tcMar>
          </w:tcPr>
          <w:p>
            <w:pPr>
              <w:spacing w:after="40" w:line="260"/>
            </w:pPr>
            <w:r>
              <w:rPr>
                <w:rFonts w:ascii="Calibri" w:cs="Calibri" w:eastAsia="Calibri" w:hAnsi="Calibri"/>
                <w:b/>
                <w:bCs/>
                <w:color w:val="185953"/>
                <w:sz w:val="20"/>
                <w:szCs w:val="20"/>
              </w:rPr>
              <w:t xml:space="preserve">Limitation</w:t>
            </w:r>
          </w:p>
        </w:tc>
        <w:tc>
          <w:tcPr>
            <w:tcW w:type="dxa" w:w="7326"/>
            <w:tcBorders>
              <w:top w:val="single" w:color="B7CFC9" w:sz="4"/>
              <w:left w:val="single" w:color="B7CFC9" w:sz="4"/>
              <w:bottom w:val="single" w:color="B7CFC9" w:sz="4"/>
              <w:right w:val="single" w:color="B7CFC9" w:sz="4"/>
            </w:tcBorders>
            <w:tcMar>
              <w:top w:type="dxa" w:w="70"/>
              <w:left w:type="dxa" w:w="110"/>
              <w:bottom w:type="dxa" w:w="70"/>
              <w:right w:type="dxa" w:w="110"/>
            </w:tcMar>
          </w:tcPr>
          <w:p>
            <w:pPr>
              <w:spacing w:after="40" w:line="260"/>
            </w:pPr>
            <w:r>
              <w:rPr>
                <w:rFonts w:ascii="Calibri" w:cs="Calibri" w:eastAsia="Calibri" w:hAnsi="Calibri"/>
                <w:b w:val="false"/>
                <w:bCs w:val="false"/>
                <w:sz w:val="20"/>
                <w:szCs w:val="20"/>
              </w:rPr>
              <w:t xml:space="preserve">Number of diagnoses counts coded conditions, not severity. Nearly half of encounters sit at exactly 9, which suggests a recording cap, and the 10 to 16 groups (52 encounters) are too small to read.</w:t>
            </w:r>
          </w:p>
        </w:tc>
      </w:tr>
    </w:tbl>
    <w:p>
      <w:pPr>
        <w:spacing w:after="60"/>
      </w:pPr>
      <w:r>
        <w:rPr>
          <w:rFonts w:ascii="Calibri" w:cs="Calibri" w:eastAsia="Calibri" w:hAnsi="Calibri"/>
          <w:sz w:val="21"/>
          <w:szCs w:val="21"/>
        </w:rPr>
        <w:t xml:space="preserve"/>
      </w:r>
    </w:p>
    <w:p>
      <w:pPr>
        <w:pStyle w:val="Heading3"/>
        <w:keepNext/>
        <w:spacing w:after="90" w:before="220"/>
      </w:pPr>
      <w:r>
        <w:rPr>
          <w:rFonts w:ascii="Calibri" w:cs="Calibri" w:eastAsia="Calibri" w:hAnsi="Calibri"/>
          <w:b/>
          <w:bCs/>
          <w:color w:val="185953"/>
          <w:sz w:val="22"/>
          <w:szCs w:val="22"/>
        </w:rPr>
        <w:t xml:space="preserve">Medium Q4: Demographics and interventions</w:t>
      </w:r>
    </w:p>
    <w:p>
      <w:pPr>
        <w:keepNext/>
        <w:spacing w:after="80"/>
      </w:pPr>
      <w:r>
        <w:rPr>
          <w:rFonts w:ascii="Calibri" w:cs="Calibri" w:eastAsia="Calibri" w:hAnsi="Calibri"/>
          <w:b/>
          <w:bCs/>
          <w:i/>
          <w:iCs/>
          <w:sz w:val="21"/>
          <w:szCs w:val="21"/>
        </w:rPr>
        <w:t xml:space="preserve">Question: </w:t>
      </w:r>
      <w:r>
        <w:rPr>
          <w:rFonts w:ascii="Calibri" w:cs="Calibri" w:eastAsia="Calibri" w:hAnsi="Calibri"/>
          <w:i/>
          <w:iCs/>
          <w:sz w:val="21"/>
          <w:szCs w:val="21"/>
        </w:rPr>
        <w:t xml:space="preserve">Explore the relationship between demographics (race, gender, age) and the interventions received (lab procedures, medications).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rPr>
          <w:cantSplit/>
        </w:trPr>
        <w:tc>
          <w:tcPr>
            <w:tcW w:type="dxa" w:w="1700"/>
            <w:tcBorders>
              <w:top w:val="single" w:color="B7CFC9" w:sz="4"/>
              <w:left w:val="single" w:color="B7CFC9" w:sz="4"/>
              <w:bottom w:val="single" w:color="B7CFC9" w:sz="4"/>
              <w:right w:val="single" w:color="B7CFC9" w:sz="4"/>
            </w:tcBorders>
            <w:shd w:fill="E3F1ED" w:color="auto" w:val="clear"/>
            <w:tcMar>
              <w:top w:type="dxa" w:w="70"/>
              <w:left w:type="dxa" w:w="110"/>
              <w:bottom w:type="dxa" w:w="70"/>
              <w:right w:type="dxa" w:w="110"/>
            </w:tcMar>
          </w:tcPr>
          <w:p>
            <w:pPr>
              <w:spacing w:after="40" w:line="260"/>
            </w:pPr>
            <w:r>
              <w:rPr>
                <w:rFonts w:ascii="Calibri" w:cs="Calibri" w:eastAsia="Calibri" w:hAnsi="Calibri"/>
                <w:b/>
                <w:bCs/>
                <w:color w:val="185953"/>
                <w:sz w:val="20"/>
                <w:szCs w:val="20"/>
              </w:rPr>
              <w:t xml:space="preserve">Method</w:t>
            </w:r>
          </w:p>
        </w:tc>
        <w:tc>
          <w:tcPr>
            <w:tcW w:type="dxa" w:w="7326"/>
            <w:tcBorders>
              <w:top w:val="single" w:color="B7CFC9" w:sz="4"/>
              <w:left w:val="single" w:color="B7CFC9" w:sz="4"/>
              <w:bottom w:val="single" w:color="B7CFC9" w:sz="4"/>
              <w:right w:val="single" w:color="B7CFC9" w:sz="4"/>
            </w:tcBorders>
            <w:tcMar>
              <w:top w:type="dxa" w:w="70"/>
              <w:left w:type="dxa" w:w="110"/>
              <w:bottom w:type="dxa" w:w="70"/>
              <w:right w:type="dxa" w:w="110"/>
            </w:tcMar>
          </w:tcPr>
          <w:p>
            <w:pPr>
              <w:spacing w:after="40" w:line="260"/>
            </w:pPr>
            <w:r>
              <w:rPr>
                <w:rFonts w:ascii="Calibri" w:cs="Calibri" w:eastAsia="Calibri" w:hAnsi="Calibri"/>
                <w:b w:val="false"/>
                <w:bCs w:val="false"/>
                <w:sz w:val="20"/>
                <w:szCs w:val="20"/>
              </w:rPr>
              <w:t xml:space="preserve">Three pivots (MQ4_Demographics) of average lab procedures, average medications and count by gender, race and age, plus a two-sample t-test between women and men.</w:t>
            </w:r>
          </w:p>
        </w:tc>
      </w:tr>
      <w:tr>
        <w:trPr>
          <w:cantSplit/>
        </w:trPr>
        <w:tc>
          <w:tcPr>
            <w:tcW w:type="dxa" w:w="1700"/>
            <w:tcBorders>
              <w:top w:val="single" w:color="B7CFC9" w:sz="4"/>
              <w:left w:val="single" w:color="B7CFC9" w:sz="4"/>
              <w:bottom w:val="single" w:color="B7CFC9" w:sz="4"/>
              <w:right w:val="single" w:color="B7CFC9" w:sz="4"/>
            </w:tcBorders>
            <w:shd w:fill="E3F1ED" w:color="auto" w:val="clear"/>
            <w:tcMar>
              <w:top w:type="dxa" w:w="70"/>
              <w:left w:type="dxa" w:w="110"/>
              <w:bottom w:type="dxa" w:w="70"/>
              <w:right w:type="dxa" w:w="110"/>
            </w:tcMar>
          </w:tcPr>
          <w:p>
            <w:pPr>
              <w:spacing w:after="40" w:line="260"/>
            </w:pPr>
            <w:r>
              <w:rPr>
                <w:rFonts w:ascii="Calibri" w:cs="Calibri" w:eastAsia="Calibri" w:hAnsi="Calibri"/>
                <w:b/>
                <w:bCs/>
                <w:color w:val="185953"/>
                <w:sz w:val="20"/>
                <w:szCs w:val="20"/>
              </w:rPr>
              <w:t xml:space="preserve">Result</w:t>
            </w:r>
          </w:p>
        </w:tc>
        <w:tc>
          <w:tcPr>
            <w:tcW w:type="dxa" w:w="7326"/>
            <w:tcBorders>
              <w:top w:val="single" w:color="B7CFC9" w:sz="4"/>
              <w:left w:val="single" w:color="B7CFC9" w:sz="4"/>
              <w:bottom w:val="single" w:color="B7CFC9" w:sz="4"/>
              <w:right w:val="single" w:color="B7CFC9" w:sz="4"/>
            </w:tcBorders>
            <w:tcMar>
              <w:top w:type="dxa" w:w="70"/>
              <w:left w:type="dxa" w:w="110"/>
              <w:bottom w:type="dxa" w:w="70"/>
              <w:right w:type="dxa" w:w="110"/>
            </w:tcMar>
          </w:tcPr>
          <w:p>
            <w:pPr>
              <w:spacing w:after="40" w:line="260"/>
            </w:pPr>
            <w:r>
              <w:rPr>
                <w:rFonts w:ascii="Calibri" w:cs="Calibri" w:eastAsia="Calibri" w:hAnsi="Calibri"/>
                <w:b w:val="false"/>
                <w:bCs w:val="false"/>
                <w:sz w:val="20"/>
                <w:szCs w:val="20"/>
              </w:rPr>
              <w:t xml:space="preserve">Gender: no real difference in labs (43.2 vs 43.0, p = 0.277) and a 0.2 medication gap (16.1 vs 15.9, p = 0.0016). Race: medications range from 13.1 (Asian) to 16.3 (Caucasian). Age: medications peak at 17.2 for ages 60-70 while labs stay flat.</w:t>
            </w:r>
          </w:p>
        </w:tc>
      </w:tr>
      <w:tr>
        <w:trPr>
          <w:cantSplit/>
        </w:trPr>
        <w:tc>
          <w:tcPr>
            <w:tcW w:type="dxa" w:w="1700"/>
            <w:tcBorders>
              <w:top w:val="single" w:color="B7CFC9" w:sz="4"/>
              <w:left w:val="single" w:color="B7CFC9" w:sz="4"/>
              <w:bottom w:val="single" w:color="B7CFC9" w:sz="4"/>
              <w:right w:val="single" w:color="B7CFC9" w:sz="4"/>
            </w:tcBorders>
            <w:shd w:fill="E3F1ED" w:color="auto" w:val="clear"/>
            <w:tcMar>
              <w:top w:type="dxa" w:w="70"/>
              <w:left w:type="dxa" w:w="110"/>
              <w:bottom w:type="dxa" w:w="70"/>
              <w:right w:type="dxa" w:w="110"/>
            </w:tcMar>
          </w:tcPr>
          <w:p>
            <w:pPr>
              <w:spacing w:after="40" w:line="260"/>
            </w:pPr>
            <w:r>
              <w:rPr>
                <w:rFonts w:ascii="Calibri" w:cs="Calibri" w:eastAsia="Calibri" w:hAnsi="Calibri"/>
                <w:b/>
                <w:bCs/>
                <w:color w:val="185953"/>
                <w:sz w:val="20"/>
                <w:szCs w:val="20"/>
              </w:rPr>
              <w:t xml:space="preserve">Insight</w:t>
            </w:r>
          </w:p>
        </w:tc>
        <w:tc>
          <w:tcPr>
            <w:tcW w:type="dxa" w:w="7326"/>
            <w:tcBorders>
              <w:top w:val="single" w:color="B7CFC9" w:sz="4"/>
              <w:left w:val="single" w:color="B7CFC9" w:sz="4"/>
              <w:bottom w:val="single" w:color="B7CFC9" w:sz="4"/>
              <w:right w:val="single" w:color="B7CFC9" w:sz="4"/>
            </w:tcBorders>
            <w:tcMar>
              <w:top w:type="dxa" w:w="70"/>
              <w:left w:type="dxa" w:w="110"/>
              <w:bottom w:type="dxa" w:w="70"/>
              <w:right w:type="dxa" w:w="110"/>
            </w:tcMar>
          </w:tcPr>
          <w:p>
            <w:pPr>
              <w:spacing w:after="40" w:line="260"/>
            </w:pPr>
            <w:r>
              <w:rPr>
                <w:rFonts w:ascii="Calibri" w:cs="Calibri" w:eastAsia="Calibri" w:hAnsi="Calibri"/>
                <w:b w:val="false"/>
                <w:bCs w:val="false"/>
                <w:sz w:val="20"/>
                <w:szCs w:val="20"/>
              </w:rPr>
              <w:t xml:space="preserve">Treatment intensity follows age, not gender. Race differences exist in medication counts but may reflect age and health mix, not unequal care.</w:t>
            </w:r>
          </w:p>
        </w:tc>
      </w:tr>
      <w:tr>
        <w:trPr>
          <w:cantSplit/>
        </w:trPr>
        <w:tc>
          <w:tcPr>
            <w:tcW w:type="dxa" w:w="1700"/>
            <w:tcBorders>
              <w:top w:val="single" w:color="B7CFC9" w:sz="4"/>
              <w:left w:val="single" w:color="B7CFC9" w:sz="4"/>
              <w:bottom w:val="single" w:color="B7CFC9" w:sz="4"/>
              <w:right w:val="single" w:color="B7CFC9" w:sz="4"/>
            </w:tcBorders>
            <w:shd w:fill="E3F1ED" w:color="auto" w:val="clear"/>
            <w:tcMar>
              <w:top w:type="dxa" w:w="70"/>
              <w:left w:type="dxa" w:w="110"/>
              <w:bottom w:type="dxa" w:w="70"/>
              <w:right w:type="dxa" w:w="110"/>
            </w:tcMar>
          </w:tcPr>
          <w:p>
            <w:pPr>
              <w:spacing w:after="40" w:line="260"/>
            </w:pPr>
            <w:r>
              <w:rPr>
                <w:rFonts w:ascii="Calibri" w:cs="Calibri" w:eastAsia="Calibri" w:hAnsi="Calibri"/>
                <w:b/>
                <w:bCs/>
                <w:color w:val="185953"/>
                <w:sz w:val="20"/>
                <w:szCs w:val="20"/>
              </w:rPr>
              <w:t xml:space="preserve">Recommendation</w:t>
            </w:r>
          </w:p>
        </w:tc>
        <w:tc>
          <w:tcPr>
            <w:tcW w:type="dxa" w:w="7326"/>
            <w:tcBorders>
              <w:top w:val="single" w:color="B7CFC9" w:sz="4"/>
              <w:left w:val="single" w:color="B7CFC9" w:sz="4"/>
              <w:bottom w:val="single" w:color="B7CFC9" w:sz="4"/>
              <w:right w:val="single" w:color="B7CFC9" w:sz="4"/>
            </w:tcBorders>
            <w:tcMar>
              <w:top w:type="dxa" w:w="70"/>
              <w:left w:type="dxa" w:w="110"/>
              <w:bottom w:type="dxa" w:w="70"/>
              <w:right w:type="dxa" w:w="110"/>
            </w:tcMar>
          </w:tcPr>
          <w:p>
            <w:pPr>
              <w:spacing w:after="40" w:line="260"/>
            </w:pPr>
            <w:r>
              <w:rPr>
                <w:rFonts w:ascii="Calibri" w:cs="Calibri" w:eastAsia="Calibri" w:hAnsi="Calibri"/>
                <w:b w:val="false"/>
                <w:bCs w:val="false"/>
                <w:sz w:val="20"/>
                <w:szCs w:val="20"/>
              </w:rPr>
              <w:t xml:space="preserve">No gender-based intervention is needed. Review prescribing for Asian and Hispanic patients to check whether lower counts reflect age or health mix or a gap in care. Run polypharmacy reviews for patients aged 60 and over.</w:t>
            </w:r>
          </w:p>
        </w:tc>
      </w:tr>
      <w:tr>
        <w:trPr>
          <w:cantSplit/>
        </w:trPr>
        <w:tc>
          <w:tcPr>
            <w:tcW w:type="dxa" w:w="1700"/>
            <w:tcBorders>
              <w:top w:val="single" w:color="B7CFC9" w:sz="4"/>
              <w:left w:val="single" w:color="B7CFC9" w:sz="4"/>
              <w:bottom w:val="single" w:color="B7CFC9" w:sz="4"/>
              <w:right w:val="single" w:color="B7CFC9" w:sz="4"/>
            </w:tcBorders>
            <w:shd w:fill="E3F1ED" w:color="auto" w:val="clear"/>
            <w:tcMar>
              <w:top w:type="dxa" w:w="70"/>
              <w:left w:type="dxa" w:w="110"/>
              <w:bottom w:type="dxa" w:w="70"/>
              <w:right w:type="dxa" w:w="110"/>
            </w:tcMar>
          </w:tcPr>
          <w:p>
            <w:pPr>
              <w:spacing w:after="40" w:line="260"/>
            </w:pPr>
            <w:r>
              <w:rPr>
                <w:rFonts w:ascii="Calibri" w:cs="Calibri" w:eastAsia="Calibri" w:hAnsi="Calibri"/>
                <w:b/>
                <w:bCs/>
                <w:color w:val="185953"/>
                <w:sz w:val="20"/>
                <w:szCs w:val="20"/>
              </w:rPr>
              <w:t xml:space="preserve">Limitation</w:t>
            </w:r>
          </w:p>
        </w:tc>
        <w:tc>
          <w:tcPr>
            <w:tcW w:type="dxa" w:w="7326"/>
            <w:tcBorders>
              <w:top w:val="single" w:color="B7CFC9" w:sz="4"/>
              <w:left w:val="single" w:color="B7CFC9" w:sz="4"/>
              <w:bottom w:val="single" w:color="B7CFC9" w:sz="4"/>
              <w:right w:val="single" w:color="B7CFC9" w:sz="4"/>
            </w:tcBorders>
            <w:tcMar>
              <w:top w:type="dxa" w:w="70"/>
              <w:left w:type="dxa" w:w="110"/>
              <w:bottom w:type="dxa" w:w="70"/>
              <w:right w:type="dxa" w:w="110"/>
            </w:tcMar>
          </w:tcPr>
          <w:p>
            <w:pPr>
              <w:spacing w:after="40" w:line="260"/>
            </w:pPr>
            <w:r>
              <w:rPr>
                <w:rFonts w:ascii="Calibri" w:cs="Calibri" w:eastAsia="Calibri" w:hAnsi="Calibri"/>
                <w:b w:val="false"/>
                <w:bCs w:val="false"/>
                <w:sz w:val="20"/>
                <w:szCs w:val="20"/>
              </w:rPr>
              <w:t xml:space="preserve">Only gender was tested for significance. Race and age gaps are descriptive and not adjusted for each other or for diagnosis. Asian (300) and 0-10 (77) groups are small.</w:t>
            </w:r>
          </w:p>
        </w:tc>
      </w:tr>
    </w:tbl>
    <w:p>
      <w:pPr>
        <w:spacing w:after="60"/>
      </w:pPr>
      <w:r>
        <w:rPr>
          <w:rFonts w:ascii="Calibri" w:cs="Calibri" w:eastAsia="Calibri" w:hAnsi="Calibri"/>
          <w:sz w:val="21"/>
          <w:szCs w:val="21"/>
        </w:rPr>
        <w:t xml:space="preserve"/>
      </w:r>
    </w:p>
    <w:p>
      <w:pPr>
        <w:pStyle w:val="Heading3"/>
        <w:keepNext/>
        <w:spacing w:after="90" w:before="220"/>
      </w:pPr>
      <w:r>
        <w:rPr>
          <w:rFonts w:ascii="Calibri" w:cs="Calibri" w:eastAsia="Calibri" w:hAnsi="Calibri"/>
          <w:b/>
          <w:bCs/>
          <w:color w:val="185953"/>
          <w:sz w:val="22"/>
          <w:szCs w:val="22"/>
        </w:rPr>
        <w:t xml:space="preserve">Medium Q5: Prior visits and primary diagnosis</w:t>
      </w:r>
    </w:p>
    <w:p>
      <w:pPr>
        <w:keepNext/>
        <w:spacing w:after="80"/>
      </w:pPr>
      <w:r>
        <w:rPr>
          <w:rFonts w:ascii="Calibri" w:cs="Calibri" w:eastAsia="Calibri" w:hAnsi="Calibri"/>
          <w:b/>
          <w:bCs/>
          <w:i/>
          <w:iCs/>
          <w:sz w:val="21"/>
          <w:szCs w:val="21"/>
        </w:rPr>
        <w:t xml:space="preserve">Question: </w:t>
      </w:r>
      <w:r>
        <w:rPr>
          <w:rFonts w:ascii="Calibri" w:cs="Calibri" w:eastAsia="Calibri" w:hAnsi="Calibri"/>
          <w:i/>
          <w:iCs/>
          <w:sz w:val="21"/>
          <w:szCs w:val="21"/>
        </w:rPr>
        <w:t xml:space="preserve">Examine the association between prior inpatient, outpatient and emergency visits and the type of primary diagnosis.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rPr>
          <w:cantSplit/>
        </w:trPr>
        <w:tc>
          <w:tcPr>
            <w:tcW w:type="dxa" w:w="1700"/>
            <w:tcBorders>
              <w:top w:val="single" w:color="B7CFC9" w:sz="4"/>
              <w:left w:val="single" w:color="B7CFC9" w:sz="4"/>
              <w:bottom w:val="single" w:color="B7CFC9" w:sz="4"/>
              <w:right w:val="single" w:color="B7CFC9" w:sz="4"/>
            </w:tcBorders>
            <w:shd w:fill="E3F1ED" w:color="auto" w:val="clear"/>
            <w:tcMar>
              <w:top w:type="dxa" w:w="70"/>
              <w:left w:type="dxa" w:w="110"/>
              <w:bottom w:type="dxa" w:w="70"/>
              <w:right w:type="dxa" w:w="110"/>
            </w:tcMar>
          </w:tcPr>
          <w:p>
            <w:pPr>
              <w:spacing w:after="40" w:line="260"/>
            </w:pPr>
            <w:r>
              <w:rPr>
                <w:rFonts w:ascii="Calibri" w:cs="Calibri" w:eastAsia="Calibri" w:hAnsi="Calibri"/>
                <w:b/>
                <w:bCs/>
                <w:color w:val="185953"/>
                <w:sz w:val="20"/>
                <w:szCs w:val="20"/>
              </w:rPr>
              <w:t xml:space="preserve">Method</w:t>
            </w:r>
          </w:p>
        </w:tc>
        <w:tc>
          <w:tcPr>
            <w:tcW w:type="dxa" w:w="7326"/>
            <w:tcBorders>
              <w:top w:val="single" w:color="B7CFC9" w:sz="4"/>
              <w:left w:val="single" w:color="B7CFC9" w:sz="4"/>
              <w:bottom w:val="single" w:color="B7CFC9" w:sz="4"/>
              <w:right w:val="single" w:color="B7CFC9" w:sz="4"/>
            </w:tcBorders>
            <w:tcMar>
              <w:top w:type="dxa" w:w="70"/>
              <w:left w:type="dxa" w:w="110"/>
              <w:bottom w:type="dxa" w:w="70"/>
              <w:right w:type="dxa" w:w="110"/>
            </w:tcMar>
          </w:tcPr>
          <w:p>
            <w:pPr>
              <w:spacing w:after="40" w:line="260"/>
            </w:pPr>
            <w:r>
              <w:rPr>
                <w:rFonts w:ascii="Calibri" w:cs="Calibri" w:eastAsia="Calibri" w:hAnsi="Calibri"/>
                <w:b w:val="false"/>
                <w:bCs w:val="false"/>
                <w:sz w:val="20"/>
                <w:szCs w:val="20"/>
              </w:rPr>
              <w:t xml:space="preserve">Pivot table (MQ5_Diagnosis) using the Diagnosis_Group helper column (ICD-9 ranges of diag_1), with the average of each visit type and encounter count.</w:t>
            </w:r>
          </w:p>
        </w:tc>
      </w:tr>
      <w:tr>
        <w:trPr>
          <w:cantSplit/>
        </w:trPr>
        <w:tc>
          <w:tcPr>
            <w:tcW w:type="dxa" w:w="1700"/>
            <w:tcBorders>
              <w:top w:val="single" w:color="B7CFC9" w:sz="4"/>
              <w:left w:val="single" w:color="B7CFC9" w:sz="4"/>
              <w:bottom w:val="single" w:color="B7CFC9" w:sz="4"/>
              <w:right w:val="single" w:color="B7CFC9" w:sz="4"/>
            </w:tcBorders>
            <w:shd w:fill="E3F1ED" w:color="auto" w:val="clear"/>
            <w:tcMar>
              <w:top w:type="dxa" w:w="70"/>
              <w:left w:type="dxa" w:w="110"/>
              <w:bottom w:type="dxa" w:w="70"/>
              <w:right w:type="dxa" w:w="110"/>
            </w:tcMar>
          </w:tcPr>
          <w:p>
            <w:pPr>
              <w:spacing w:after="40" w:line="260"/>
            </w:pPr>
            <w:r>
              <w:rPr>
                <w:rFonts w:ascii="Calibri" w:cs="Calibri" w:eastAsia="Calibri" w:hAnsi="Calibri"/>
                <w:b/>
                <w:bCs/>
                <w:color w:val="185953"/>
                <w:sz w:val="20"/>
                <w:szCs w:val="20"/>
              </w:rPr>
              <w:t xml:space="preserve">Result</w:t>
            </w:r>
          </w:p>
        </w:tc>
        <w:tc>
          <w:tcPr>
            <w:tcW w:type="dxa" w:w="7326"/>
            <w:tcBorders>
              <w:top w:val="single" w:color="B7CFC9" w:sz="4"/>
              <w:left w:val="single" w:color="B7CFC9" w:sz="4"/>
              <w:bottom w:val="single" w:color="B7CFC9" w:sz="4"/>
              <w:right w:val="single" w:color="B7CFC9" w:sz="4"/>
            </w:tcBorders>
            <w:tcMar>
              <w:top w:type="dxa" w:w="70"/>
              <w:left w:type="dxa" w:w="110"/>
              <w:bottom w:type="dxa" w:w="70"/>
              <w:right w:type="dxa" w:w="110"/>
            </w:tcMar>
          </w:tcPr>
          <w:p>
            <w:pPr>
              <w:spacing w:after="40" w:line="260"/>
            </w:pPr>
            <w:r>
              <w:rPr>
                <w:rFonts w:ascii="Calibri" w:cs="Calibri" w:eastAsia="Calibri" w:hAnsi="Calibri"/>
                <w:b w:val="false"/>
                <w:bCs w:val="false"/>
                <w:sz w:val="20"/>
                <w:szCs w:val="20"/>
              </w:rPr>
              <w:t xml:space="preserve">Diabetes has the highest prior use (0.90 inpatient, 0.39 emergency, 1.72 total visits against 1.22 overall). Neoplasms and musculoskeletal diagnoses are lowest (0.81 and 0.86 total). Outpatient use is flat across groups.</w:t>
            </w:r>
          </w:p>
        </w:tc>
      </w:tr>
      <w:tr>
        <w:trPr>
          <w:cantSplit/>
        </w:trPr>
        <w:tc>
          <w:tcPr>
            <w:tcW w:type="dxa" w:w="1700"/>
            <w:tcBorders>
              <w:top w:val="single" w:color="B7CFC9" w:sz="4"/>
              <w:left w:val="single" w:color="B7CFC9" w:sz="4"/>
              <w:bottom w:val="single" w:color="B7CFC9" w:sz="4"/>
              <w:right w:val="single" w:color="B7CFC9" w:sz="4"/>
            </w:tcBorders>
            <w:shd w:fill="E3F1ED" w:color="auto" w:val="clear"/>
            <w:tcMar>
              <w:top w:type="dxa" w:w="70"/>
              <w:left w:type="dxa" w:w="110"/>
              <w:bottom w:type="dxa" w:w="70"/>
              <w:right w:type="dxa" w:w="110"/>
            </w:tcMar>
          </w:tcPr>
          <w:p>
            <w:pPr>
              <w:spacing w:after="40" w:line="260"/>
            </w:pPr>
            <w:r>
              <w:rPr>
                <w:rFonts w:ascii="Calibri" w:cs="Calibri" w:eastAsia="Calibri" w:hAnsi="Calibri"/>
                <w:b/>
                <w:bCs/>
                <w:color w:val="185953"/>
                <w:sz w:val="20"/>
                <w:szCs w:val="20"/>
              </w:rPr>
              <w:t xml:space="preserve">Insight</w:t>
            </w:r>
          </w:p>
        </w:tc>
        <w:tc>
          <w:tcPr>
            <w:tcW w:type="dxa" w:w="7326"/>
            <w:tcBorders>
              <w:top w:val="single" w:color="B7CFC9" w:sz="4"/>
              <w:left w:val="single" w:color="B7CFC9" w:sz="4"/>
              <w:bottom w:val="single" w:color="B7CFC9" w:sz="4"/>
              <w:right w:val="single" w:color="B7CFC9" w:sz="4"/>
            </w:tcBorders>
            <w:tcMar>
              <w:top w:type="dxa" w:w="70"/>
              <w:left w:type="dxa" w:w="110"/>
              <w:bottom w:type="dxa" w:w="70"/>
              <w:right w:type="dxa" w:w="110"/>
            </w:tcMar>
          </w:tcPr>
          <w:p>
            <w:pPr>
              <w:spacing w:after="40" w:line="260"/>
            </w:pPr>
            <w:r>
              <w:rPr>
                <w:rFonts w:ascii="Calibri" w:cs="Calibri" w:eastAsia="Calibri" w:hAnsi="Calibri"/>
                <w:b w:val="false"/>
                <w:bCs w:val="false"/>
                <w:sz w:val="20"/>
                <w:szCs w:val="20"/>
              </w:rPr>
              <w:t xml:space="preserve">Diabetes patients return to hospital and emergency care far more often than other groups, which supports treating diabetes as the priority condition for prevention.</w:t>
            </w:r>
          </w:p>
        </w:tc>
      </w:tr>
      <w:tr>
        <w:trPr>
          <w:cantSplit/>
        </w:trPr>
        <w:tc>
          <w:tcPr>
            <w:tcW w:type="dxa" w:w="1700"/>
            <w:tcBorders>
              <w:top w:val="single" w:color="B7CFC9" w:sz="4"/>
              <w:left w:val="single" w:color="B7CFC9" w:sz="4"/>
              <w:bottom w:val="single" w:color="B7CFC9" w:sz="4"/>
              <w:right w:val="single" w:color="B7CFC9" w:sz="4"/>
            </w:tcBorders>
            <w:shd w:fill="E3F1ED" w:color="auto" w:val="clear"/>
            <w:tcMar>
              <w:top w:type="dxa" w:w="70"/>
              <w:left w:type="dxa" w:w="110"/>
              <w:bottom w:type="dxa" w:w="70"/>
              <w:right w:type="dxa" w:w="110"/>
            </w:tcMar>
          </w:tcPr>
          <w:p>
            <w:pPr>
              <w:spacing w:after="40" w:line="260"/>
            </w:pPr>
            <w:r>
              <w:rPr>
                <w:rFonts w:ascii="Calibri" w:cs="Calibri" w:eastAsia="Calibri" w:hAnsi="Calibri"/>
                <w:b/>
                <w:bCs/>
                <w:color w:val="185953"/>
                <w:sz w:val="20"/>
                <w:szCs w:val="20"/>
              </w:rPr>
              <w:t xml:space="preserve">Recommendation</w:t>
            </w:r>
          </w:p>
        </w:tc>
        <w:tc>
          <w:tcPr>
            <w:tcW w:type="dxa" w:w="7326"/>
            <w:tcBorders>
              <w:top w:val="single" w:color="B7CFC9" w:sz="4"/>
              <w:left w:val="single" w:color="B7CFC9" w:sz="4"/>
              <w:bottom w:val="single" w:color="B7CFC9" w:sz="4"/>
              <w:right w:val="single" w:color="B7CFC9" w:sz="4"/>
            </w:tcBorders>
            <w:tcMar>
              <w:top w:type="dxa" w:w="70"/>
              <w:left w:type="dxa" w:w="110"/>
              <w:bottom w:type="dxa" w:w="70"/>
              <w:right w:type="dxa" w:w="110"/>
            </w:tcMar>
          </w:tcPr>
          <w:p>
            <w:pPr>
              <w:spacing w:after="40" w:line="260"/>
            </w:pPr>
            <w:r>
              <w:rPr>
                <w:rFonts w:ascii="Calibri" w:cs="Calibri" w:eastAsia="Calibri" w:hAnsi="Calibri"/>
                <w:b w:val="false"/>
                <w:bCs w:val="false"/>
                <w:sz w:val="20"/>
                <w:szCs w:val="20"/>
              </w:rPr>
              <w:t xml:space="preserve">Build a preventive diabetes care pathway (outpatient management, education, early follow-up), and plan emergency and inpatient capacity with diabetes as a high-use group.</w:t>
            </w:r>
          </w:p>
        </w:tc>
      </w:tr>
      <w:tr>
        <w:trPr>
          <w:cantSplit/>
        </w:trPr>
        <w:tc>
          <w:tcPr>
            <w:tcW w:type="dxa" w:w="1700"/>
            <w:tcBorders>
              <w:top w:val="single" w:color="B7CFC9" w:sz="4"/>
              <w:left w:val="single" w:color="B7CFC9" w:sz="4"/>
              <w:bottom w:val="single" w:color="B7CFC9" w:sz="4"/>
              <w:right w:val="single" w:color="B7CFC9" w:sz="4"/>
            </w:tcBorders>
            <w:shd w:fill="E3F1ED" w:color="auto" w:val="clear"/>
            <w:tcMar>
              <w:top w:type="dxa" w:w="70"/>
              <w:left w:type="dxa" w:w="110"/>
              <w:bottom w:type="dxa" w:w="70"/>
              <w:right w:type="dxa" w:w="110"/>
            </w:tcMar>
          </w:tcPr>
          <w:p>
            <w:pPr>
              <w:spacing w:after="40" w:line="260"/>
            </w:pPr>
            <w:r>
              <w:rPr>
                <w:rFonts w:ascii="Calibri" w:cs="Calibri" w:eastAsia="Calibri" w:hAnsi="Calibri"/>
                <w:b/>
                <w:bCs/>
                <w:color w:val="185953"/>
                <w:sz w:val="20"/>
                <w:szCs w:val="20"/>
              </w:rPr>
              <w:t xml:space="preserve">Limitation</w:t>
            </w:r>
          </w:p>
        </w:tc>
        <w:tc>
          <w:tcPr>
            <w:tcW w:type="dxa" w:w="7326"/>
            <w:tcBorders>
              <w:top w:val="single" w:color="B7CFC9" w:sz="4"/>
              <w:left w:val="single" w:color="B7CFC9" w:sz="4"/>
              <w:bottom w:val="single" w:color="B7CFC9" w:sz="4"/>
              <w:right w:val="single" w:color="B7CFC9" w:sz="4"/>
            </w:tcBorders>
            <w:tcMar>
              <w:top w:type="dxa" w:w="70"/>
              <w:left w:type="dxa" w:w="110"/>
              <w:bottom w:type="dxa" w:w="70"/>
              <w:right w:type="dxa" w:w="110"/>
            </w:tcMar>
          </w:tcPr>
          <w:p>
            <w:pPr>
              <w:spacing w:after="40" w:line="260"/>
            </w:pPr>
            <w:r>
              <w:rPr>
                <w:rFonts w:ascii="Calibri" w:cs="Calibri" w:eastAsia="Calibri" w:hAnsi="Calibri"/>
                <w:b w:val="false"/>
                <w:bCs w:val="false"/>
                <w:sz w:val="20"/>
                <w:szCs w:val="20"/>
              </w:rPr>
              <w:t xml:space="preserve">Diagnosis groups use broad ICD-9 ranges, and Other (18%) mixes letter-coded and unknown diagnoses. Averages show association, not cause, and do not measure severity.</w:t>
            </w:r>
          </w:p>
        </w:tc>
      </w:tr>
    </w:tbl>
    <w:p>
      <w:pPr>
        <w:spacing w:after="60"/>
      </w:pPr>
      <w:r>
        <w:rPr>
          <w:rFonts w:ascii="Calibri" w:cs="Calibri" w:eastAsia="Calibri" w:hAnsi="Calibri"/>
          <w:sz w:val="21"/>
          <w:szCs w:val="21"/>
        </w:rPr>
        <w:t xml:space="preserve"/>
      </w:r>
    </w:p>
    <w:p>
      <w:pPr>
        <w:pStyle w:val="Heading3"/>
        <w:keepNext/>
        <w:spacing w:after="90" w:before="220"/>
      </w:pPr>
      <w:r>
        <w:rPr>
          <w:rFonts w:ascii="Calibri" w:cs="Calibri" w:eastAsia="Calibri" w:hAnsi="Calibri"/>
          <w:b/>
          <w:bCs/>
          <w:color w:val="185953"/>
          <w:sz w:val="22"/>
          <w:szCs w:val="22"/>
        </w:rPr>
        <w:t xml:space="preserve">Medium Q7: Prescribing patterns by specialty</w:t>
      </w:r>
    </w:p>
    <w:p>
      <w:pPr>
        <w:keepNext/>
        <w:spacing w:after="80"/>
      </w:pPr>
      <w:r>
        <w:rPr>
          <w:rFonts w:ascii="Calibri" w:cs="Calibri" w:eastAsia="Calibri" w:hAnsi="Calibri"/>
          <w:b/>
          <w:bCs/>
          <w:i/>
          <w:iCs/>
          <w:sz w:val="21"/>
          <w:szCs w:val="21"/>
        </w:rPr>
        <w:t xml:space="preserve">Question: </w:t>
      </w:r>
      <w:r>
        <w:rPr>
          <w:rFonts w:ascii="Calibri" w:cs="Calibri" w:eastAsia="Calibri" w:hAnsi="Calibri"/>
          <w:i/>
          <w:iCs/>
          <w:sz w:val="21"/>
          <w:szCs w:val="21"/>
        </w:rPr>
        <w:t xml:space="preserve">Assess the variation in prescribing patterns (X1 to X25) across medical specialties and their impact on readmission rates.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rPr>
          <w:cantSplit/>
        </w:trPr>
        <w:tc>
          <w:tcPr>
            <w:tcW w:type="dxa" w:w="1700"/>
            <w:tcBorders>
              <w:top w:val="single" w:color="B7CFC9" w:sz="4"/>
              <w:left w:val="single" w:color="B7CFC9" w:sz="4"/>
              <w:bottom w:val="single" w:color="B7CFC9" w:sz="4"/>
              <w:right w:val="single" w:color="B7CFC9" w:sz="4"/>
            </w:tcBorders>
            <w:shd w:fill="E3F1ED" w:color="auto" w:val="clear"/>
            <w:tcMar>
              <w:top w:type="dxa" w:w="70"/>
              <w:left w:type="dxa" w:w="110"/>
              <w:bottom w:type="dxa" w:w="70"/>
              <w:right w:type="dxa" w:w="110"/>
            </w:tcMar>
          </w:tcPr>
          <w:p>
            <w:pPr>
              <w:spacing w:after="40" w:line="260"/>
            </w:pPr>
            <w:r>
              <w:rPr>
                <w:rFonts w:ascii="Calibri" w:cs="Calibri" w:eastAsia="Calibri" w:hAnsi="Calibri"/>
                <w:b/>
                <w:bCs/>
                <w:color w:val="185953"/>
                <w:sz w:val="20"/>
                <w:szCs w:val="20"/>
              </w:rPr>
              <w:t xml:space="preserve">Method</w:t>
            </w:r>
          </w:p>
        </w:tc>
        <w:tc>
          <w:tcPr>
            <w:tcW w:type="dxa" w:w="7326"/>
            <w:tcBorders>
              <w:top w:val="single" w:color="B7CFC9" w:sz="4"/>
              <w:left w:val="single" w:color="B7CFC9" w:sz="4"/>
              <w:bottom w:val="single" w:color="B7CFC9" w:sz="4"/>
              <w:right w:val="single" w:color="B7CFC9" w:sz="4"/>
            </w:tcBorders>
            <w:tcMar>
              <w:top w:type="dxa" w:w="70"/>
              <w:left w:type="dxa" w:w="110"/>
              <w:bottom w:type="dxa" w:w="70"/>
              <w:right w:type="dxa" w:w="110"/>
            </w:tcMar>
          </w:tcPr>
          <w:p>
            <w:pPr>
              <w:spacing w:after="40" w:line="260"/>
            </w:pPr>
            <w:r>
              <w:rPr>
                <w:rFonts w:ascii="Calibri" w:cs="Calibri" w:eastAsia="Calibri" w:hAnsi="Calibri"/>
                <w:b w:val="false"/>
                <w:bCs w:val="false"/>
                <w:sz w:val="20"/>
                <w:szCs w:val="20"/>
              </w:rPr>
              <w:t xml:space="preserve">Prescribing frequency table for X3 to X25 (MQ7_Prescribing), readmission with and without each medication, and a pivot (MQ7_Specialty) of X20 status by the five largest specialties as a share of each row. X1 and X2 are excluded because they hold test results.</w:t>
            </w:r>
          </w:p>
        </w:tc>
      </w:tr>
      <w:tr>
        <w:trPr>
          <w:cantSplit/>
        </w:trPr>
        <w:tc>
          <w:tcPr>
            <w:tcW w:type="dxa" w:w="1700"/>
            <w:tcBorders>
              <w:top w:val="single" w:color="B7CFC9" w:sz="4"/>
              <w:left w:val="single" w:color="B7CFC9" w:sz="4"/>
              <w:bottom w:val="single" w:color="B7CFC9" w:sz="4"/>
              <w:right w:val="single" w:color="B7CFC9" w:sz="4"/>
            </w:tcBorders>
            <w:shd w:fill="E3F1ED" w:color="auto" w:val="clear"/>
            <w:tcMar>
              <w:top w:type="dxa" w:w="70"/>
              <w:left w:type="dxa" w:w="110"/>
              <w:bottom w:type="dxa" w:w="70"/>
              <w:right w:type="dxa" w:w="110"/>
            </w:tcMar>
          </w:tcPr>
          <w:p>
            <w:pPr>
              <w:spacing w:after="40" w:line="260"/>
            </w:pPr>
            <w:r>
              <w:rPr>
                <w:rFonts w:ascii="Calibri" w:cs="Calibri" w:eastAsia="Calibri" w:hAnsi="Calibri"/>
                <w:b/>
                <w:bCs/>
                <w:color w:val="185953"/>
                <w:sz w:val="20"/>
                <w:szCs w:val="20"/>
              </w:rPr>
              <w:t xml:space="preserve">Result</w:t>
            </w:r>
          </w:p>
        </w:tc>
        <w:tc>
          <w:tcPr>
            <w:tcW w:type="dxa" w:w="7326"/>
            <w:tcBorders>
              <w:top w:val="single" w:color="B7CFC9" w:sz="4"/>
              <w:left w:val="single" w:color="B7CFC9" w:sz="4"/>
              <w:bottom w:val="single" w:color="B7CFC9" w:sz="4"/>
              <w:right w:val="single" w:color="B7CFC9" w:sz="4"/>
            </w:tcBorders>
            <w:tcMar>
              <w:top w:type="dxa" w:w="70"/>
              <w:left w:type="dxa" w:w="110"/>
              <w:bottom w:type="dxa" w:w="70"/>
              <w:right w:type="dxa" w:w="110"/>
            </w:tcMar>
          </w:tcPr>
          <w:p>
            <w:pPr>
              <w:spacing w:after="40" w:line="260"/>
            </w:pPr>
            <w:r>
              <w:rPr>
                <w:rFonts w:ascii="Calibri" w:cs="Calibri" w:eastAsia="Calibri" w:hAnsi="Calibri"/>
                <w:b w:val="false"/>
                <w:bCs w:val="false"/>
                <w:sz w:val="20"/>
                <w:szCs w:val="20"/>
              </w:rPr>
              <w:t xml:space="preserve">Only 7 of 23 medications are used by 5% or more of encounters. X20 goes with +4.4 points higher readmission and X3 with -3.8. X20 prescribing runs from 64.0% (Emergency/Trauma) to 44.8% (Cardiology), with dose changes in 41.4% vs 16.5% of encounters.</w:t>
            </w:r>
          </w:p>
        </w:tc>
      </w:tr>
      <w:tr>
        <w:trPr>
          <w:cantSplit/>
        </w:trPr>
        <w:tc>
          <w:tcPr>
            <w:tcW w:type="dxa" w:w="1700"/>
            <w:tcBorders>
              <w:top w:val="single" w:color="B7CFC9" w:sz="4"/>
              <w:left w:val="single" w:color="B7CFC9" w:sz="4"/>
              <w:bottom w:val="single" w:color="B7CFC9" w:sz="4"/>
              <w:right w:val="single" w:color="B7CFC9" w:sz="4"/>
            </w:tcBorders>
            <w:shd w:fill="E3F1ED" w:color="auto" w:val="clear"/>
            <w:tcMar>
              <w:top w:type="dxa" w:w="70"/>
              <w:left w:type="dxa" w:w="110"/>
              <w:bottom w:type="dxa" w:w="70"/>
              <w:right w:type="dxa" w:w="110"/>
            </w:tcMar>
          </w:tcPr>
          <w:p>
            <w:pPr>
              <w:spacing w:after="40" w:line="260"/>
            </w:pPr>
            <w:r>
              <w:rPr>
                <w:rFonts w:ascii="Calibri" w:cs="Calibri" w:eastAsia="Calibri" w:hAnsi="Calibri"/>
                <w:b/>
                <w:bCs/>
                <w:color w:val="185953"/>
                <w:sz w:val="20"/>
                <w:szCs w:val="20"/>
              </w:rPr>
              <w:t xml:space="preserve">Insight</w:t>
            </w:r>
          </w:p>
        </w:tc>
        <w:tc>
          <w:tcPr>
            <w:tcW w:type="dxa" w:w="7326"/>
            <w:tcBorders>
              <w:top w:val="single" w:color="B7CFC9" w:sz="4"/>
              <w:left w:val="single" w:color="B7CFC9" w:sz="4"/>
              <w:bottom w:val="single" w:color="B7CFC9" w:sz="4"/>
              <w:right w:val="single" w:color="B7CFC9" w:sz="4"/>
            </w:tcBorders>
            <w:tcMar>
              <w:top w:type="dxa" w:w="70"/>
              <w:left w:type="dxa" w:w="110"/>
              <w:bottom w:type="dxa" w:w="70"/>
              <w:right w:type="dxa" w:w="110"/>
            </w:tcMar>
          </w:tcPr>
          <w:p>
            <w:pPr>
              <w:spacing w:after="40" w:line="260"/>
            </w:pPr>
            <w:r>
              <w:rPr>
                <w:rFonts w:ascii="Calibri" w:cs="Calibri" w:eastAsia="Calibri" w:hAnsi="Calibri"/>
                <w:b w:val="false"/>
                <w:bCs w:val="false"/>
                <w:sz w:val="20"/>
                <w:szCs w:val="20"/>
              </w:rPr>
              <w:t xml:space="preserve">Prescribing differs a lot between specialties, and two medications (X20, X3) show readmission gaps worth following up. Emergency/Trauma adjusts doses far more often than other specialties.</w:t>
            </w:r>
          </w:p>
        </w:tc>
      </w:tr>
      <w:tr>
        <w:trPr>
          <w:cantSplit/>
        </w:trPr>
        <w:tc>
          <w:tcPr>
            <w:tcW w:type="dxa" w:w="1700"/>
            <w:tcBorders>
              <w:top w:val="single" w:color="B7CFC9" w:sz="4"/>
              <w:left w:val="single" w:color="B7CFC9" w:sz="4"/>
              <w:bottom w:val="single" w:color="B7CFC9" w:sz="4"/>
              <w:right w:val="single" w:color="B7CFC9" w:sz="4"/>
            </w:tcBorders>
            <w:shd w:fill="E3F1ED" w:color="auto" w:val="clear"/>
            <w:tcMar>
              <w:top w:type="dxa" w:w="70"/>
              <w:left w:type="dxa" w:w="110"/>
              <w:bottom w:type="dxa" w:w="70"/>
              <w:right w:type="dxa" w:w="110"/>
            </w:tcMar>
          </w:tcPr>
          <w:p>
            <w:pPr>
              <w:spacing w:after="40" w:line="260"/>
            </w:pPr>
            <w:r>
              <w:rPr>
                <w:rFonts w:ascii="Calibri" w:cs="Calibri" w:eastAsia="Calibri" w:hAnsi="Calibri"/>
                <w:b/>
                <w:bCs/>
                <w:color w:val="185953"/>
                <w:sz w:val="20"/>
                <w:szCs w:val="20"/>
              </w:rPr>
              <w:t xml:space="preserve">Recommendation</w:t>
            </w:r>
          </w:p>
        </w:tc>
        <w:tc>
          <w:tcPr>
            <w:tcW w:type="dxa" w:w="7326"/>
            <w:tcBorders>
              <w:top w:val="single" w:color="B7CFC9" w:sz="4"/>
              <w:left w:val="single" w:color="B7CFC9" w:sz="4"/>
              <w:bottom w:val="single" w:color="B7CFC9" w:sz="4"/>
              <w:right w:val="single" w:color="B7CFC9" w:sz="4"/>
            </w:tcBorders>
            <w:tcMar>
              <w:top w:type="dxa" w:w="70"/>
              <w:left w:type="dxa" w:w="110"/>
              <w:bottom w:type="dxa" w:w="70"/>
              <w:right w:type="dxa" w:w="110"/>
            </w:tcMar>
          </w:tcPr>
          <w:p>
            <w:pPr>
              <w:spacing w:after="40" w:line="260"/>
            </w:pPr>
            <w:r>
              <w:rPr>
                <w:rFonts w:ascii="Calibri" w:cs="Calibri" w:eastAsia="Calibri" w:hAnsi="Calibri"/>
                <w:b w:val="false"/>
                <w:bCs w:val="false"/>
                <w:sz w:val="20"/>
                <w:szCs w:val="20"/>
              </w:rPr>
              <w:t xml:space="preserve">Review X20 prescribing and dose-change practice in Emergency/Trauma, study why X3 patients have lower readmission, and standardise medication-change protocols across specialties.</w:t>
            </w:r>
          </w:p>
        </w:tc>
      </w:tr>
      <w:tr>
        <w:trPr>
          <w:cantSplit/>
        </w:trPr>
        <w:tc>
          <w:tcPr>
            <w:tcW w:type="dxa" w:w="1700"/>
            <w:tcBorders>
              <w:top w:val="single" w:color="B7CFC9" w:sz="4"/>
              <w:left w:val="single" w:color="B7CFC9" w:sz="4"/>
              <w:bottom w:val="single" w:color="B7CFC9" w:sz="4"/>
              <w:right w:val="single" w:color="B7CFC9" w:sz="4"/>
            </w:tcBorders>
            <w:shd w:fill="E3F1ED" w:color="auto" w:val="clear"/>
            <w:tcMar>
              <w:top w:type="dxa" w:w="70"/>
              <w:left w:type="dxa" w:w="110"/>
              <w:bottom w:type="dxa" w:w="70"/>
              <w:right w:type="dxa" w:w="110"/>
            </w:tcMar>
          </w:tcPr>
          <w:p>
            <w:pPr>
              <w:spacing w:after="40" w:line="260"/>
            </w:pPr>
            <w:r>
              <w:rPr>
                <w:rFonts w:ascii="Calibri" w:cs="Calibri" w:eastAsia="Calibri" w:hAnsi="Calibri"/>
                <w:b/>
                <w:bCs/>
                <w:color w:val="185953"/>
                <w:sz w:val="20"/>
                <w:szCs w:val="20"/>
              </w:rPr>
              <w:t xml:space="preserve">Limitation</w:t>
            </w:r>
          </w:p>
        </w:tc>
        <w:tc>
          <w:tcPr>
            <w:tcW w:type="dxa" w:w="7326"/>
            <w:tcBorders>
              <w:top w:val="single" w:color="B7CFC9" w:sz="4"/>
              <w:left w:val="single" w:color="B7CFC9" w:sz="4"/>
              <w:bottom w:val="single" w:color="B7CFC9" w:sz="4"/>
              <w:right w:val="single" w:color="B7CFC9" w:sz="4"/>
            </w:tcBorders>
            <w:tcMar>
              <w:top w:type="dxa" w:w="70"/>
              <w:left w:type="dxa" w:w="110"/>
              <w:bottom w:type="dxa" w:w="70"/>
              <w:right w:type="dxa" w:w="110"/>
            </w:tcMar>
          </w:tcPr>
          <w:p>
            <w:pPr>
              <w:spacing w:after="40" w:line="260"/>
            </w:pPr>
            <w:r>
              <w:rPr>
                <w:rFonts w:ascii="Calibri" w:cs="Calibri" w:eastAsia="Calibri" w:hAnsi="Calibri"/>
                <w:b w:val="false"/>
                <w:bCs w:val="false"/>
                <w:sz w:val="20"/>
                <w:szCs w:val="20"/>
              </w:rPr>
              <w:t xml:space="preserve">Medication names are anonymised, so findings cannot be tied to specific drugs. The all-patient gaps are not adjusted for patient mix. Only the five largest specialties are compared, and cluster analysis was not used.</w:t>
            </w:r>
          </w:p>
        </w:tc>
      </w:tr>
    </w:tbl>
    <w:p>
      <w:pPr>
        <w:spacing w:after="60"/>
      </w:pPr>
      <w:r>
        <w:rPr>
          <w:rFonts w:ascii="Calibri" w:cs="Calibri" w:eastAsia="Calibri" w:hAnsi="Calibri"/>
          <w:sz w:val="21"/>
          <w:szCs w:val="21"/>
        </w:rPr>
        <w:t xml:space="preserve"/>
      </w:r>
    </w:p>
    <w:p>
      <w:pPr>
        <w:pStyle w:val="Heading3"/>
        <w:keepNext/>
        <w:spacing w:after="90" w:before="220"/>
      </w:pPr>
      <w:r>
        <w:rPr>
          <w:rFonts w:ascii="Calibri" w:cs="Calibri" w:eastAsia="Calibri" w:hAnsi="Calibri"/>
          <w:b/>
          <w:bCs/>
          <w:color w:val="185953"/>
          <w:sz w:val="22"/>
          <w:szCs w:val="22"/>
        </w:rPr>
        <w:t xml:space="preserve">Medium Q8: Weight and diagnosis together</w:t>
      </w:r>
    </w:p>
    <w:p>
      <w:pPr>
        <w:keepNext/>
        <w:spacing w:after="80"/>
      </w:pPr>
      <w:r>
        <w:rPr>
          <w:rFonts w:ascii="Calibri" w:cs="Calibri" w:eastAsia="Calibri" w:hAnsi="Calibri"/>
          <w:b/>
          <w:bCs/>
          <w:i/>
          <w:iCs/>
          <w:sz w:val="21"/>
          <w:szCs w:val="21"/>
        </w:rPr>
        <w:t xml:space="preserve">Question: </w:t>
      </w:r>
      <w:r>
        <w:rPr>
          <w:rFonts w:ascii="Calibri" w:cs="Calibri" w:eastAsia="Calibri" w:hAnsi="Calibri"/>
          <w:i/>
          <w:iCs/>
          <w:sz w:val="21"/>
          <w:szCs w:val="21"/>
        </w:rPr>
        <w:t xml:space="preserve">Analyze the relationship between weight categories and specific diagnosis on readmission rates.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rPr>
          <w:cantSplit/>
        </w:trPr>
        <w:tc>
          <w:tcPr>
            <w:tcW w:type="dxa" w:w="1700"/>
            <w:tcBorders>
              <w:top w:val="single" w:color="B7CFC9" w:sz="4"/>
              <w:left w:val="single" w:color="B7CFC9" w:sz="4"/>
              <w:bottom w:val="single" w:color="B7CFC9" w:sz="4"/>
              <w:right w:val="single" w:color="B7CFC9" w:sz="4"/>
            </w:tcBorders>
            <w:shd w:fill="E3F1ED" w:color="auto" w:val="clear"/>
            <w:tcMar>
              <w:top w:type="dxa" w:w="70"/>
              <w:left w:type="dxa" w:w="110"/>
              <w:bottom w:type="dxa" w:w="70"/>
              <w:right w:type="dxa" w:w="110"/>
            </w:tcMar>
          </w:tcPr>
          <w:p>
            <w:pPr>
              <w:spacing w:after="40" w:line="260"/>
            </w:pPr>
            <w:r>
              <w:rPr>
                <w:rFonts w:ascii="Calibri" w:cs="Calibri" w:eastAsia="Calibri" w:hAnsi="Calibri"/>
                <w:b/>
                <w:bCs/>
                <w:color w:val="185953"/>
                <w:sz w:val="20"/>
                <w:szCs w:val="20"/>
              </w:rPr>
              <w:t xml:space="preserve">Method</w:t>
            </w:r>
          </w:p>
        </w:tc>
        <w:tc>
          <w:tcPr>
            <w:tcW w:type="dxa" w:w="7326"/>
            <w:tcBorders>
              <w:top w:val="single" w:color="B7CFC9" w:sz="4"/>
              <w:left w:val="single" w:color="B7CFC9" w:sz="4"/>
              <w:bottom w:val="single" w:color="B7CFC9" w:sz="4"/>
              <w:right w:val="single" w:color="B7CFC9" w:sz="4"/>
            </w:tcBorders>
            <w:tcMar>
              <w:top w:type="dxa" w:w="70"/>
              <w:left w:type="dxa" w:w="110"/>
              <w:bottom w:type="dxa" w:w="70"/>
              <w:right w:type="dxa" w:w="110"/>
            </w:tcMar>
          </w:tcPr>
          <w:p>
            <w:pPr>
              <w:spacing w:after="40" w:line="260"/>
            </w:pPr>
            <w:r>
              <w:rPr>
                <w:rFonts w:ascii="Calibri" w:cs="Calibri" w:eastAsia="Calibri" w:hAnsi="Calibri"/>
                <w:b w:val="false"/>
                <w:bCs w:val="false"/>
                <w:sz w:val="20"/>
                <w:szCs w:val="20"/>
              </w:rPr>
              <w:t xml:space="preserve">Two pivots (Weight_Pivot): readmission rate and encounter count by Diagnosis_Group and weight band, for the three bands with 100 or more patients (50-75, 75-100, 100-125), covering 1,393 weighed patients.</w:t>
            </w:r>
          </w:p>
        </w:tc>
      </w:tr>
      <w:tr>
        <w:trPr>
          <w:cantSplit/>
        </w:trPr>
        <w:tc>
          <w:tcPr>
            <w:tcW w:type="dxa" w:w="1700"/>
            <w:tcBorders>
              <w:top w:val="single" w:color="B7CFC9" w:sz="4"/>
              <w:left w:val="single" w:color="B7CFC9" w:sz="4"/>
              <w:bottom w:val="single" w:color="B7CFC9" w:sz="4"/>
              <w:right w:val="single" w:color="B7CFC9" w:sz="4"/>
            </w:tcBorders>
            <w:shd w:fill="E3F1ED" w:color="auto" w:val="clear"/>
            <w:tcMar>
              <w:top w:type="dxa" w:w="70"/>
              <w:left w:type="dxa" w:w="110"/>
              <w:bottom w:type="dxa" w:w="70"/>
              <w:right w:type="dxa" w:w="110"/>
            </w:tcMar>
          </w:tcPr>
          <w:p>
            <w:pPr>
              <w:spacing w:after="40" w:line="260"/>
            </w:pPr>
            <w:r>
              <w:rPr>
                <w:rFonts w:ascii="Calibri" w:cs="Calibri" w:eastAsia="Calibri" w:hAnsi="Calibri"/>
                <w:b/>
                <w:bCs/>
                <w:color w:val="185953"/>
                <w:sz w:val="20"/>
                <w:szCs w:val="20"/>
              </w:rPr>
              <w:t xml:space="preserve">Result</w:t>
            </w:r>
          </w:p>
        </w:tc>
        <w:tc>
          <w:tcPr>
            <w:tcW w:type="dxa" w:w="7326"/>
            <w:tcBorders>
              <w:top w:val="single" w:color="B7CFC9" w:sz="4"/>
              <w:left w:val="single" w:color="B7CFC9" w:sz="4"/>
              <w:bottom w:val="single" w:color="B7CFC9" w:sz="4"/>
              <w:right w:val="single" w:color="B7CFC9" w:sz="4"/>
            </w:tcBorders>
            <w:tcMar>
              <w:top w:type="dxa" w:w="70"/>
              <w:left w:type="dxa" w:w="110"/>
              <w:bottom w:type="dxa" w:w="70"/>
              <w:right w:type="dxa" w:w="110"/>
            </w:tcMar>
          </w:tcPr>
          <w:p>
            <w:pPr>
              <w:spacing w:after="40" w:line="260"/>
            </w:pPr>
            <w:r>
              <w:rPr>
                <w:rFonts w:ascii="Calibri" w:cs="Calibri" w:eastAsia="Calibri" w:hAnsi="Calibri"/>
                <w:b w:val="false"/>
                <w:bCs w:val="false"/>
                <w:sz w:val="20"/>
                <w:szCs w:val="20"/>
              </w:rPr>
              <w:t xml:space="preserve">Diabetes has the highest readmission (74.0%, and 82.9% at 75-100) and Neoplasms the lowest (39.1%). Weight bands differ by only about 7 points overall, with no consistent pattern across diagnoses.</w:t>
            </w:r>
          </w:p>
        </w:tc>
      </w:tr>
      <w:tr>
        <w:trPr>
          <w:cantSplit/>
        </w:trPr>
        <w:tc>
          <w:tcPr>
            <w:tcW w:type="dxa" w:w="1700"/>
            <w:tcBorders>
              <w:top w:val="single" w:color="B7CFC9" w:sz="4"/>
              <w:left w:val="single" w:color="B7CFC9" w:sz="4"/>
              <w:bottom w:val="single" w:color="B7CFC9" w:sz="4"/>
              <w:right w:val="single" w:color="B7CFC9" w:sz="4"/>
            </w:tcBorders>
            <w:shd w:fill="E3F1ED" w:color="auto" w:val="clear"/>
            <w:tcMar>
              <w:top w:type="dxa" w:w="70"/>
              <w:left w:type="dxa" w:w="110"/>
              <w:bottom w:type="dxa" w:w="70"/>
              <w:right w:type="dxa" w:w="110"/>
            </w:tcMar>
          </w:tcPr>
          <w:p>
            <w:pPr>
              <w:spacing w:after="40" w:line="260"/>
            </w:pPr>
            <w:r>
              <w:rPr>
                <w:rFonts w:ascii="Calibri" w:cs="Calibri" w:eastAsia="Calibri" w:hAnsi="Calibri"/>
                <w:b/>
                <w:bCs/>
                <w:color w:val="185953"/>
                <w:sz w:val="20"/>
                <w:szCs w:val="20"/>
              </w:rPr>
              <w:t xml:space="preserve">Insight</w:t>
            </w:r>
          </w:p>
        </w:tc>
        <w:tc>
          <w:tcPr>
            <w:tcW w:type="dxa" w:w="7326"/>
            <w:tcBorders>
              <w:top w:val="single" w:color="B7CFC9" w:sz="4"/>
              <w:left w:val="single" w:color="B7CFC9" w:sz="4"/>
              <w:bottom w:val="single" w:color="B7CFC9" w:sz="4"/>
              <w:right w:val="single" w:color="B7CFC9" w:sz="4"/>
            </w:tcBorders>
            <w:tcMar>
              <w:top w:type="dxa" w:w="70"/>
              <w:left w:type="dxa" w:w="110"/>
              <w:bottom w:type="dxa" w:w="70"/>
              <w:right w:type="dxa" w:w="110"/>
            </w:tcMar>
          </w:tcPr>
          <w:p>
            <w:pPr>
              <w:spacing w:after="40" w:line="260"/>
            </w:pPr>
            <w:r>
              <w:rPr>
                <w:rFonts w:ascii="Calibri" w:cs="Calibri" w:eastAsia="Calibri" w:hAnsi="Calibri"/>
                <w:b w:val="false"/>
                <w:bCs w:val="false"/>
                <w:sz w:val="20"/>
                <w:szCs w:val="20"/>
              </w:rPr>
              <w:t xml:space="preserve">Diagnosis, especially diabetes, predicts readmission far better than weight. Weight adds a small, inconsistent effect.</w:t>
            </w:r>
          </w:p>
        </w:tc>
      </w:tr>
      <w:tr>
        <w:trPr>
          <w:cantSplit/>
        </w:trPr>
        <w:tc>
          <w:tcPr>
            <w:tcW w:type="dxa" w:w="1700"/>
            <w:tcBorders>
              <w:top w:val="single" w:color="B7CFC9" w:sz="4"/>
              <w:left w:val="single" w:color="B7CFC9" w:sz="4"/>
              <w:bottom w:val="single" w:color="B7CFC9" w:sz="4"/>
              <w:right w:val="single" w:color="B7CFC9" w:sz="4"/>
            </w:tcBorders>
            <w:shd w:fill="E3F1ED" w:color="auto" w:val="clear"/>
            <w:tcMar>
              <w:top w:type="dxa" w:w="70"/>
              <w:left w:type="dxa" w:w="110"/>
              <w:bottom w:type="dxa" w:w="70"/>
              <w:right w:type="dxa" w:w="110"/>
            </w:tcMar>
          </w:tcPr>
          <w:p>
            <w:pPr>
              <w:spacing w:after="40" w:line="260"/>
            </w:pPr>
            <w:r>
              <w:rPr>
                <w:rFonts w:ascii="Calibri" w:cs="Calibri" w:eastAsia="Calibri" w:hAnsi="Calibri"/>
                <w:b/>
                <w:bCs/>
                <w:color w:val="185953"/>
                <w:sz w:val="20"/>
                <w:szCs w:val="20"/>
              </w:rPr>
              <w:t xml:space="preserve">Recommendation</w:t>
            </w:r>
          </w:p>
        </w:tc>
        <w:tc>
          <w:tcPr>
            <w:tcW w:type="dxa" w:w="7326"/>
            <w:tcBorders>
              <w:top w:val="single" w:color="B7CFC9" w:sz="4"/>
              <w:left w:val="single" w:color="B7CFC9" w:sz="4"/>
              <w:bottom w:val="single" w:color="B7CFC9" w:sz="4"/>
              <w:right w:val="single" w:color="B7CFC9" w:sz="4"/>
            </w:tcBorders>
            <w:tcMar>
              <w:top w:type="dxa" w:w="70"/>
              <w:left w:type="dxa" w:w="110"/>
              <w:bottom w:type="dxa" w:w="70"/>
              <w:right w:type="dxa" w:w="110"/>
            </w:tcMar>
          </w:tcPr>
          <w:p>
            <w:pPr>
              <w:spacing w:after="40" w:line="260"/>
            </w:pPr>
            <w:r>
              <w:rPr>
                <w:rFonts w:ascii="Calibri" w:cs="Calibri" w:eastAsia="Calibri" w:hAnsi="Calibri"/>
                <w:b w:val="false"/>
                <w:bCs w:val="false"/>
                <w:sz w:val="20"/>
                <w:szCs w:val="20"/>
              </w:rPr>
              <w:t xml:space="preserve">Do not build weight-based programs on this evidence. Prioritise diabetes patients, and record weight for every patient so this can be re-tested properly.</w:t>
            </w:r>
          </w:p>
        </w:tc>
      </w:tr>
      <w:tr>
        <w:trPr>
          <w:cantSplit/>
        </w:trPr>
        <w:tc>
          <w:tcPr>
            <w:tcW w:type="dxa" w:w="1700"/>
            <w:tcBorders>
              <w:top w:val="single" w:color="B7CFC9" w:sz="4"/>
              <w:left w:val="single" w:color="B7CFC9" w:sz="4"/>
              <w:bottom w:val="single" w:color="B7CFC9" w:sz="4"/>
              <w:right w:val="single" w:color="B7CFC9" w:sz="4"/>
            </w:tcBorders>
            <w:shd w:fill="E3F1ED" w:color="auto" w:val="clear"/>
            <w:tcMar>
              <w:top w:type="dxa" w:w="70"/>
              <w:left w:type="dxa" w:w="110"/>
              <w:bottom w:type="dxa" w:w="70"/>
              <w:right w:type="dxa" w:w="110"/>
            </w:tcMar>
          </w:tcPr>
          <w:p>
            <w:pPr>
              <w:spacing w:after="40" w:line="260"/>
            </w:pPr>
            <w:r>
              <w:rPr>
                <w:rFonts w:ascii="Calibri" w:cs="Calibri" w:eastAsia="Calibri" w:hAnsi="Calibri"/>
                <w:b/>
                <w:bCs/>
                <w:color w:val="185953"/>
                <w:sz w:val="20"/>
                <w:szCs w:val="20"/>
              </w:rPr>
              <w:t xml:space="preserve">Limitation</w:t>
            </w:r>
          </w:p>
        </w:tc>
        <w:tc>
          <w:tcPr>
            <w:tcW w:type="dxa" w:w="7326"/>
            <w:tcBorders>
              <w:top w:val="single" w:color="B7CFC9" w:sz="4"/>
              <w:left w:val="single" w:color="B7CFC9" w:sz="4"/>
              <w:bottom w:val="single" w:color="B7CFC9" w:sz="4"/>
              <w:right w:val="single" w:color="B7CFC9" w:sz="4"/>
            </w:tcBorders>
            <w:tcMar>
              <w:top w:type="dxa" w:w="70"/>
              <w:left w:type="dxa" w:w="110"/>
              <w:bottom w:type="dxa" w:w="70"/>
              <w:right w:type="dxa" w:w="110"/>
            </w:tcMar>
          </w:tcPr>
          <w:p>
            <w:pPr>
              <w:spacing w:after="40" w:line="260"/>
            </w:pPr>
            <w:r>
              <w:rPr>
                <w:rFonts w:ascii="Calibri" w:cs="Calibri" w:eastAsia="Calibri" w:hAnsi="Calibri"/>
                <w:b w:val="false"/>
                <w:bCs w:val="false"/>
                <w:sz w:val="20"/>
                <w:szCs w:val="20"/>
              </w:rPr>
              <w:t xml:space="preserve">Only 3.2% of patients have a weight, and they differ from the rest (57.6% vs 46.2% readmitted). 8 of 27 cells have fewer than 30 patients. No significance tests were run.</w:t>
            </w:r>
          </w:p>
        </w:tc>
      </w:tr>
    </w:tbl>
    <w:p>
      <w:pPr>
        <w:spacing w:after="60"/>
      </w:pPr>
      <w:r>
        <w:rPr>
          <w:rFonts w:ascii="Calibri" w:cs="Calibri" w:eastAsia="Calibri" w:hAnsi="Calibri"/>
          <w:sz w:val="21"/>
          <w:szCs w:val="21"/>
        </w:rPr>
        <w:t xml:space="preserve"/>
      </w:r>
    </w:p>
    <w:p>
      <w:pPr>
        <w:pStyle w:val="Heading3"/>
        <w:keepNext/>
        <w:spacing w:after="90" w:before="220"/>
      </w:pPr>
      <w:r>
        <w:rPr>
          <w:rFonts w:ascii="Calibri" w:cs="Calibri" w:eastAsia="Calibri" w:hAnsi="Calibri"/>
          <w:b/>
          <w:bCs/>
          <w:color w:val="185953"/>
          <w:sz w:val="22"/>
          <w:szCs w:val="22"/>
        </w:rPr>
        <w:t xml:space="preserve">Medium Q9: Diabetic medication effectiveness</w:t>
      </w:r>
    </w:p>
    <w:p>
      <w:pPr>
        <w:keepNext/>
        <w:spacing w:after="80"/>
      </w:pPr>
      <w:r>
        <w:rPr>
          <w:rFonts w:ascii="Calibri" w:cs="Calibri" w:eastAsia="Calibri" w:hAnsi="Calibri"/>
          <w:b/>
          <w:bCs/>
          <w:i/>
          <w:iCs/>
          <w:sz w:val="21"/>
          <w:szCs w:val="21"/>
        </w:rPr>
        <w:t xml:space="preserve">Question: </w:t>
      </w:r>
      <w:r>
        <w:rPr>
          <w:rFonts w:ascii="Calibri" w:cs="Calibri" w:eastAsia="Calibri" w:hAnsi="Calibri"/>
          <w:i/>
          <w:iCs/>
          <w:sz w:val="21"/>
          <w:szCs w:val="21"/>
        </w:rPr>
        <w:t xml:space="preserve">Explore the effectiveness of different diabetic medications (X variables) on preventing readmissions among diabetic patients.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rPr>
          <w:cantSplit/>
        </w:trPr>
        <w:tc>
          <w:tcPr>
            <w:tcW w:type="dxa" w:w="1700"/>
            <w:tcBorders>
              <w:top w:val="single" w:color="B7CFC9" w:sz="4"/>
              <w:left w:val="single" w:color="B7CFC9" w:sz="4"/>
              <w:bottom w:val="single" w:color="B7CFC9" w:sz="4"/>
              <w:right w:val="single" w:color="B7CFC9" w:sz="4"/>
            </w:tcBorders>
            <w:shd w:fill="E3F1ED" w:color="auto" w:val="clear"/>
            <w:tcMar>
              <w:top w:type="dxa" w:w="70"/>
              <w:left w:type="dxa" w:w="110"/>
              <w:bottom w:type="dxa" w:w="70"/>
              <w:right w:type="dxa" w:w="110"/>
            </w:tcMar>
          </w:tcPr>
          <w:p>
            <w:pPr>
              <w:spacing w:after="40" w:line="260"/>
            </w:pPr>
            <w:r>
              <w:rPr>
                <w:rFonts w:ascii="Calibri" w:cs="Calibri" w:eastAsia="Calibri" w:hAnsi="Calibri"/>
                <w:b/>
                <w:bCs/>
                <w:color w:val="185953"/>
                <w:sz w:val="20"/>
                <w:szCs w:val="20"/>
              </w:rPr>
              <w:t xml:space="preserve">Method</w:t>
            </w:r>
          </w:p>
        </w:tc>
        <w:tc>
          <w:tcPr>
            <w:tcW w:type="dxa" w:w="7326"/>
            <w:tcBorders>
              <w:top w:val="single" w:color="B7CFC9" w:sz="4"/>
              <w:left w:val="single" w:color="B7CFC9" w:sz="4"/>
              <w:bottom w:val="single" w:color="B7CFC9" w:sz="4"/>
              <w:right w:val="single" w:color="B7CFC9" w:sz="4"/>
            </w:tcBorders>
            <w:tcMar>
              <w:top w:type="dxa" w:w="70"/>
              <w:left w:type="dxa" w:w="110"/>
              <w:bottom w:type="dxa" w:w="70"/>
              <w:right w:type="dxa" w:w="110"/>
            </w:tcMar>
          </w:tcPr>
          <w:p>
            <w:pPr>
              <w:spacing w:after="40" w:line="260"/>
            </w:pPr>
            <w:r>
              <w:rPr>
                <w:rFonts w:ascii="Calibri" w:cs="Calibri" w:eastAsia="Calibri" w:hAnsi="Calibri"/>
                <w:b w:val="false"/>
                <w:bCs w:val="false"/>
                <w:sz w:val="20"/>
                <w:szCs w:val="20"/>
              </w:rPr>
              <w:t xml:space="preserve">For the 7 usable medications, a comparison table (MQ9_DiabeticMeds) of readmission with and without each medication among diabetic patients only (37,640 encounters), with a two-proportion z-test and p-value for each.</w:t>
            </w:r>
          </w:p>
        </w:tc>
      </w:tr>
      <w:tr>
        <w:trPr>
          <w:cantSplit/>
        </w:trPr>
        <w:tc>
          <w:tcPr>
            <w:tcW w:type="dxa" w:w="1700"/>
            <w:tcBorders>
              <w:top w:val="single" w:color="B7CFC9" w:sz="4"/>
              <w:left w:val="single" w:color="B7CFC9" w:sz="4"/>
              <w:bottom w:val="single" w:color="B7CFC9" w:sz="4"/>
              <w:right w:val="single" w:color="B7CFC9" w:sz="4"/>
            </w:tcBorders>
            <w:shd w:fill="E3F1ED" w:color="auto" w:val="clear"/>
            <w:tcMar>
              <w:top w:type="dxa" w:w="70"/>
              <w:left w:type="dxa" w:w="110"/>
              <w:bottom w:type="dxa" w:w="70"/>
              <w:right w:type="dxa" w:w="110"/>
            </w:tcMar>
          </w:tcPr>
          <w:p>
            <w:pPr>
              <w:spacing w:after="40" w:line="260"/>
            </w:pPr>
            <w:r>
              <w:rPr>
                <w:rFonts w:ascii="Calibri" w:cs="Calibri" w:eastAsia="Calibri" w:hAnsi="Calibri"/>
                <w:b/>
                <w:bCs/>
                <w:color w:val="185953"/>
                <w:sz w:val="20"/>
                <w:szCs w:val="20"/>
              </w:rPr>
              <w:t xml:space="preserve">Result</w:t>
            </w:r>
          </w:p>
        </w:tc>
        <w:tc>
          <w:tcPr>
            <w:tcW w:type="dxa" w:w="7326"/>
            <w:tcBorders>
              <w:top w:val="single" w:color="B7CFC9" w:sz="4"/>
              <w:left w:val="single" w:color="B7CFC9" w:sz="4"/>
              <w:bottom w:val="single" w:color="B7CFC9" w:sz="4"/>
              <w:right w:val="single" w:color="B7CFC9" w:sz="4"/>
            </w:tcBorders>
            <w:tcMar>
              <w:top w:type="dxa" w:w="70"/>
              <w:left w:type="dxa" w:w="110"/>
              <w:bottom w:type="dxa" w:w="70"/>
              <w:right w:type="dxa" w:w="110"/>
            </w:tcMar>
          </w:tcPr>
          <w:p>
            <w:pPr>
              <w:spacing w:after="40" w:line="260"/>
            </w:pPr>
            <w:r>
              <w:rPr>
                <w:rFonts w:ascii="Calibri" w:cs="Calibri" w:eastAsia="Calibri" w:hAnsi="Calibri"/>
                <w:b w:val="false"/>
                <w:bCs w:val="false"/>
                <w:sz w:val="20"/>
                <w:szCs w:val="20"/>
              </w:rPr>
              <w:t xml:space="preserve">X3 (-6.4 points, p = 2.1E-27) and X10 (-3.0 points, p = 6.9E-05) go with significantly lower readmission. X20 shows +1.2 points (borderline, p = 0.038). X7, X9, X12 and X13 show no significant difference.</w:t>
            </w:r>
          </w:p>
        </w:tc>
      </w:tr>
      <w:tr>
        <w:trPr>
          <w:cantSplit/>
        </w:trPr>
        <w:tc>
          <w:tcPr>
            <w:tcW w:type="dxa" w:w="1700"/>
            <w:tcBorders>
              <w:top w:val="single" w:color="B7CFC9" w:sz="4"/>
              <w:left w:val="single" w:color="B7CFC9" w:sz="4"/>
              <w:bottom w:val="single" w:color="B7CFC9" w:sz="4"/>
              <w:right w:val="single" w:color="B7CFC9" w:sz="4"/>
            </w:tcBorders>
            <w:shd w:fill="E3F1ED" w:color="auto" w:val="clear"/>
            <w:tcMar>
              <w:top w:type="dxa" w:w="70"/>
              <w:left w:type="dxa" w:w="110"/>
              <w:bottom w:type="dxa" w:w="70"/>
              <w:right w:type="dxa" w:w="110"/>
            </w:tcMar>
          </w:tcPr>
          <w:p>
            <w:pPr>
              <w:spacing w:after="40" w:line="260"/>
            </w:pPr>
            <w:r>
              <w:rPr>
                <w:rFonts w:ascii="Calibri" w:cs="Calibri" w:eastAsia="Calibri" w:hAnsi="Calibri"/>
                <w:b/>
                <w:bCs/>
                <w:color w:val="185953"/>
                <w:sz w:val="20"/>
                <w:szCs w:val="20"/>
              </w:rPr>
              <w:t xml:space="preserve">Insight</w:t>
            </w:r>
          </w:p>
        </w:tc>
        <w:tc>
          <w:tcPr>
            <w:tcW w:type="dxa" w:w="7326"/>
            <w:tcBorders>
              <w:top w:val="single" w:color="B7CFC9" w:sz="4"/>
              <w:left w:val="single" w:color="B7CFC9" w:sz="4"/>
              <w:bottom w:val="single" w:color="B7CFC9" w:sz="4"/>
              <w:right w:val="single" w:color="B7CFC9" w:sz="4"/>
            </w:tcBorders>
            <w:tcMar>
              <w:top w:type="dxa" w:w="70"/>
              <w:left w:type="dxa" w:w="110"/>
              <w:bottom w:type="dxa" w:w="70"/>
              <w:right w:type="dxa" w:w="110"/>
            </w:tcMar>
          </w:tcPr>
          <w:p>
            <w:pPr>
              <w:spacing w:after="40" w:line="260"/>
            </w:pPr>
            <w:r>
              <w:rPr>
                <w:rFonts w:ascii="Calibri" w:cs="Calibri" w:eastAsia="Calibri" w:hAnsi="Calibri"/>
                <w:b w:val="false"/>
                <w:bCs w:val="false"/>
                <w:sz w:val="20"/>
                <w:szCs w:val="20"/>
              </w:rPr>
              <w:t xml:space="preserve">Two medications (X3 and X10) are associated with fewer readmissions among diabetic patients. The apparent X20 effect in Medium Q7 was mostly a diabetic vs non-diabetic difference (+4.4 shrinks to +1.2).</w:t>
            </w:r>
          </w:p>
        </w:tc>
      </w:tr>
      <w:tr>
        <w:trPr>
          <w:cantSplit/>
        </w:trPr>
        <w:tc>
          <w:tcPr>
            <w:tcW w:type="dxa" w:w="1700"/>
            <w:tcBorders>
              <w:top w:val="single" w:color="B7CFC9" w:sz="4"/>
              <w:left w:val="single" w:color="B7CFC9" w:sz="4"/>
              <w:bottom w:val="single" w:color="B7CFC9" w:sz="4"/>
              <w:right w:val="single" w:color="B7CFC9" w:sz="4"/>
            </w:tcBorders>
            <w:shd w:fill="E3F1ED" w:color="auto" w:val="clear"/>
            <w:tcMar>
              <w:top w:type="dxa" w:w="70"/>
              <w:left w:type="dxa" w:w="110"/>
              <w:bottom w:type="dxa" w:w="70"/>
              <w:right w:type="dxa" w:w="110"/>
            </w:tcMar>
          </w:tcPr>
          <w:p>
            <w:pPr>
              <w:spacing w:after="40" w:line="260"/>
            </w:pPr>
            <w:r>
              <w:rPr>
                <w:rFonts w:ascii="Calibri" w:cs="Calibri" w:eastAsia="Calibri" w:hAnsi="Calibri"/>
                <w:b/>
                <w:bCs/>
                <w:color w:val="185953"/>
                <w:sz w:val="20"/>
                <w:szCs w:val="20"/>
              </w:rPr>
              <w:t xml:space="preserve">Recommendation</w:t>
            </w:r>
          </w:p>
        </w:tc>
        <w:tc>
          <w:tcPr>
            <w:tcW w:type="dxa" w:w="7326"/>
            <w:tcBorders>
              <w:top w:val="single" w:color="B7CFC9" w:sz="4"/>
              <w:left w:val="single" w:color="B7CFC9" w:sz="4"/>
              <w:bottom w:val="single" w:color="B7CFC9" w:sz="4"/>
              <w:right w:val="single" w:color="B7CFC9" w:sz="4"/>
            </w:tcBorders>
            <w:tcMar>
              <w:top w:type="dxa" w:w="70"/>
              <w:left w:type="dxa" w:w="110"/>
              <w:bottom w:type="dxa" w:w="70"/>
              <w:right w:type="dxa" w:w="110"/>
            </w:tcMar>
          </w:tcPr>
          <w:p>
            <w:pPr>
              <w:spacing w:after="40" w:line="260"/>
            </w:pPr>
            <w:r>
              <w:rPr>
                <w:rFonts w:ascii="Calibri" w:cs="Calibri" w:eastAsia="Calibri" w:hAnsi="Calibri"/>
                <w:b w:val="false"/>
                <w:bCs w:val="false"/>
                <w:sz w:val="20"/>
                <w:szCs w:val="20"/>
              </w:rPr>
              <w:t xml:space="preserve">Investigate prescribing protocols and patient mix for X3 and X10, and consider promoting their use where clinically suitable. Review X20 practice, but do not treat it as harmful on this evidence.</w:t>
            </w:r>
          </w:p>
        </w:tc>
      </w:tr>
      <w:tr>
        <w:trPr>
          <w:cantSplit/>
        </w:trPr>
        <w:tc>
          <w:tcPr>
            <w:tcW w:type="dxa" w:w="1700"/>
            <w:tcBorders>
              <w:top w:val="single" w:color="B7CFC9" w:sz="4"/>
              <w:left w:val="single" w:color="B7CFC9" w:sz="4"/>
              <w:bottom w:val="single" w:color="B7CFC9" w:sz="4"/>
              <w:right w:val="single" w:color="B7CFC9" w:sz="4"/>
            </w:tcBorders>
            <w:shd w:fill="E3F1ED" w:color="auto" w:val="clear"/>
            <w:tcMar>
              <w:top w:type="dxa" w:w="70"/>
              <w:left w:type="dxa" w:w="110"/>
              <w:bottom w:type="dxa" w:w="70"/>
              <w:right w:type="dxa" w:w="110"/>
            </w:tcMar>
          </w:tcPr>
          <w:p>
            <w:pPr>
              <w:spacing w:after="40" w:line="260"/>
            </w:pPr>
            <w:r>
              <w:rPr>
                <w:rFonts w:ascii="Calibri" w:cs="Calibri" w:eastAsia="Calibri" w:hAnsi="Calibri"/>
                <w:b/>
                <w:bCs/>
                <w:color w:val="185953"/>
                <w:sz w:val="20"/>
                <w:szCs w:val="20"/>
              </w:rPr>
              <w:t xml:space="preserve">Limitation</w:t>
            </w:r>
          </w:p>
        </w:tc>
        <w:tc>
          <w:tcPr>
            <w:tcW w:type="dxa" w:w="7326"/>
            <w:tcBorders>
              <w:top w:val="single" w:color="B7CFC9" w:sz="4"/>
              <w:left w:val="single" w:color="B7CFC9" w:sz="4"/>
              <w:bottom w:val="single" w:color="B7CFC9" w:sz="4"/>
              <w:right w:val="single" w:color="B7CFC9" w:sz="4"/>
            </w:tcBorders>
            <w:tcMar>
              <w:top w:type="dxa" w:w="70"/>
              <w:left w:type="dxa" w:w="110"/>
              <w:bottom w:type="dxa" w:w="70"/>
              <w:right w:type="dxa" w:w="110"/>
            </w:tcMar>
          </w:tcPr>
          <w:p>
            <w:pPr>
              <w:spacing w:after="40" w:line="260"/>
            </w:pPr>
            <w:r>
              <w:rPr>
                <w:rFonts w:ascii="Calibri" w:cs="Calibri" w:eastAsia="Calibri" w:hAnsi="Calibri"/>
                <w:b w:val="false"/>
                <w:bCs w:val="false"/>
                <w:sz w:val="20"/>
                <w:szCs w:val="20"/>
              </w:rPr>
              <w:t xml:space="preserve">Medication names are anonymised. These are associations, not proof of effectiveness: patients given X3 or X10 may be healthier or younger. Not adjusted for age, diagnosis or severity, and 7 tests raise the chance of a false positive.</w:t>
            </w:r>
          </w:p>
        </w:tc>
      </w:tr>
    </w:tbl>
    <w:p>
      <w:pPr>
        <w:spacing w:after="60"/>
      </w:pPr>
      <w:r>
        <w:rPr>
          <w:rFonts w:ascii="Calibri" w:cs="Calibri" w:eastAsia="Calibri" w:hAnsi="Calibri"/>
          <w:sz w:val="21"/>
          <w:szCs w:val="21"/>
        </w:rPr>
        <w:t xml:space="preserve"/>
      </w:r>
    </w:p>
    <w:p>
      <w:pPr>
        <w:pStyle w:val="Heading2"/>
        <w:spacing w:after="120" w:before="280"/>
      </w:pPr>
      <w:r>
        <w:rPr>
          <w:rFonts w:ascii="Calibri" w:cs="Calibri" w:eastAsia="Calibri" w:hAnsi="Calibri"/>
          <w:b/>
          <w:bCs/>
          <w:color w:val="1F7363"/>
          <w:sz w:val="25"/>
          <w:szCs w:val="25"/>
        </w:rPr>
        <w:t xml:space="preserve">7.3 Advanced questions (Q1 to Q5)</w:t>
      </w:r>
    </w:p>
    <w:p>
      <w:pPr>
        <w:pStyle w:val="Heading3"/>
        <w:keepNext/>
        <w:spacing w:after="90" w:before="220"/>
      </w:pPr>
      <w:r>
        <w:rPr>
          <w:rFonts w:ascii="Calibri" w:cs="Calibri" w:eastAsia="Calibri" w:hAnsi="Calibri"/>
          <w:b/>
          <w:bCs/>
          <w:color w:val="185953"/>
          <w:sz w:val="22"/>
          <w:szCs w:val="22"/>
        </w:rPr>
        <w:t xml:space="preserve">Advanced Q1: Risk score for high-risk patients</w:t>
      </w:r>
    </w:p>
    <w:p>
      <w:pPr>
        <w:keepNext/>
        <w:spacing w:after="80"/>
      </w:pPr>
      <w:r>
        <w:rPr>
          <w:rFonts w:ascii="Calibri" w:cs="Calibri" w:eastAsia="Calibri" w:hAnsi="Calibri"/>
          <w:b/>
          <w:bCs/>
          <w:i/>
          <w:iCs/>
          <w:sz w:val="21"/>
          <w:szCs w:val="21"/>
        </w:rPr>
        <w:t xml:space="preserve">Question: </w:t>
      </w:r>
      <w:r>
        <w:rPr>
          <w:rFonts w:ascii="Calibri" w:cs="Calibri" w:eastAsia="Calibri" w:hAnsi="Calibri"/>
          <w:i/>
          <w:iCs/>
          <w:sz w:val="21"/>
          <w:szCs w:val="21"/>
        </w:rPr>
        <w:t xml:space="preserve">Develop a predictive model to identify patients at high risk of readmission.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rPr>
          <w:cantSplit/>
        </w:trPr>
        <w:tc>
          <w:tcPr>
            <w:tcW w:type="dxa" w:w="1700"/>
            <w:tcBorders>
              <w:top w:val="single" w:color="B7CFC9" w:sz="4"/>
              <w:left w:val="single" w:color="B7CFC9" w:sz="4"/>
              <w:bottom w:val="single" w:color="B7CFC9" w:sz="4"/>
              <w:right w:val="single" w:color="B7CFC9" w:sz="4"/>
            </w:tcBorders>
            <w:shd w:fill="E3F1ED" w:color="auto" w:val="clear"/>
            <w:tcMar>
              <w:top w:type="dxa" w:w="70"/>
              <w:left w:type="dxa" w:w="110"/>
              <w:bottom w:type="dxa" w:w="70"/>
              <w:right w:type="dxa" w:w="110"/>
            </w:tcMar>
          </w:tcPr>
          <w:p>
            <w:pPr>
              <w:spacing w:after="40" w:line="260"/>
            </w:pPr>
            <w:r>
              <w:rPr>
                <w:rFonts w:ascii="Calibri" w:cs="Calibri" w:eastAsia="Calibri" w:hAnsi="Calibri"/>
                <w:b/>
                <w:bCs/>
                <w:color w:val="185953"/>
                <w:sz w:val="20"/>
                <w:szCs w:val="20"/>
              </w:rPr>
              <w:t xml:space="preserve">Method</w:t>
            </w:r>
          </w:p>
        </w:tc>
        <w:tc>
          <w:tcPr>
            <w:tcW w:type="dxa" w:w="7326"/>
            <w:tcBorders>
              <w:top w:val="single" w:color="B7CFC9" w:sz="4"/>
              <w:left w:val="single" w:color="B7CFC9" w:sz="4"/>
              <w:bottom w:val="single" w:color="B7CFC9" w:sz="4"/>
              <w:right w:val="single" w:color="B7CFC9" w:sz="4"/>
            </w:tcBorders>
            <w:tcMar>
              <w:top w:type="dxa" w:w="70"/>
              <w:left w:type="dxa" w:w="110"/>
              <w:bottom w:type="dxa" w:w="70"/>
              <w:right w:type="dxa" w:w="110"/>
            </w:tcMar>
          </w:tcPr>
          <w:p>
            <w:pPr>
              <w:spacing w:after="40" w:line="260"/>
            </w:pPr>
            <w:r>
              <w:rPr>
                <w:rFonts w:ascii="Calibri" w:cs="Calibri" w:eastAsia="Calibri" w:hAnsi="Calibri"/>
                <w:b w:val="false"/>
                <w:bCs w:val="false"/>
                <w:sz w:val="20"/>
                <w:szCs w:val="20"/>
              </w:rPr>
              <w:t xml:space="preserve">A points-based risk score (Risk_Score, 0 to 7) built from factors found earlier: emergency visits (0 to 2 points), outpatient visits, 6 or more diagnoses, diabetes medication, medication change and age 60 to 89. Checked with a pivot (Q_Advanced1_Risk).</w:t>
            </w:r>
          </w:p>
        </w:tc>
      </w:tr>
      <w:tr>
        <w:trPr>
          <w:cantSplit/>
        </w:trPr>
        <w:tc>
          <w:tcPr>
            <w:tcW w:type="dxa" w:w="1700"/>
            <w:tcBorders>
              <w:top w:val="single" w:color="B7CFC9" w:sz="4"/>
              <w:left w:val="single" w:color="B7CFC9" w:sz="4"/>
              <w:bottom w:val="single" w:color="B7CFC9" w:sz="4"/>
              <w:right w:val="single" w:color="B7CFC9" w:sz="4"/>
            </w:tcBorders>
            <w:shd w:fill="E3F1ED" w:color="auto" w:val="clear"/>
            <w:tcMar>
              <w:top w:type="dxa" w:w="70"/>
              <w:left w:type="dxa" w:w="110"/>
              <w:bottom w:type="dxa" w:w="70"/>
              <w:right w:type="dxa" w:w="110"/>
            </w:tcMar>
          </w:tcPr>
          <w:p>
            <w:pPr>
              <w:spacing w:after="40" w:line="260"/>
            </w:pPr>
            <w:r>
              <w:rPr>
                <w:rFonts w:ascii="Calibri" w:cs="Calibri" w:eastAsia="Calibri" w:hAnsi="Calibri"/>
                <w:b/>
                <w:bCs/>
                <w:color w:val="185953"/>
                <w:sz w:val="20"/>
                <w:szCs w:val="20"/>
              </w:rPr>
              <w:t xml:space="preserve">Result</w:t>
            </w:r>
          </w:p>
        </w:tc>
        <w:tc>
          <w:tcPr>
            <w:tcW w:type="dxa" w:w="7326"/>
            <w:tcBorders>
              <w:top w:val="single" w:color="B7CFC9" w:sz="4"/>
              <w:left w:val="single" w:color="B7CFC9" w:sz="4"/>
              <w:bottom w:val="single" w:color="B7CFC9" w:sz="4"/>
              <w:right w:val="single" w:color="B7CFC9" w:sz="4"/>
            </w:tcBorders>
            <w:tcMar>
              <w:top w:type="dxa" w:w="70"/>
              <w:left w:type="dxa" w:w="110"/>
              <w:bottom w:type="dxa" w:w="70"/>
              <w:right w:type="dxa" w:w="110"/>
            </w:tcMar>
          </w:tcPr>
          <w:p>
            <w:pPr>
              <w:spacing w:after="40" w:line="260"/>
            </w:pPr>
            <w:r>
              <w:rPr>
                <w:rFonts w:ascii="Calibri" w:cs="Calibri" w:eastAsia="Calibri" w:hAnsi="Calibri"/>
                <w:b w:val="false"/>
                <w:bCs w:val="false"/>
                <w:sz w:val="20"/>
                <w:szCs w:val="20"/>
              </w:rPr>
              <w:t xml:space="preserve">Readmission rises from 26.2% (score 0) to 69.5% (score 6). Bands: low (0-2) 37.2% across 17,199 patients, medium (3-4) 49.1% across 27,257, high (5-7) 63.3% across 4,455.</w:t>
            </w:r>
          </w:p>
        </w:tc>
      </w:tr>
      <w:tr>
        <w:trPr>
          <w:cantSplit/>
        </w:trPr>
        <w:tc>
          <w:tcPr>
            <w:tcW w:type="dxa" w:w="1700"/>
            <w:tcBorders>
              <w:top w:val="single" w:color="B7CFC9" w:sz="4"/>
              <w:left w:val="single" w:color="B7CFC9" w:sz="4"/>
              <w:bottom w:val="single" w:color="B7CFC9" w:sz="4"/>
              <w:right w:val="single" w:color="B7CFC9" w:sz="4"/>
            </w:tcBorders>
            <w:shd w:fill="E3F1ED" w:color="auto" w:val="clear"/>
            <w:tcMar>
              <w:top w:type="dxa" w:w="70"/>
              <w:left w:type="dxa" w:w="110"/>
              <w:bottom w:type="dxa" w:w="70"/>
              <w:right w:type="dxa" w:w="110"/>
            </w:tcMar>
          </w:tcPr>
          <w:p>
            <w:pPr>
              <w:spacing w:after="40" w:line="260"/>
            </w:pPr>
            <w:r>
              <w:rPr>
                <w:rFonts w:ascii="Calibri" w:cs="Calibri" w:eastAsia="Calibri" w:hAnsi="Calibri"/>
                <w:b/>
                <w:bCs/>
                <w:color w:val="185953"/>
                <w:sz w:val="20"/>
                <w:szCs w:val="20"/>
              </w:rPr>
              <w:t xml:space="preserve">Insight</w:t>
            </w:r>
          </w:p>
        </w:tc>
        <w:tc>
          <w:tcPr>
            <w:tcW w:type="dxa" w:w="7326"/>
            <w:tcBorders>
              <w:top w:val="single" w:color="B7CFC9" w:sz="4"/>
              <w:left w:val="single" w:color="B7CFC9" w:sz="4"/>
              <w:bottom w:val="single" w:color="B7CFC9" w:sz="4"/>
              <w:right w:val="single" w:color="B7CFC9" w:sz="4"/>
            </w:tcBorders>
            <w:tcMar>
              <w:top w:type="dxa" w:w="70"/>
              <w:left w:type="dxa" w:w="110"/>
              <w:bottom w:type="dxa" w:w="70"/>
              <w:right w:type="dxa" w:w="110"/>
            </w:tcMar>
          </w:tcPr>
          <w:p>
            <w:pPr>
              <w:spacing w:after="40" w:line="260"/>
            </w:pPr>
            <w:r>
              <w:rPr>
                <w:rFonts w:ascii="Calibri" w:cs="Calibri" w:eastAsia="Calibri" w:hAnsi="Calibri"/>
                <w:b w:val="false"/>
                <w:bCs w:val="false"/>
                <w:sz w:val="20"/>
                <w:szCs w:val="20"/>
              </w:rPr>
              <w:t xml:space="preserve">Simple, known risk factors rank patients well: the highest band is readmitted about 1.7 times as often as the lowest. The score is useful for triage but separates patients only moderately.</w:t>
            </w:r>
          </w:p>
        </w:tc>
      </w:tr>
      <w:tr>
        <w:trPr>
          <w:cantSplit/>
        </w:trPr>
        <w:tc>
          <w:tcPr>
            <w:tcW w:type="dxa" w:w="1700"/>
            <w:tcBorders>
              <w:top w:val="single" w:color="B7CFC9" w:sz="4"/>
              <w:left w:val="single" w:color="B7CFC9" w:sz="4"/>
              <w:bottom w:val="single" w:color="B7CFC9" w:sz="4"/>
              <w:right w:val="single" w:color="B7CFC9" w:sz="4"/>
            </w:tcBorders>
            <w:shd w:fill="E3F1ED" w:color="auto" w:val="clear"/>
            <w:tcMar>
              <w:top w:type="dxa" w:w="70"/>
              <w:left w:type="dxa" w:w="110"/>
              <w:bottom w:type="dxa" w:w="70"/>
              <w:right w:type="dxa" w:w="110"/>
            </w:tcMar>
          </w:tcPr>
          <w:p>
            <w:pPr>
              <w:spacing w:after="40" w:line="260"/>
            </w:pPr>
            <w:r>
              <w:rPr>
                <w:rFonts w:ascii="Calibri" w:cs="Calibri" w:eastAsia="Calibri" w:hAnsi="Calibri"/>
                <w:b/>
                <w:bCs/>
                <w:color w:val="185953"/>
                <w:sz w:val="20"/>
                <w:szCs w:val="20"/>
              </w:rPr>
              <w:t xml:space="preserve">Recommendation</w:t>
            </w:r>
          </w:p>
        </w:tc>
        <w:tc>
          <w:tcPr>
            <w:tcW w:type="dxa" w:w="7326"/>
            <w:tcBorders>
              <w:top w:val="single" w:color="B7CFC9" w:sz="4"/>
              <w:left w:val="single" w:color="B7CFC9" w:sz="4"/>
              <w:bottom w:val="single" w:color="B7CFC9" w:sz="4"/>
              <w:right w:val="single" w:color="B7CFC9" w:sz="4"/>
            </w:tcBorders>
            <w:tcMar>
              <w:top w:type="dxa" w:w="70"/>
              <w:left w:type="dxa" w:w="110"/>
              <w:bottom w:type="dxa" w:w="70"/>
              <w:right w:type="dxa" w:w="110"/>
            </w:tcMar>
          </w:tcPr>
          <w:p>
            <w:pPr>
              <w:spacing w:after="40" w:line="260"/>
            </w:pPr>
            <w:r>
              <w:rPr>
                <w:rFonts w:ascii="Calibri" w:cs="Calibri" w:eastAsia="Calibri" w:hAnsi="Calibri"/>
                <w:b w:val="false"/>
                <w:bCs w:val="false"/>
                <w:sz w:val="20"/>
                <w:szCs w:val="20"/>
              </w:rPr>
              <w:t xml:space="preserve">Use the score at discharge: score 5 or more gets intensive follow-up (about 9% of patients), and score 3 to 4 gets an early follow-up call. Review the weights with clinicians.</w:t>
            </w:r>
          </w:p>
        </w:tc>
      </w:tr>
      <w:tr>
        <w:trPr>
          <w:cantSplit/>
        </w:trPr>
        <w:tc>
          <w:tcPr>
            <w:tcW w:type="dxa" w:w="1700"/>
            <w:tcBorders>
              <w:top w:val="single" w:color="B7CFC9" w:sz="4"/>
              <w:left w:val="single" w:color="B7CFC9" w:sz="4"/>
              <w:bottom w:val="single" w:color="B7CFC9" w:sz="4"/>
              <w:right w:val="single" w:color="B7CFC9" w:sz="4"/>
            </w:tcBorders>
            <w:shd w:fill="E3F1ED" w:color="auto" w:val="clear"/>
            <w:tcMar>
              <w:top w:type="dxa" w:w="70"/>
              <w:left w:type="dxa" w:w="110"/>
              <w:bottom w:type="dxa" w:w="70"/>
              <w:right w:type="dxa" w:w="110"/>
            </w:tcMar>
          </w:tcPr>
          <w:p>
            <w:pPr>
              <w:spacing w:after="40" w:line="260"/>
            </w:pPr>
            <w:r>
              <w:rPr>
                <w:rFonts w:ascii="Calibri" w:cs="Calibri" w:eastAsia="Calibri" w:hAnsi="Calibri"/>
                <w:b/>
                <w:bCs/>
                <w:color w:val="185953"/>
                <w:sz w:val="20"/>
                <w:szCs w:val="20"/>
              </w:rPr>
              <w:t xml:space="preserve">Limitation</w:t>
            </w:r>
          </w:p>
        </w:tc>
        <w:tc>
          <w:tcPr>
            <w:tcW w:type="dxa" w:w="7326"/>
            <w:tcBorders>
              <w:top w:val="single" w:color="B7CFC9" w:sz="4"/>
              <w:left w:val="single" w:color="B7CFC9" w:sz="4"/>
              <w:bottom w:val="single" w:color="B7CFC9" w:sz="4"/>
              <w:right w:val="single" w:color="B7CFC9" w:sz="4"/>
            </w:tcBorders>
            <w:tcMar>
              <w:top w:type="dxa" w:w="70"/>
              <w:left w:type="dxa" w:w="110"/>
              <w:bottom w:type="dxa" w:w="70"/>
              <w:right w:type="dxa" w:w="110"/>
            </w:tcMar>
          </w:tcPr>
          <w:p>
            <w:pPr>
              <w:spacing w:after="40" w:line="260"/>
            </w:pPr>
            <w:r>
              <w:rPr>
                <w:rFonts w:ascii="Calibri" w:cs="Calibri" w:eastAsia="Calibri" w:hAnsi="Calibri"/>
                <w:b w:val="false"/>
                <w:bCs w:val="false"/>
                <w:sz w:val="20"/>
                <w:szCs w:val="20"/>
              </w:rPr>
              <w:t xml:space="preserve">An Excel rule-based score, not a fitted model. It was checked on the same data used to build it, with no test set or accuracy measure such as AUC. Logistic regression or decision trees in Python are the natural next step.</w:t>
            </w:r>
          </w:p>
        </w:tc>
      </w:tr>
    </w:tbl>
    <w:p>
      <w:pPr>
        <w:spacing w:after="60"/>
      </w:pPr>
      <w:r>
        <w:rPr>
          <w:rFonts w:ascii="Calibri" w:cs="Calibri" w:eastAsia="Calibri" w:hAnsi="Calibri"/>
          <w:sz w:val="21"/>
          <w:szCs w:val="21"/>
        </w:rPr>
        <w:t xml:space="preserve"/>
      </w:r>
    </w:p>
    <w:p>
      <w:pPr>
        <w:pStyle w:val="Heading3"/>
        <w:keepNext/>
        <w:spacing w:after="90" w:before="220"/>
      </w:pPr>
      <w:r>
        <w:rPr>
          <w:rFonts w:ascii="Calibri" w:cs="Calibri" w:eastAsia="Calibri" w:hAnsi="Calibri"/>
          <w:b/>
          <w:bCs/>
          <w:color w:val="185953"/>
          <w:sz w:val="22"/>
          <w:szCs w:val="22"/>
        </w:rPr>
        <w:t xml:space="preserve">Advanced Q2: Patient segmentation</w:t>
      </w:r>
    </w:p>
    <w:p>
      <w:pPr>
        <w:keepNext/>
        <w:spacing w:after="80"/>
      </w:pPr>
      <w:r>
        <w:rPr>
          <w:rFonts w:ascii="Calibri" w:cs="Calibri" w:eastAsia="Calibri" w:hAnsi="Calibri"/>
          <w:b/>
          <w:bCs/>
          <w:i/>
          <w:iCs/>
          <w:sz w:val="21"/>
          <w:szCs w:val="21"/>
        </w:rPr>
        <w:t xml:space="preserve">Question: </w:t>
      </w:r>
      <w:r>
        <w:rPr>
          <w:rFonts w:ascii="Calibri" w:cs="Calibri" w:eastAsia="Calibri" w:hAnsi="Calibri"/>
          <w:i/>
          <w:iCs/>
          <w:sz w:val="21"/>
          <w:szCs w:val="21"/>
        </w:rPr>
        <w:t xml:space="preserve">Create a patient segmentation based on utilisation patterns and outcomes.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rPr>
          <w:cantSplit/>
        </w:trPr>
        <w:tc>
          <w:tcPr>
            <w:tcW w:type="dxa" w:w="1700"/>
            <w:tcBorders>
              <w:top w:val="single" w:color="B7CFC9" w:sz="4"/>
              <w:left w:val="single" w:color="B7CFC9" w:sz="4"/>
              <w:bottom w:val="single" w:color="B7CFC9" w:sz="4"/>
              <w:right w:val="single" w:color="B7CFC9" w:sz="4"/>
            </w:tcBorders>
            <w:shd w:fill="E3F1ED" w:color="auto" w:val="clear"/>
            <w:tcMar>
              <w:top w:type="dxa" w:w="70"/>
              <w:left w:type="dxa" w:w="110"/>
              <w:bottom w:type="dxa" w:w="70"/>
              <w:right w:type="dxa" w:w="110"/>
            </w:tcMar>
          </w:tcPr>
          <w:p>
            <w:pPr>
              <w:spacing w:after="40" w:line="260"/>
            </w:pPr>
            <w:r>
              <w:rPr>
                <w:rFonts w:ascii="Calibri" w:cs="Calibri" w:eastAsia="Calibri" w:hAnsi="Calibri"/>
                <w:b/>
                <w:bCs/>
                <w:color w:val="185953"/>
                <w:sz w:val="20"/>
                <w:szCs w:val="20"/>
              </w:rPr>
              <w:t xml:space="preserve">Method</w:t>
            </w:r>
          </w:p>
        </w:tc>
        <w:tc>
          <w:tcPr>
            <w:tcW w:type="dxa" w:w="7326"/>
            <w:tcBorders>
              <w:top w:val="single" w:color="B7CFC9" w:sz="4"/>
              <w:left w:val="single" w:color="B7CFC9" w:sz="4"/>
              <w:bottom w:val="single" w:color="B7CFC9" w:sz="4"/>
              <w:right w:val="single" w:color="B7CFC9" w:sz="4"/>
            </w:tcBorders>
            <w:tcMar>
              <w:top w:type="dxa" w:w="70"/>
              <w:left w:type="dxa" w:w="110"/>
              <w:bottom w:type="dxa" w:w="70"/>
              <w:right w:type="dxa" w:w="110"/>
            </w:tcMar>
          </w:tcPr>
          <w:p>
            <w:pPr>
              <w:spacing w:after="40" w:line="260"/>
            </w:pPr>
            <w:r>
              <w:rPr>
                <w:rFonts w:ascii="Calibri" w:cs="Calibri" w:eastAsia="Calibri" w:hAnsi="Calibri"/>
                <w:b w:val="false"/>
                <w:bCs w:val="false"/>
                <w:sz w:val="20"/>
                <w:szCs w:val="20"/>
              </w:rPr>
              <w:t xml:space="preserve">Rule-based segments from Total_Prior_Visits and number_emergency, then a pivot (Q_Advanced2_Segments) of readmission, encounters, average stay and average medications.</w:t>
            </w:r>
          </w:p>
        </w:tc>
      </w:tr>
      <w:tr>
        <w:trPr>
          <w:cantSplit/>
        </w:trPr>
        <w:tc>
          <w:tcPr>
            <w:tcW w:type="dxa" w:w="1700"/>
            <w:tcBorders>
              <w:top w:val="single" w:color="B7CFC9" w:sz="4"/>
              <w:left w:val="single" w:color="B7CFC9" w:sz="4"/>
              <w:bottom w:val="single" w:color="B7CFC9" w:sz="4"/>
              <w:right w:val="single" w:color="B7CFC9" w:sz="4"/>
            </w:tcBorders>
            <w:shd w:fill="E3F1ED" w:color="auto" w:val="clear"/>
            <w:tcMar>
              <w:top w:type="dxa" w:w="70"/>
              <w:left w:type="dxa" w:w="110"/>
              <w:bottom w:type="dxa" w:w="70"/>
              <w:right w:type="dxa" w:w="110"/>
            </w:tcMar>
          </w:tcPr>
          <w:p>
            <w:pPr>
              <w:spacing w:after="40" w:line="260"/>
            </w:pPr>
            <w:r>
              <w:rPr>
                <w:rFonts w:ascii="Calibri" w:cs="Calibri" w:eastAsia="Calibri" w:hAnsi="Calibri"/>
                <w:b/>
                <w:bCs/>
                <w:color w:val="185953"/>
                <w:sz w:val="20"/>
                <w:szCs w:val="20"/>
              </w:rPr>
              <w:t xml:space="preserve">Result</w:t>
            </w:r>
          </w:p>
        </w:tc>
        <w:tc>
          <w:tcPr>
            <w:tcW w:type="dxa" w:w="7326"/>
            <w:tcBorders>
              <w:top w:val="single" w:color="B7CFC9" w:sz="4"/>
              <w:left w:val="single" w:color="B7CFC9" w:sz="4"/>
              <w:bottom w:val="single" w:color="B7CFC9" w:sz="4"/>
              <w:right w:val="single" w:color="B7CFC9" w:sz="4"/>
            </w:tcBorders>
            <w:tcMar>
              <w:top w:type="dxa" w:w="70"/>
              <w:left w:type="dxa" w:w="110"/>
              <w:bottom w:type="dxa" w:w="70"/>
              <w:right w:type="dxa" w:w="110"/>
            </w:tcMar>
          </w:tcPr>
          <w:p>
            <w:pPr>
              <w:spacing w:after="40" w:line="260"/>
            </w:pPr>
            <w:r>
              <w:rPr>
                <w:rFonts w:ascii="Calibri" w:cs="Calibri" w:eastAsia="Calibri" w:hAnsi="Calibri"/>
                <w:b w:val="false"/>
                <w:bCs w:val="false"/>
                <w:sz w:val="20"/>
                <w:szCs w:val="20"/>
              </w:rPr>
              <w:t xml:space="preserve">Readmission: no prior visits 36.2% (26,716), other prior visits 55.3% (15,161), emergency users 57.6% (3,894), high utilisers (5 or more visits) 73.9% (3,140). Stay and medication use differ little.</w:t>
            </w:r>
          </w:p>
        </w:tc>
      </w:tr>
      <w:tr>
        <w:trPr>
          <w:cantSplit/>
        </w:trPr>
        <w:tc>
          <w:tcPr>
            <w:tcW w:type="dxa" w:w="1700"/>
            <w:tcBorders>
              <w:top w:val="single" w:color="B7CFC9" w:sz="4"/>
              <w:left w:val="single" w:color="B7CFC9" w:sz="4"/>
              <w:bottom w:val="single" w:color="B7CFC9" w:sz="4"/>
              <w:right w:val="single" w:color="B7CFC9" w:sz="4"/>
            </w:tcBorders>
            <w:shd w:fill="E3F1ED" w:color="auto" w:val="clear"/>
            <w:tcMar>
              <w:top w:type="dxa" w:w="70"/>
              <w:left w:type="dxa" w:w="110"/>
              <w:bottom w:type="dxa" w:w="70"/>
              <w:right w:type="dxa" w:w="110"/>
            </w:tcMar>
          </w:tcPr>
          <w:p>
            <w:pPr>
              <w:spacing w:after="40" w:line="260"/>
            </w:pPr>
            <w:r>
              <w:rPr>
                <w:rFonts w:ascii="Calibri" w:cs="Calibri" w:eastAsia="Calibri" w:hAnsi="Calibri"/>
                <w:b/>
                <w:bCs/>
                <w:color w:val="185953"/>
                <w:sz w:val="20"/>
                <w:szCs w:val="20"/>
              </w:rPr>
              <w:t xml:space="preserve">Insight</w:t>
            </w:r>
          </w:p>
        </w:tc>
        <w:tc>
          <w:tcPr>
            <w:tcW w:type="dxa" w:w="7326"/>
            <w:tcBorders>
              <w:top w:val="single" w:color="B7CFC9" w:sz="4"/>
              <w:left w:val="single" w:color="B7CFC9" w:sz="4"/>
              <w:bottom w:val="single" w:color="B7CFC9" w:sz="4"/>
              <w:right w:val="single" w:color="B7CFC9" w:sz="4"/>
            </w:tcBorders>
            <w:tcMar>
              <w:top w:type="dxa" w:w="70"/>
              <w:left w:type="dxa" w:w="110"/>
              <w:bottom w:type="dxa" w:w="70"/>
              <w:right w:type="dxa" w:w="110"/>
            </w:tcMar>
          </w:tcPr>
          <w:p>
            <w:pPr>
              <w:spacing w:after="40" w:line="260"/>
            </w:pPr>
            <w:r>
              <w:rPr>
                <w:rFonts w:ascii="Calibri" w:cs="Calibri" w:eastAsia="Calibri" w:hAnsi="Calibri"/>
                <w:b w:val="false"/>
                <w:bCs w:val="false"/>
                <w:sz w:val="20"/>
                <w:szCs w:val="20"/>
              </w:rPr>
              <w:t xml:space="preserve">Prior hospital use separates patients clearly by risk. High utilisers are a small group with by far the highest rate, while most readmissions in absolute numbers come from the large lower-risk groups.</w:t>
            </w:r>
          </w:p>
        </w:tc>
      </w:tr>
      <w:tr>
        <w:trPr>
          <w:cantSplit/>
        </w:trPr>
        <w:tc>
          <w:tcPr>
            <w:tcW w:type="dxa" w:w="1700"/>
            <w:tcBorders>
              <w:top w:val="single" w:color="B7CFC9" w:sz="4"/>
              <w:left w:val="single" w:color="B7CFC9" w:sz="4"/>
              <w:bottom w:val="single" w:color="B7CFC9" w:sz="4"/>
              <w:right w:val="single" w:color="B7CFC9" w:sz="4"/>
            </w:tcBorders>
            <w:shd w:fill="E3F1ED" w:color="auto" w:val="clear"/>
            <w:tcMar>
              <w:top w:type="dxa" w:w="70"/>
              <w:left w:type="dxa" w:w="110"/>
              <w:bottom w:type="dxa" w:w="70"/>
              <w:right w:type="dxa" w:w="110"/>
            </w:tcMar>
          </w:tcPr>
          <w:p>
            <w:pPr>
              <w:spacing w:after="40" w:line="260"/>
            </w:pPr>
            <w:r>
              <w:rPr>
                <w:rFonts w:ascii="Calibri" w:cs="Calibri" w:eastAsia="Calibri" w:hAnsi="Calibri"/>
                <w:b/>
                <w:bCs/>
                <w:color w:val="185953"/>
                <w:sz w:val="20"/>
                <w:szCs w:val="20"/>
              </w:rPr>
              <w:t xml:space="preserve">Recommendation</w:t>
            </w:r>
          </w:p>
        </w:tc>
        <w:tc>
          <w:tcPr>
            <w:tcW w:type="dxa" w:w="7326"/>
            <w:tcBorders>
              <w:top w:val="single" w:color="B7CFC9" w:sz="4"/>
              <w:left w:val="single" w:color="B7CFC9" w:sz="4"/>
              <w:bottom w:val="single" w:color="B7CFC9" w:sz="4"/>
              <w:right w:val="single" w:color="B7CFC9" w:sz="4"/>
            </w:tcBorders>
            <w:tcMar>
              <w:top w:type="dxa" w:w="70"/>
              <w:left w:type="dxa" w:w="110"/>
              <w:bottom w:type="dxa" w:w="70"/>
              <w:right w:type="dxa" w:w="110"/>
            </w:tcMar>
          </w:tcPr>
          <w:p>
            <w:pPr>
              <w:spacing w:after="40" w:line="260"/>
            </w:pPr>
            <w:r>
              <w:rPr>
                <w:rFonts w:ascii="Calibri" w:cs="Calibri" w:eastAsia="Calibri" w:hAnsi="Calibri"/>
                <w:b w:val="false"/>
                <w:bCs w:val="false"/>
                <w:sz w:val="20"/>
                <w:szCs w:val="20"/>
              </w:rPr>
              <w:t xml:space="preserve">Tier the follow-up: intensive support for high utilisers (case manager and a call within 48 hours), an early visit for emergency users, and standard follow-up with reminders for the rest.</w:t>
            </w:r>
          </w:p>
        </w:tc>
      </w:tr>
      <w:tr>
        <w:trPr>
          <w:cantSplit/>
        </w:trPr>
        <w:tc>
          <w:tcPr>
            <w:tcW w:type="dxa" w:w="1700"/>
            <w:tcBorders>
              <w:top w:val="single" w:color="B7CFC9" w:sz="4"/>
              <w:left w:val="single" w:color="B7CFC9" w:sz="4"/>
              <w:bottom w:val="single" w:color="B7CFC9" w:sz="4"/>
              <w:right w:val="single" w:color="B7CFC9" w:sz="4"/>
            </w:tcBorders>
            <w:shd w:fill="E3F1ED" w:color="auto" w:val="clear"/>
            <w:tcMar>
              <w:top w:type="dxa" w:w="70"/>
              <w:left w:type="dxa" w:w="110"/>
              <w:bottom w:type="dxa" w:w="70"/>
              <w:right w:type="dxa" w:w="110"/>
            </w:tcMar>
          </w:tcPr>
          <w:p>
            <w:pPr>
              <w:spacing w:after="40" w:line="260"/>
            </w:pPr>
            <w:r>
              <w:rPr>
                <w:rFonts w:ascii="Calibri" w:cs="Calibri" w:eastAsia="Calibri" w:hAnsi="Calibri"/>
                <w:b/>
                <w:bCs/>
                <w:color w:val="185953"/>
                <w:sz w:val="20"/>
                <w:szCs w:val="20"/>
              </w:rPr>
              <w:t xml:space="preserve">Limitation</w:t>
            </w:r>
          </w:p>
        </w:tc>
        <w:tc>
          <w:tcPr>
            <w:tcW w:type="dxa" w:w="7326"/>
            <w:tcBorders>
              <w:top w:val="single" w:color="B7CFC9" w:sz="4"/>
              <w:left w:val="single" w:color="B7CFC9" w:sz="4"/>
              <w:bottom w:val="single" w:color="B7CFC9" w:sz="4"/>
              <w:right w:val="single" w:color="B7CFC9" w:sz="4"/>
            </w:tcBorders>
            <w:tcMar>
              <w:top w:type="dxa" w:w="70"/>
              <w:left w:type="dxa" w:w="110"/>
              <w:bottom w:type="dxa" w:w="70"/>
              <w:right w:type="dxa" w:w="110"/>
            </w:tcMar>
          </w:tcPr>
          <w:p>
            <w:pPr>
              <w:spacing w:after="40" w:line="260"/>
            </w:pPr>
            <w:r>
              <w:rPr>
                <w:rFonts w:ascii="Calibri" w:cs="Calibri" w:eastAsia="Calibri" w:hAnsi="Calibri"/>
                <w:b w:val="false"/>
                <w:bCs w:val="false"/>
                <w:sz w:val="20"/>
                <w:szCs w:val="20"/>
              </w:rPr>
              <w:t xml:space="preserve">Rule-based segments with thresholds chosen by us, not statistical clustering such as K-means. Segments show association, not cause.</w:t>
            </w:r>
          </w:p>
        </w:tc>
      </w:tr>
    </w:tbl>
    <w:p>
      <w:pPr>
        <w:spacing w:after="60"/>
      </w:pPr>
      <w:r>
        <w:rPr>
          <w:rFonts w:ascii="Calibri" w:cs="Calibri" w:eastAsia="Calibri" w:hAnsi="Calibri"/>
          <w:sz w:val="21"/>
          <w:szCs w:val="21"/>
        </w:rPr>
        <w:t xml:space="preserve"/>
      </w:r>
    </w:p>
    <w:p>
      <w:pPr>
        <w:pStyle w:val="Heading3"/>
        <w:keepNext/>
        <w:spacing w:after="90" w:before="220"/>
      </w:pPr>
      <w:r>
        <w:rPr>
          <w:rFonts w:ascii="Calibri" w:cs="Calibri" w:eastAsia="Calibri" w:hAnsi="Calibri"/>
          <w:b/>
          <w:bCs/>
          <w:color w:val="185953"/>
          <w:sz w:val="22"/>
          <w:szCs w:val="22"/>
        </w:rPr>
        <w:t xml:space="preserve">Advanced Q3 and Q4: partly covered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800"/>
        <w:gridCol w:w="2300"/>
        <w:gridCol w:w="2426"/>
      </w:tblGrid>
      <w:tr>
        <w:trPr>
          <w:cantSplit/>
          <w:tblHeader/>
        </w:trPr>
        <w:tc>
          <w:tcPr>
            <w:tcW w:type="dxa" w:w="1500"/>
            <w:tcBorders>
              <w:top w:val="single" w:color="B7CFC9" w:sz="4"/>
              <w:left w:val="single" w:color="B7CFC9" w:sz="4"/>
              <w:bottom w:val="single" w:color="B7CFC9" w:sz="4"/>
              <w:right w:val="single" w:color="B7CFC9" w:sz="4"/>
            </w:tcBorders>
            <w:shd w:fill="185953" w:color="auto" w:val="clear"/>
            <w:tcMar>
              <w:top w:type="dxa" w:w="70"/>
              <w:left w:type="dxa" w:w="110"/>
              <w:bottom w:type="dxa" w:w="70"/>
              <w:right w:type="dxa" w:w="110"/>
            </w:tcMar>
          </w:tcPr>
          <w:p>
            <w:pPr>
              <w:spacing w:after="40" w:line="260"/>
            </w:pPr>
            <w:r>
              <w:rPr>
                <w:rFonts w:ascii="Calibri" w:cs="Calibri" w:eastAsia="Calibri" w:hAnsi="Calibri"/>
                <w:b/>
                <w:bCs/>
                <w:color w:val="FFFFFF"/>
                <w:sz w:val="20"/>
                <w:szCs w:val="20"/>
              </w:rPr>
              <w:t xml:space="preserve">Question</w:t>
            </w:r>
          </w:p>
        </w:tc>
        <w:tc>
          <w:tcPr>
            <w:tcW w:type="dxa" w:w="2800"/>
            <w:tcBorders>
              <w:top w:val="single" w:color="B7CFC9" w:sz="4"/>
              <w:left w:val="single" w:color="B7CFC9" w:sz="4"/>
              <w:bottom w:val="single" w:color="B7CFC9" w:sz="4"/>
              <w:right w:val="single" w:color="B7CFC9" w:sz="4"/>
            </w:tcBorders>
            <w:shd w:fill="185953" w:color="auto" w:val="clear"/>
            <w:tcMar>
              <w:top w:type="dxa" w:w="70"/>
              <w:left w:type="dxa" w:w="110"/>
              <w:bottom w:type="dxa" w:w="70"/>
              <w:right w:type="dxa" w:w="110"/>
            </w:tcMar>
          </w:tcPr>
          <w:p>
            <w:pPr>
              <w:spacing w:after="40" w:line="260"/>
            </w:pPr>
            <w:r>
              <w:rPr>
                <w:rFonts w:ascii="Calibri" w:cs="Calibri" w:eastAsia="Calibri" w:hAnsi="Calibri"/>
                <w:b/>
                <w:bCs/>
                <w:color w:val="FFFFFF"/>
                <w:sz w:val="20"/>
                <w:szCs w:val="20"/>
              </w:rPr>
              <w:t xml:space="preserve">What the data can tell us</w:t>
            </w:r>
          </w:p>
        </w:tc>
        <w:tc>
          <w:tcPr>
            <w:tcW w:type="dxa" w:w="2300"/>
            <w:tcBorders>
              <w:top w:val="single" w:color="B7CFC9" w:sz="4"/>
              <w:left w:val="single" w:color="B7CFC9" w:sz="4"/>
              <w:bottom w:val="single" w:color="B7CFC9" w:sz="4"/>
              <w:right w:val="single" w:color="B7CFC9" w:sz="4"/>
            </w:tcBorders>
            <w:shd w:fill="185953" w:color="auto" w:val="clear"/>
            <w:tcMar>
              <w:top w:type="dxa" w:w="70"/>
              <w:left w:type="dxa" w:w="110"/>
              <w:bottom w:type="dxa" w:w="70"/>
              <w:right w:type="dxa" w:w="110"/>
            </w:tcMar>
          </w:tcPr>
          <w:p>
            <w:pPr>
              <w:spacing w:after="40" w:line="260"/>
            </w:pPr>
            <w:r>
              <w:rPr>
                <w:rFonts w:ascii="Calibri" w:cs="Calibri" w:eastAsia="Calibri" w:hAnsi="Calibri"/>
                <w:b/>
                <w:bCs/>
                <w:color w:val="FFFFFF"/>
                <w:sz w:val="20"/>
                <w:szCs w:val="20"/>
              </w:rPr>
              <w:t xml:space="preserve">What is missing</w:t>
            </w:r>
          </w:p>
        </w:tc>
        <w:tc>
          <w:tcPr>
            <w:tcW w:type="dxa" w:w="2426"/>
            <w:tcBorders>
              <w:top w:val="single" w:color="B7CFC9" w:sz="4"/>
              <w:left w:val="single" w:color="B7CFC9" w:sz="4"/>
              <w:bottom w:val="single" w:color="B7CFC9" w:sz="4"/>
              <w:right w:val="single" w:color="B7CFC9" w:sz="4"/>
            </w:tcBorders>
            <w:shd w:fill="185953" w:color="auto" w:val="clear"/>
            <w:tcMar>
              <w:top w:type="dxa" w:w="70"/>
              <w:left w:type="dxa" w:w="110"/>
              <w:bottom w:type="dxa" w:w="70"/>
              <w:right w:type="dxa" w:w="110"/>
            </w:tcMar>
          </w:tcPr>
          <w:p>
            <w:pPr>
              <w:spacing w:after="40" w:line="260"/>
            </w:pPr>
            <w:r>
              <w:rPr>
                <w:rFonts w:ascii="Calibri" w:cs="Calibri" w:eastAsia="Calibri" w:hAnsi="Calibri"/>
                <w:b/>
                <w:bCs/>
                <w:color w:val="FFFFFF"/>
                <w:sz w:val="20"/>
                <w:szCs w:val="20"/>
              </w:rPr>
              <w:t xml:space="preserve">Recommendation</w:t>
            </w:r>
          </w:p>
        </w:tc>
      </w:tr>
      <w:tr>
        <w:trPr>
          <w:cantSplit/>
          <w:tblHeader w:val="false"/>
        </w:trPr>
        <w:tc>
          <w:tcPr>
            <w:tcW w:type="dxa" w:w="1500"/>
            <w:tcBorders>
              <w:top w:val="single" w:color="B7CFC9" w:sz="4"/>
              <w:left w:val="single" w:color="B7CFC9" w:sz="4"/>
              <w:bottom w:val="single" w:color="B7CFC9" w:sz="4"/>
              <w:right w:val="single" w:color="B7CFC9" w:sz="4"/>
            </w:tcBorders>
            <w:tcMar>
              <w:top w:type="dxa" w:w="70"/>
              <w:left w:type="dxa" w:w="110"/>
              <w:bottom w:type="dxa" w:w="70"/>
              <w:right w:type="dxa" w:w="110"/>
            </w:tcMar>
          </w:tcPr>
          <w:p>
            <w:pPr>
              <w:spacing w:after="40" w:line="260"/>
            </w:pPr>
            <w:r>
              <w:rPr>
                <w:rFonts w:ascii="Calibri" w:cs="Calibri" w:eastAsia="Calibri" w:hAnsi="Calibri"/>
                <w:b w:val="false"/>
                <w:bCs w:val="false"/>
                <w:sz w:val="20"/>
                <w:szCs w:val="20"/>
              </w:rPr>
              <w:t xml:space="preserve">Q3: Financial impact, avoidable vs unavoidable readmissions</w:t>
            </w:r>
          </w:p>
        </w:tc>
        <w:tc>
          <w:tcPr>
            <w:tcW w:type="dxa" w:w="2800"/>
            <w:tcBorders>
              <w:top w:val="single" w:color="B7CFC9" w:sz="4"/>
              <w:left w:val="single" w:color="B7CFC9" w:sz="4"/>
              <w:bottom w:val="single" w:color="B7CFC9" w:sz="4"/>
              <w:right w:val="single" w:color="B7CFC9" w:sz="4"/>
            </w:tcBorders>
            <w:tcMar>
              <w:top w:type="dxa" w:w="70"/>
              <w:left w:type="dxa" w:w="110"/>
              <w:bottom w:type="dxa" w:w="70"/>
              <w:right w:type="dxa" w:w="110"/>
            </w:tcMar>
          </w:tcPr>
          <w:p>
            <w:pPr>
              <w:spacing w:after="40" w:line="260"/>
            </w:pPr>
            <w:r>
              <w:rPr>
                <w:rFonts w:ascii="Calibri" w:cs="Calibri" w:eastAsia="Calibri" w:hAnsi="Calibri"/>
                <w:b w:val="false"/>
                <w:bCs w:val="false"/>
                <w:sz w:val="20"/>
                <w:szCs w:val="20"/>
              </w:rPr>
              <w:t xml:space="preserve">22,609 of 48,911 encounters (46.2%) were readmitted. Each 1-point drop in the rate avoids about 489 readmissions.</w:t>
            </w:r>
          </w:p>
        </w:tc>
        <w:tc>
          <w:tcPr>
            <w:tcW w:type="dxa" w:w="2300"/>
            <w:tcBorders>
              <w:top w:val="single" w:color="B7CFC9" w:sz="4"/>
              <w:left w:val="single" w:color="B7CFC9" w:sz="4"/>
              <w:bottom w:val="single" w:color="B7CFC9" w:sz="4"/>
              <w:right w:val="single" w:color="B7CFC9" w:sz="4"/>
            </w:tcBorders>
            <w:tcMar>
              <w:top w:type="dxa" w:w="70"/>
              <w:left w:type="dxa" w:w="110"/>
              <w:bottom w:type="dxa" w:w="70"/>
              <w:right w:type="dxa" w:w="110"/>
            </w:tcMar>
          </w:tcPr>
          <w:p>
            <w:pPr>
              <w:spacing w:after="40" w:line="260"/>
            </w:pPr>
            <w:r>
              <w:rPr>
                <w:rFonts w:ascii="Calibri" w:cs="Calibri" w:eastAsia="Calibri" w:hAnsi="Calibri"/>
                <w:b w:val="false"/>
                <w:bCs w:val="false"/>
                <w:sz w:val="20"/>
                <w:szCs w:val="20"/>
              </w:rPr>
              <w:t xml:space="preserve">No cost data, and no clinical criteria or reason codes to separate avoidable from unavoidable readmissions.</w:t>
            </w:r>
          </w:p>
        </w:tc>
        <w:tc>
          <w:tcPr>
            <w:tcW w:type="dxa" w:w="2426"/>
            <w:tcBorders>
              <w:top w:val="single" w:color="B7CFC9" w:sz="4"/>
              <w:left w:val="single" w:color="B7CFC9" w:sz="4"/>
              <w:bottom w:val="single" w:color="B7CFC9" w:sz="4"/>
              <w:right w:val="single" w:color="B7CFC9" w:sz="4"/>
            </w:tcBorders>
            <w:tcMar>
              <w:top w:type="dxa" w:w="70"/>
              <w:left w:type="dxa" w:w="110"/>
              <w:bottom w:type="dxa" w:w="70"/>
              <w:right w:type="dxa" w:w="110"/>
            </w:tcMar>
          </w:tcPr>
          <w:p>
            <w:pPr>
              <w:spacing w:after="40" w:line="260"/>
            </w:pPr>
            <w:r>
              <w:rPr>
                <w:rFonts w:ascii="Calibri" w:cs="Calibri" w:eastAsia="Calibri" w:hAnsi="Calibri"/>
                <w:b w:val="false"/>
                <w:bCs w:val="false"/>
                <w:sz w:val="20"/>
                <w:szCs w:val="20"/>
              </w:rPr>
              <w:t xml:space="preserve">Multiply 489 by the hospital average cost per readmission to estimate savings per point. Add cost and reason fields to the data.</w:t>
            </w:r>
          </w:p>
        </w:tc>
      </w:tr>
      <w:tr>
        <w:trPr>
          <w:cantSplit/>
          <w:tblHeader w:val="false"/>
        </w:trPr>
        <w:tc>
          <w:tcPr>
            <w:tcW w:type="dxa" w:w="1500"/>
            <w:tcBorders>
              <w:top w:val="single" w:color="B7CFC9" w:sz="4"/>
              <w:left w:val="single" w:color="B7CFC9" w:sz="4"/>
              <w:bottom w:val="single" w:color="B7CFC9" w:sz="4"/>
              <w:right w:val="single" w:color="B7CFC9" w:sz="4"/>
            </w:tcBorders>
            <w:tcMar>
              <w:top w:type="dxa" w:w="70"/>
              <w:left w:type="dxa" w:w="110"/>
              <w:bottom w:type="dxa" w:w="70"/>
              <w:right w:type="dxa" w:w="110"/>
            </w:tcMar>
          </w:tcPr>
          <w:p>
            <w:pPr>
              <w:spacing w:after="40" w:line="260"/>
            </w:pPr>
            <w:r>
              <w:rPr>
                <w:rFonts w:ascii="Calibri" w:cs="Calibri" w:eastAsia="Calibri" w:hAnsi="Calibri"/>
                <w:b w:val="false"/>
                <w:bCs w:val="false"/>
                <w:sz w:val="20"/>
                <w:szCs w:val="20"/>
              </w:rPr>
              <w:t xml:space="preserve">Q4: Social determinants of health</w:t>
            </w:r>
          </w:p>
        </w:tc>
        <w:tc>
          <w:tcPr>
            <w:tcW w:type="dxa" w:w="2800"/>
            <w:tcBorders>
              <w:top w:val="single" w:color="B7CFC9" w:sz="4"/>
              <w:left w:val="single" w:color="B7CFC9" w:sz="4"/>
              <w:bottom w:val="single" w:color="B7CFC9" w:sz="4"/>
              <w:right w:val="single" w:color="B7CFC9" w:sz="4"/>
            </w:tcBorders>
            <w:tcMar>
              <w:top w:type="dxa" w:w="70"/>
              <w:left w:type="dxa" w:w="110"/>
              <w:bottom w:type="dxa" w:w="70"/>
              <w:right w:type="dxa" w:w="110"/>
            </w:tcMar>
          </w:tcPr>
          <w:p>
            <w:pPr>
              <w:spacing w:after="40" w:line="260"/>
            </w:pPr>
            <w:r>
              <w:rPr>
                <w:rFonts w:ascii="Calibri" w:cs="Calibri" w:eastAsia="Calibri" w:hAnsi="Calibri"/>
                <w:b w:val="false"/>
                <w:bCs w:val="false"/>
                <w:sz w:val="20"/>
                <w:szCs w:val="20"/>
              </w:rPr>
              <w:t xml:space="preserve">Race analysed in Basic Q7: Caucasian 47.0%, African American 46.1%, Hispanic 41.1%, Other 40.6%, Asian 37.0%. The two largest groups are nearly identical.</w:t>
            </w:r>
          </w:p>
        </w:tc>
        <w:tc>
          <w:tcPr>
            <w:tcW w:type="dxa" w:w="2300"/>
            <w:tcBorders>
              <w:top w:val="single" w:color="B7CFC9" w:sz="4"/>
              <w:left w:val="single" w:color="B7CFC9" w:sz="4"/>
              <w:bottom w:val="single" w:color="B7CFC9" w:sz="4"/>
              <w:right w:val="single" w:color="B7CFC9" w:sz="4"/>
            </w:tcBorders>
            <w:tcMar>
              <w:top w:type="dxa" w:w="70"/>
              <w:left w:type="dxa" w:w="110"/>
              <w:bottom w:type="dxa" w:w="70"/>
              <w:right w:type="dxa" w:w="110"/>
            </w:tcMar>
          </w:tcPr>
          <w:p>
            <w:pPr>
              <w:spacing w:after="40" w:line="260"/>
            </w:pPr>
            <w:r>
              <w:rPr>
                <w:rFonts w:ascii="Calibri" w:cs="Calibri" w:eastAsia="Calibri" w:hAnsi="Calibri"/>
                <w:b w:val="false"/>
                <w:bCs w:val="false"/>
                <w:sz w:val="20"/>
                <w:szCs w:val="20"/>
              </w:rPr>
              <w:t xml:space="preserve">No socioeconomic data (income, insurance, education, housing) and no external dataset.</w:t>
            </w:r>
          </w:p>
        </w:tc>
        <w:tc>
          <w:tcPr>
            <w:tcW w:type="dxa" w:w="2426"/>
            <w:tcBorders>
              <w:top w:val="single" w:color="B7CFC9" w:sz="4"/>
              <w:left w:val="single" w:color="B7CFC9" w:sz="4"/>
              <w:bottom w:val="single" w:color="B7CFC9" w:sz="4"/>
              <w:right w:val="single" w:color="B7CFC9" w:sz="4"/>
            </w:tcBorders>
            <w:tcMar>
              <w:top w:type="dxa" w:w="70"/>
              <w:left w:type="dxa" w:w="110"/>
              <w:bottom w:type="dxa" w:w="70"/>
              <w:right w:type="dxa" w:w="110"/>
            </w:tcMar>
          </w:tcPr>
          <w:p>
            <w:pPr>
              <w:spacing w:after="40" w:line="260"/>
            </w:pPr>
            <w:r>
              <w:rPr>
                <w:rFonts w:ascii="Calibri" w:cs="Calibri" w:eastAsia="Calibri" w:hAnsi="Calibri"/>
                <w:b w:val="false"/>
                <w:bCs w:val="false"/>
                <w:sz w:val="20"/>
                <w:szCs w:val="20"/>
              </w:rPr>
              <w:t xml:space="preserve">Collect insurance type, area income and housing status at admission, then repeat. Do not target interventions by race on this evidence.</w:t>
            </w:r>
          </w:p>
        </w:tc>
      </w:tr>
    </w:tbl>
    <w:p>
      <w:pPr>
        <w:pStyle w:val="Heading3"/>
        <w:keepNext/>
        <w:spacing w:after="90" w:before="220"/>
      </w:pPr>
      <w:r>
        <w:rPr>
          <w:rFonts w:ascii="Calibri" w:cs="Calibri" w:eastAsia="Calibri" w:hAnsi="Calibri"/>
          <w:b/>
          <w:bCs/>
          <w:color w:val="185953"/>
          <w:sz w:val="22"/>
          <w:szCs w:val="22"/>
        </w:rPr>
        <w:t xml:space="preserve">Advanced Q5: Follow-up program and estimated impact</w:t>
      </w:r>
    </w:p>
    <w:p>
      <w:pPr>
        <w:spacing w:after="100"/>
      </w:pPr>
      <w:r>
        <w:rPr>
          <w:rFonts w:ascii="Calibri" w:cs="Calibri" w:eastAsia="Calibri" w:hAnsi="Calibri"/>
          <w:b/>
          <w:bCs/>
          <w:i/>
          <w:iCs/>
          <w:sz w:val="21"/>
          <w:szCs w:val="21"/>
        </w:rPr>
        <w:t xml:space="preserve">Question: </w:t>
      </w:r>
      <w:r>
        <w:rPr>
          <w:rFonts w:ascii="Calibri" w:cs="Calibri" w:eastAsia="Calibri" w:hAnsi="Calibri"/>
          <w:i/>
          <w:iCs/>
          <w:sz w:val="21"/>
          <w:szCs w:val="21"/>
        </w:rPr>
        <w:t xml:space="preserve">Design a post-discharge follow-up program based on the analysis and assess its potential impact.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300"/>
        <w:gridCol w:w="2700"/>
        <w:gridCol w:w="2526"/>
      </w:tblGrid>
      <w:tr>
        <w:trPr>
          <w:cantSplit/>
          <w:tblHeader/>
        </w:trPr>
        <w:tc>
          <w:tcPr>
            <w:tcW w:type="dxa" w:w="1500"/>
            <w:tcBorders>
              <w:top w:val="single" w:color="B7CFC9" w:sz="4"/>
              <w:left w:val="single" w:color="B7CFC9" w:sz="4"/>
              <w:bottom w:val="single" w:color="B7CFC9" w:sz="4"/>
              <w:right w:val="single" w:color="B7CFC9" w:sz="4"/>
            </w:tcBorders>
            <w:shd w:fill="185953" w:color="auto" w:val="clear"/>
            <w:tcMar>
              <w:top w:type="dxa" w:w="70"/>
              <w:left w:type="dxa" w:w="110"/>
              <w:bottom w:type="dxa" w:w="70"/>
              <w:right w:type="dxa" w:w="110"/>
            </w:tcMar>
          </w:tcPr>
          <w:p>
            <w:pPr>
              <w:spacing w:after="40" w:line="260"/>
            </w:pPr>
            <w:r>
              <w:rPr>
                <w:rFonts w:ascii="Calibri" w:cs="Calibri" w:eastAsia="Calibri" w:hAnsi="Calibri"/>
                <w:b/>
                <w:bCs/>
                <w:color w:val="FFFFFF"/>
                <w:sz w:val="20"/>
                <w:szCs w:val="20"/>
              </w:rPr>
              <w:t xml:space="preserve">Tier</w:t>
            </w:r>
          </w:p>
        </w:tc>
        <w:tc>
          <w:tcPr>
            <w:tcW w:type="dxa" w:w="2300"/>
            <w:tcBorders>
              <w:top w:val="single" w:color="B7CFC9" w:sz="4"/>
              <w:left w:val="single" w:color="B7CFC9" w:sz="4"/>
              <w:bottom w:val="single" w:color="B7CFC9" w:sz="4"/>
              <w:right w:val="single" w:color="B7CFC9" w:sz="4"/>
            </w:tcBorders>
            <w:shd w:fill="185953" w:color="auto" w:val="clear"/>
            <w:tcMar>
              <w:top w:type="dxa" w:w="70"/>
              <w:left w:type="dxa" w:w="110"/>
              <w:bottom w:type="dxa" w:w="70"/>
              <w:right w:type="dxa" w:w="110"/>
            </w:tcMar>
          </w:tcPr>
          <w:p>
            <w:pPr>
              <w:spacing w:after="40" w:line="260"/>
            </w:pPr>
            <w:r>
              <w:rPr>
                <w:rFonts w:ascii="Calibri" w:cs="Calibri" w:eastAsia="Calibri" w:hAnsi="Calibri"/>
                <w:b/>
                <w:bCs/>
                <w:color w:val="FFFFFF"/>
                <w:sz w:val="20"/>
                <w:szCs w:val="20"/>
              </w:rPr>
              <w:t xml:space="preserve">Who</w:t>
            </w:r>
          </w:p>
        </w:tc>
        <w:tc>
          <w:tcPr>
            <w:tcW w:type="dxa" w:w="2700"/>
            <w:tcBorders>
              <w:top w:val="single" w:color="B7CFC9" w:sz="4"/>
              <w:left w:val="single" w:color="B7CFC9" w:sz="4"/>
              <w:bottom w:val="single" w:color="B7CFC9" w:sz="4"/>
              <w:right w:val="single" w:color="B7CFC9" w:sz="4"/>
            </w:tcBorders>
            <w:shd w:fill="185953" w:color="auto" w:val="clear"/>
            <w:tcMar>
              <w:top w:type="dxa" w:w="70"/>
              <w:left w:type="dxa" w:w="110"/>
              <w:bottom w:type="dxa" w:w="70"/>
              <w:right w:type="dxa" w:w="110"/>
            </w:tcMar>
          </w:tcPr>
          <w:p>
            <w:pPr>
              <w:spacing w:after="40" w:line="260"/>
            </w:pPr>
            <w:r>
              <w:rPr>
                <w:rFonts w:ascii="Calibri" w:cs="Calibri" w:eastAsia="Calibri" w:hAnsi="Calibri"/>
                <w:b/>
                <w:bCs/>
                <w:color w:val="FFFFFF"/>
                <w:sz w:val="20"/>
                <w:szCs w:val="20"/>
              </w:rPr>
              <w:t xml:space="preserve">Actions</w:t>
            </w:r>
          </w:p>
        </w:tc>
        <w:tc>
          <w:tcPr>
            <w:tcW w:type="dxa" w:w="2526"/>
            <w:tcBorders>
              <w:top w:val="single" w:color="B7CFC9" w:sz="4"/>
              <w:left w:val="single" w:color="B7CFC9" w:sz="4"/>
              <w:bottom w:val="single" w:color="B7CFC9" w:sz="4"/>
              <w:right w:val="single" w:color="B7CFC9" w:sz="4"/>
            </w:tcBorders>
            <w:shd w:fill="185953" w:color="auto" w:val="clear"/>
            <w:tcMar>
              <w:top w:type="dxa" w:w="70"/>
              <w:left w:type="dxa" w:w="110"/>
              <w:bottom w:type="dxa" w:w="70"/>
              <w:right w:type="dxa" w:w="110"/>
            </w:tcMar>
          </w:tcPr>
          <w:p>
            <w:pPr>
              <w:spacing w:after="40" w:line="260"/>
            </w:pPr>
            <w:r>
              <w:rPr>
                <w:rFonts w:ascii="Calibri" w:cs="Calibri" w:eastAsia="Calibri" w:hAnsi="Calibri"/>
                <w:b/>
                <w:bCs/>
                <w:color w:val="FFFFFF"/>
                <w:sz w:val="20"/>
                <w:szCs w:val="20"/>
              </w:rPr>
              <w:t xml:space="preserve">Evidence</w:t>
            </w:r>
          </w:p>
        </w:tc>
      </w:tr>
      <w:tr>
        <w:trPr>
          <w:cantSplit/>
          <w:tblHeader w:val="false"/>
        </w:trPr>
        <w:tc>
          <w:tcPr>
            <w:tcW w:type="dxa" w:w="1500"/>
            <w:tcBorders>
              <w:top w:val="single" w:color="B7CFC9" w:sz="4"/>
              <w:left w:val="single" w:color="B7CFC9" w:sz="4"/>
              <w:bottom w:val="single" w:color="B7CFC9" w:sz="4"/>
              <w:right w:val="single" w:color="B7CFC9" w:sz="4"/>
            </w:tcBorders>
            <w:tcMar>
              <w:top w:type="dxa" w:w="70"/>
              <w:left w:type="dxa" w:w="110"/>
              <w:bottom w:type="dxa" w:w="70"/>
              <w:right w:type="dxa" w:w="110"/>
            </w:tcMar>
          </w:tcPr>
          <w:p>
            <w:pPr>
              <w:spacing w:after="40" w:line="260"/>
            </w:pPr>
            <w:r>
              <w:rPr>
                <w:rFonts w:ascii="Calibri" w:cs="Calibri" w:eastAsia="Calibri" w:hAnsi="Calibri"/>
                <w:b w:val="false"/>
                <w:bCs w:val="false"/>
                <w:sz w:val="20"/>
                <w:szCs w:val="20"/>
              </w:rPr>
              <w:t xml:space="preserve">1: Intensive</w:t>
            </w:r>
          </w:p>
        </w:tc>
        <w:tc>
          <w:tcPr>
            <w:tcW w:type="dxa" w:w="2300"/>
            <w:tcBorders>
              <w:top w:val="single" w:color="B7CFC9" w:sz="4"/>
              <w:left w:val="single" w:color="B7CFC9" w:sz="4"/>
              <w:bottom w:val="single" w:color="B7CFC9" w:sz="4"/>
              <w:right w:val="single" w:color="B7CFC9" w:sz="4"/>
            </w:tcBorders>
            <w:tcMar>
              <w:top w:type="dxa" w:w="70"/>
              <w:left w:type="dxa" w:w="110"/>
              <w:bottom w:type="dxa" w:w="70"/>
              <w:right w:type="dxa" w:w="110"/>
            </w:tcMar>
          </w:tcPr>
          <w:p>
            <w:pPr>
              <w:spacing w:after="40" w:line="260"/>
            </w:pPr>
            <w:r>
              <w:rPr>
                <w:rFonts w:ascii="Calibri" w:cs="Calibri" w:eastAsia="Calibri" w:hAnsi="Calibri"/>
                <w:b w:val="false"/>
                <w:bCs w:val="false"/>
                <w:sz w:val="20"/>
                <w:szCs w:val="20"/>
              </w:rPr>
              <w:t xml:space="preserve">Risk score 5 to 7 (4,455 patients, about 9%)</w:t>
            </w:r>
          </w:p>
        </w:tc>
        <w:tc>
          <w:tcPr>
            <w:tcW w:type="dxa" w:w="2700"/>
            <w:tcBorders>
              <w:top w:val="single" w:color="B7CFC9" w:sz="4"/>
              <w:left w:val="single" w:color="B7CFC9" w:sz="4"/>
              <w:bottom w:val="single" w:color="B7CFC9" w:sz="4"/>
              <w:right w:val="single" w:color="B7CFC9" w:sz="4"/>
            </w:tcBorders>
            <w:tcMar>
              <w:top w:type="dxa" w:w="70"/>
              <w:left w:type="dxa" w:w="110"/>
              <w:bottom w:type="dxa" w:w="70"/>
              <w:right w:type="dxa" w:w="110"/>
            </w:tcMar>
          </w:tcPr>
          <w:p>
            <w:pPr>
              <w:spacing w:after="40" w:line="260"/>
            </w:pPr>
            <w:r>
              <w:rPr>
                <w:rFonts w:ascii="Calibri" w:cs="Calibri" w:eastAsia="Calibri" w:hAnsi="Calibri"/>
                <w:b w:val="false"/>
                <w:bCs w:val="false"/>
                <w:sz w:val="20"/>
                <w:szCs w:val="20"/>
              </w:rPr>
              <w:t xml:space="preserve">Case manager. Call within 48 hours. Visit within 7 days. Pharmacist medication review. Diabetes education if on diabetes medication.</w:t>
            </w:r>
          </w:p>
        </w:tc>
        <w:tc>
          <w:tcPr>
            <w:tcW w:type="dxa" w:w="2526"/>
            <w:tcBorders>
              <w:top w:val="single" w:color="B7CFC9" w:sz="4"/>
              <w:left w:val="single" w:color="B7CFC9" w:sz="4"/>
              <w:bottom w:val="single" w:color="B7CFC9" w:sz="4"/>
              <w:right w:val="single" w:color="B7CFC9" w:sz="4"/>
            </w:tcBorders>
            <w:tcMar>
              <w:top w:type="dxa" w:w="70"/>
              <w:left w:type="dxa" w:w="110"/>
              <w:bottom w:type="dxa" w:w="70"/>
              <w:right w:type="dxa" w:w="110"/>
            </w:tcMar>
          </w:tcPr>
          <w:p>
            <w:pPr>
              <w:spacing w:after="40" w:line="260"/>
            </w:pPr>
            <w:r>
              <w:rPr>
                <w:rFonts w:ascii="Calibri" w:cs="Calibri" w:eastAsia="Calibri" w:hAnsi="Calibri"/>
                <w:b w:val="false"/>
                <w:bCs w:val="false"/>
                <w:sz w:val="20"/>
                <w:szCs w:val="20"/>
              </w:rPr>
              <w:t xml:space="preserve">63.3% readmitted (Advanced Q1). 5 or more emergency visits: 87.1% (Basic Q3). High utilisers: 73.9% (Advanced Q2).</w:t>
            </w:r>
          </w:p>
        </w:tc>
      </w:tr>
      <w:tr>
        <w:trPr>
          <w:cantSplit/>
          <w:tblHeader w:val="false"/>
        </w:trPr>
        <w:tc>
          <w:tcPr>
            <w:tcW w:type="dxa" w:w="1500"/>
            <w:tcBorders>
              <w:top w:val="single" w:color="B7CFC9" w:sz="4"/>
              <w:left w:val="single" w:color="B7CFC9" w:sz="4"/>
              <w:bottom w:val="single" w:color="B7CFC9" w:sz="4"/>
              <w:right w:val="single" w:color="B7CFC9" w:sz="4"/>
            </w:tcBorders>
            <w:tcMar>
              <w:top w:type="dxa" w:w="70"/>
              <w:left w:type="dxa" w:w="110"/>
              <w:bottom w:type="dxa" w:w="70"/>
              <w:right w:type="dxa" w:w="110"/>
            </w:tcMar>
          </w:tcPr>
          <w:p>
            <w:pPr>
              <w:spacing w:after="40" w:line="260"/>
            </w:pPr>
            <w:r>
              <w:rPr>
                <w:rFonts w:ascii="Calibri" w:cs="Calibri" w:eastAsia="Calibri" w:hAnsi="Calibri"/>
                <w:b w:val="false"/>
                <w:bCs w:val="false"/>
                <w:sz w:val="20"/>
                <w:szCs w:val="20"/>
              </w:rPr>
              <w:t xml:space="preserve">2: Early contact</w:t>
            </w:r>
          </w:p>
        </w:tc>
        <w:tc>
          <w:tcPr>
            <w:tcW w:type="dxa" w:w="2300"/>
            <w:tcBorders>
              <w:top w:val="single" w:color="B7CFC9" w:sz="4"/>
              <w:left w:val="single" w:color="B7CFC9" w:sz="4"/>
              <w:bottom w:val="single" w:color="B7CFC9" w:sz="4"/>
              <w:right w:val="single" w:color="B7CFC9" w:sz="4"/>
            </w:tcBorders>
            <w:tcMar>
              <w:top w:type="dxa" w:w="70"/>
              <w:left w:type="dxa" w:w="110"/>
              <w:bottom w:type="dxa" w:w="70"/>
              <w:right w:type="dxa" w:w="110"/>
            </w:tcMar>
          </w:tcPr>
          <w:p>
            <w:pPr>
              <w:spacing w:after="40" w:line="260"/>
            </w:pPr>
            <w:r>
              <w:rPr>
                <w:rFonts w:ascii="Calibri" w:cs="Calibri" w:eastAsia="Calibri" w:hAnsi="Calibri"/>
                <w:b w:val="false"/>
                <w:bCs w:val="false"/>
                <w:sz w:val="20"/>
                <w:szCs w:val="20"/>
              </w:rPr>
              <w:t xml:space="preserve">Risk score 3 to 4 (27,257 patients, about 56%)</w:t>
            </w:r>
          </w:p>
        </w:tc>
        <w:tc>
          <w:tcPr>
            <w:tcW w:type="dxa" w:w="2700"/>
            <w:tcBorders>
              <w:top w:val="single" w:color="B7CFC9" w:sz="4"/>
              <w:left w:val="single" w:color="B7CFC9" w:sz="4"/>
              <w:bottom w:val="single" w:color="B7CFC9" w:sz="4"/>
              <w:right w:val="single" w:color="B7CFC9" w:sz="4"/>
            </w:tcBorders>
            <w:tcMar>
              <w:top w:type="dxa" w:w="70"/>
              <w:left w:type="dxa" w:w="110"/>
              <w:bottom w:type="dxa" w:w="70"/>
              <w:right w:type="dxa" w:w="110"/>
            </w:tcMar>
          </w:tcPr>
          <w:p>
            <w:pPr>
              <w:spacing w:after="40" w:line="260"/>
            </w:pPr>
            <w:r>
              <w:rPr>
                <w:rFonts w:ascii="Calibri" w:cs="Calibri" w:eastAsia="Calibri" w:hAnsi="Calibri"/>
                <w:b w:val="false"/>
                <w:bCs w:val="false"/>
                <w:sz w:val="20"/>
                <w:szCs w:val="20"/>
              </w:rPr>
              <w:t xml:space="preserve">Automated call or text within 3 to 5 days. Check instructions are understood and prescriptions filled.</w:t>
            </w:r>
          </w:p>
        </w:tc>
        <w:tc>
          <w:tcPr>
            <w:tcW w:type="dxa" w:w="2526"/>
            <w:tcBorders>
              <w:top w:val="single" w:color="B7CFC9" w:sz="4"/>
              <w:left w:val="single" w:color="B7CFC9" w:sz="4"/>
              <w:bottom w:val="single" w:color="B7CFC9" w:sz="4"/>
              <w:right w:val="single" w:color="B7CFC9" w:sz="4"/>
            </w:tcBorders>
            <w:tcMar>
              <w:top w:type="dxa" w:w="70"/>
              <w:left w:type="dxa" w:w="110"/>
              <w:bottom w:type="dxa" w:w="70"/>
              <w:right w:type="dxa" w:w="110"/>
            </w:tcMar>
          </w:tcPr>
          <w:p>
            <w:pPr>
              <w:spacing w:after="40" w:line="260"/>
            </w:pPr>
            <w:r>
              <w:rPr>
                <w:rFonts w:ascii="Calibri" w:cs="Calibri" w:eastAsia="Calibri" w:hAnsi="Calibri"/>
                <w:b w:val="false"/>
                <w:bCs w:val="false"/>
                <w:sz w:val="20"/>
                <w:szCs w:val="20"/>
              </w:rPr>
              <w:t xml:space="preserve">49.1% readmitted, and the band holds the most readmissions (about 13,400).</w:t>
            </w:r>
          </w:p>
        </w:tc>
      </w:tr>
      <w:tr>
        <w:trPr>
          <w:cantSplit/>
          <w:tblHeader w:val="false"/>
        </w:trPr>
        <w:tc>
          <w:tcPr>
            <w:tcW w:type="dxa" w:w="1500"/>
            <w:tcBorders>
              <w:top w:val="single" w:color="B7CFC9" w:sz="4"/>
              <w:left w:val="single" w:color="B7CFC9" w:sz="4"/>
              <w:bottom w:val="single" w:color="B7CFC9" w:sz="4"/>
              <w:right w:val="single" w:color="B7CFC9" w:sz="4"/>
            </w:tcBorders>
            <w:tcMar>
              <w:top w:type="dxa" w:w="70"/>
              <w:left w:type="dxa" w:w="110"/>
              <w:bottom w:type="dxa" w:w="70"/>
              <w:right w:type="dxa" w:w="110"/>
            </w:tcMar>
          </w:tcPr>
          <w:p>
            <w:pPr>
              <w:spacing w:after="40" w:line="260"/>
            </w:pPr>
            <w:r>
              <w:rPr>
                <w:rFonts w:ascii="Calibri" w:cs="Calibri" w:eastAsia="Calibri" w:hAnsi="Calibri"/>
                <w:b w:val="false"/>
                <w:bCs w:val="false"/>
                <w:sz w:val="20"/>
                <w:szCs w:val="20"/>
              </w:rPr>
              <w:t xml:space="preserve">3: Standard</w:t>
            </w:r>
          </w:p>
        </w:tc>
        <w:tc>
          <w:tcPr>
            <w:tcW w:type="dxa" w:w="2300"/>
            <w:tcBorders>
              <w:top w:val="single" w:color="B7CFC9" w:sz="4"/>
              <w:left w:val="single" w:color="B7CFC9" w:sz="4"/>
              <w:bottom w:val="single" w:color="B7CFC9" w:sz="4"/>
              <w:right w:val="single" w:color="B7CFC9" w:sz="4"/>
            </w:tcBorders>
            <w:tcMar>
              <w:top w:type="dxa" w:w="70"/>
              <w:left w:type="dxa" w:w="110"/>
              <w:bottom w:type="dxa" w:w="70"/>
              <w:right w:type="dxa" w:w="110"/>
            </w:tcMar>
          </w:tcPr>
          <w:p>
            <w:pPr>
              <w:spacing w:after="40" w:line="260"/>
            </w:pPr>
            <w:r>
              <w:rPr>
                <w:rFonts w:ascii="Calibri" w:cs="Calibri" w:eastAsia="Calibri" w:hAnsi="Calibri"/>
                <w:b w:val="false"/>
                <w:bCs w:val="false"/>
                <w:sz w:val="20"/>
                <w:szCs w:val="20"/>
              </w:rPr>
              <w:t xml:space="preserve">Risk score 0 to 2 (17,199 patients)</w:t>
            </w:r>
          </w:p>
        </w:tc>
        <w:tc>
          <w:tcPr>
            <w:tcW w:type="dxa" w:w="2700"/>
            <w:tcBorders>
              <w:top w:val="single" w:color="B7CFC9" w:sz="4"/>
              <w:left w:val="single" w:color="B7CFC9" w:sz="4"/>
              <w:bottom w:val="single" w:color="B7CFC9" w:sz="4"/>
              <w:right w:val="single" w:color="B7CFC9" w:sz="4"/>
            </w:tcBorders>
            <w:tcMar>
              <w:top w:type="dxa" w:w="70"/>
              <w:left w:type="dxa" w:w="110"/>
              <w:bottom w:type="dxa" w:w="70"/>
              <w:right w:type="dxa" w:w="110"/>
            </w:tcMar>
          </w:tcPr>
          <w:p>
            <w:pPr>
              <w:spacing w:after="40" w:line="260"/>
            </w:pPr>
            <w:r>
              <w:rPr>
                <w:rFonts w:ascii="Calibri" w:cs="Calibri" w:eastAsia="Calibri" w:hAnsi="Calibri"/>
                <w:b w:val="false"/>
                <w:bCs w:val="false"/>
                <w:sz w:val="20"/>
                <w:szCs w:val="20"/>
              </w:rPr>
              <w:t xml:space="preserve">Normal discharge process.</w:t>
            </w:r>
          </w:p>
        </w:tc>
        <w:tc>
          <w:tcPr>
            <w:tcW w:type="dxa" w:w="2526"/>
            <w:tcBorders>
              <w:top w:val="single" w:color="B7CFC9" w:sz="4"/>
              <w:left w:val="single" w:color="B7CFC9" w:sz="4"/>
              <w:bottom w:val="single" w:color="B7CFC9" w:sz="4"/>
              <w:right w:val="single" w:color="B7CFC9" w:sz="4"/>
            </w:tcBorders>
            <w:tcMar>
              <w:top w:type="dxa" w:w="70"/>
              <w:left w:type="dxa" w:w="110"/>
              <w:bottom w:type="dxa" w:w="70"/>
              <w:right w:type="dxa" w:w="110"/>
            </w:tcMar>
          </w:tcPr>
          <w:p>
            <w:pPr>
              <w:spacing w:after="40" w:line="260"/>
            </w:pPr>
            <w:r>
              <w:rPr>
                <w:rFonts w:ascii="Calibri" w:cs="Calibri" w:eastAsia="Calibri" w:hAnsi="Calibri"/>
                <w:b w:val="false"/>
                <w:bCs w:val="false"/>
                <w:sz w:val="20"/>
                <w:szCs w:val="20"/>
              </w:rPr>
              <w:t xml:space="preserve">37.2% readmitted, the lowest band.</w:t>
            </w:r>
          </w:p>
        </w:tc>
      </w:tr>
      <w:tr>
        <w:trPr>
          <w:cantSplit/>
          <w:tblHeader w:val="false"/>
        </w:trPr>
        <w:tc>
          <w:tcPr>
            <w:tcW w:type="dxa" w:w="1500"/>
            <w:tcBorders>
              <w:top w:val="single" w:color="B7CFC9" w:sz="4"/>
              <w:left w:val="single" w:color="B7CFC9" w:sz="4"/>
              <w:bottom w:val="single" w:color="B7CFC9" w:sz="4"/>
              <w:right w:val="single" w:color="B7CFC9" w:sz="4"/>
            </w:tcBorders>
            <w:tcMar>
              <w:top w:type="dxa" w:w="70"/>
              <w:left w:type="dxa" w:w="110"/>
              <w:bottom w:type="dxa" w:w="70"/>
              <w:right w:type="dxa" w:w="110"/>
            </w:tcMar>
          </w:tcPr>
          <w:p>
            <w:pPr>
              <w:spacing w:after="40" w:line="260"/>
            </w:pPr>
            <w:r>
              <w:rPr>
                <w:rFonts w:ascii="Calibri" w:cs="Calibri" w:eastAsia="Calibri" w:hAnsi="Calibri"/>
                <w:b w:val="false"/>
                <w:bCs w:val="false"/>
                <w:sz w:val="20"/>
                <w:szCs w:val="20"/>
              </w:rPr>
              <w:t xml:space="preserve">All tiers</w:t>
            </w:r>
          </w:p>
        </w:tc>
        <w:tc>
          <w:tcPr>
            <w:tcW w:type="dxa" w:w="2300"/>
            <w:tcBorders>
              <w:top w:val="single" w:color="B7CFC9" w:sz="4"/>
              <w:left w:val="single" w:color="B7CFC9" w:sz="4"/>
              <w:bottom w:val="single" w:color="B7CFC9" w:sz="4"/>
              <w:right w:val="single" w:color="B7CFC9" w:sz="4"/>
            </w:tcBorders>
            <w:tcMar>
              <w:top w:type="dxa" w:w="70"/>
              <w:left w:type="dxa" w:w="110"/>
              <w:bottom w:type="dxa" w:w="70"/>
              <w:right w:type="dxa" w:w="110"/>
            </w:tcMar>
          </w:tcPr>
          <w:p>
            <w:pPr>
              <w:spacing w:after="40" w:line="260"/>
            </w:pPr>
            <w:r>
              <w:rPr>
                <w:rFonts w:ascii="Calibri" w:cs="Calibri" w:eastAsia="Calibri" w:hAnsi="Calibri"/>
                <w:b w:val="false"/>
                <w:bCs w:val="false"/>
                <w:sz w:val="20"/>
                <w:szCs w:val="20"/>
              </w:rPr>
              <w:t xml:space="preserve">Medication changed</w:t>
            </w:r>
          </w:p>
        </w:tc>
        <w:tc>
          <w:tcPr>
            <w:tcW w:type="dxa" w:w="2700"/>
            <w:tcBorders>
              <w:top w:val="single" w:color="B7CFC9" w:sz="4"/>
              <w:left w:val="single" w:color="B7CFC9" w:sz="4"/>
              <w:bottom w:val="single" w:color="B7CFC9" w:sz="4"/>
              <w:right w:val="single" w:color="B7CFC9" w:sz="4"/>
            </w:tcBorders>
            <w:tcMar>
              <w:top w:type="dxa" w:w="70"/>
              <w:left w:type="dxa" w:w="110"/>
              <w:bottom w:type="dxa" w:w="70"/>
              <w:right w:type="dxa" w:w="110"/>
            </w:tcMar>
          </w:tcPr>
          <w:p>
            <w:pPr>
              <w:spacing w:after="40" w:line="260"/>
            </w:pPr>
            <w:r>
              <w:rPr>
                <w:rFonts w:ascii="Calibri" w:cs="Calibri" w:eastAsia="Calibri" w:hAnsi="Calibri"/>
                <w:b w:val="false"/>
                <w:bCs w:val="false"/>
                <w:sz w:val="20"/>
                <w:szCs w:val="20"/>
              </w:rPr>
              <w:t xml:space="preserve">Pharmacist review before discharge.</w:t>
            </w:r>
          </w:p>
        </w:tc>
        <w:tc>
          <w:tcPr>
            <w:tcW w:type="dxa" w:w="2526"/>
            <w:tcBorders>
              <w:top w:val="single" w:color="B7CFC9" w:sz="4"/>
              <w:left w:val="single" w:color="B7CFC9" w:sz="4"/>
              <w:bottom w:val="single" w:color="B7CFC9" w:sz="4"/>
              <w:right w:val="single" w:color="B7CFC9" w:sz="4"/>
            </w:tcBorders>
            <w:tcMar>
              <w:top w:type="dxa" w:w="70"/>
              <w:left w:type="dxa" w:w="110"/>
              <w:bottom w:type="dxa" w:w="70"/>
              <w:right w:type="dxa" w:w="110"/>
            </w:tcMar>
          </w:tcPr>
          <w:p>
            <w:pPr>
              <w:spacing w:after="40" w:line="260"/>
            </w:pPr>
            <w:r>
              <w:rPr>
                <w:rFonts w:ascii="Calibri" w:cs="Calibri" w:eastAsia="Calibri" w:hAnsi="Calibri"/>
                <w:b w:val="false"/>
                <w:bCs w:val="false"/>
                <w:sz w:val="20"/>
                <w:szCs w:val="20"/>
              </w:rPr>
              <w:t xml:space="preserve">48.7% vs 44.1% (Basic Q5).</w:t>
            </w:r>
          </w:p>
        </w:tc>
      </w:tr>
      <w:tr>
        <w:trPr>
          <w:cantSplit/>
          <w:tblHeader w:val="false"/>
        </w:trPr>
        <w:tc>
          <w:tcPr>
            <w:tcW w:type="dxa" w:w="1500"/>
            <w:tcBorders>
              <w:top w:val="single" w:color="B7CFC9" w:sz="4"/>
              <w:left w:val="single" w:color="B7CFC9" w:sz="4"/>
              <w:bottom w:val="single" w:color="B7CFC9" w:sz="4"/>
              <w:right w:val="single" w:color="B7CFC9" w:sz="4"/>
            </w:tcBorders>
            <w:tcMar>
              <w:top w:type="dxa" w:w="70"/>
              <w:left w:type="dxa" w:w="110"/>
              <w:bottom w:type="dxa" w:w="70"/>
              <w:right w:type="dxa" w:w="110"/>
            </w:tcMar>
          </w:tcPr>
          <w:p>
            <w:pPr>
              <w:spacing w:after="40" w:line="260"/>
            </w:pPr>
            <w:r>
              <w:rPr>
                <w:rFonts w:ascii="Calibri" w:cs="Calibri" w:eastAsia="Calibri" w:hAnsi="Calibri"/>
                <w:b w:val="false"/>
                <w:bCs w:val="false"/>
                <w:sz w:val="20"/>
                <w:szCs w:val="20"/>
              </w:rPr>
              <w:t xml:space="preserve">All tiers</w:t>
            </w:r>
          </w:p>
        </w:tc>
        <w:tc>
          <w:tcPr>
            <w:tcW w:type="dxa" w:w="2300"/>
            <w:tcBorders>
              <w:top w:val="single" w:color="B7CFC9" w:sz="4"/>
              <w:left w:val="single" w:color="B7CFC9" w:sz="4"/>
              <w:bottom w:val="single" w:color="B7CFC9" w:sz="4"/>
              <w:right w:val="single" w:color="B7CFC9" w:sz="4"/>
            </w:tcBorders>
            <w:tcMar>
              <w:top w:type="dxa" w:w="70"/>
              <w:left w:type="dxa" w:w="110"/>
              <w:bottom w:type="dxa" w:w="70"/>
              <w:right w:type="dxa" w:w="110"/>
            </w:tcMar>
          </w:tcPr>
          <w:p>
            <w:pPr>
              <w:spacing w:after="40" w:line="260"/>
            </w:pPr>
            <w:r>
              <w:rPr>
                <w:rFonts w:ascii="Calibri" w:cs="Calibri" w:eastAsia="Calibri" w:hAnsi="Calibri"/>
                <w:b w:val="false"/>
                <w:bCs w:val="false"/>
                <w:sz w:val="20"/>
                <w:szCs w:val="20"/>
              </w:rPr>
              <w:t xml:space="preserve">Diabetes patients</w:t>
            </w:r>
          </w:p>
        </w:tc>
        <w:tc>
          <w:tcPr>
            <w:tcW w:type="dxa" w:w="2700"/>
            <w:tcBorders>
              <w:top w:val="single" w:color="B7CFC9" w:sz="4"/>
              <w:left w:val="single" w:color="B7CFC9" w:sz="4"/>
              <w:bottom w:val="single" w:color="B7CFC9" w:sz="4"/>
              <w:right w:val="single" w:color="B7CFC9" w:sz="4"/>
            </w:tcBorders>
            <w:tcMar>
              <w:top w:type="dxa" w:w="70"/>
              <w:left w:type="dxa" w:w="110"/>
              <w:bottom w:type="dxa" w:w="70"/>
              <w:right w:type="dxa" w:w="110"/>
            </w:tcMar>
          </w:tcPr>
          <w:p>
            <w:pPr>
              <w:spacing w:after="40" w:line="260"/>
            </w:pPr>
            <w:r>
              <w:rPr>
                <w:rFonts w:ascii="Calibri" w:cs="Calibri" w:eastAsia="Calibri" w:hAnsi="Calibri"/>
                <w:b w:val="false"/>
                <w:bCs w:val="false"/>
                <w:sz w:val="20"/>
                <w:szCs w:val="20"/>
              </w:rPr>
              <w:t xml:space="preserve">Diabetes management pathway: education and early outpatient visit.</w:t>
            </w:r>
          </w:p>
        </w:tc>
        <w:tc>
          <w:tcPr>
            <w:tcW w:type="dxa" w:w="2526"/>
            <w:tcBorders>
              <w:top w:val="single" w:color="B7CFC9" w:sz="4"/>
              <w:left w:val="single" w:color="B7CFC9" w:sz="4"/>
              <w:bottom w:val="single" w:color="B7CFC9" w:sz="4"/>
              <w:right w:val="single" w:color="B7CFC9" w:sz="4"/>
            </w:tcBorders>
            <w:tcMar>
              <w:top w:type="dxa" w:w="70"/>
              <w:left w:type="dxa" w:w="110"/>
              <w:bottom w:type="dxa" w:w="70"/>
              <w:right w:type="dxa" w:w="110"/>
            </w:tcMar>
          </w:tcPr>
          <w:p>
            <w:pPr>
              <w:spacing w:after="40" w:line="260"/>
            </w:pPr>
            <w:r>
              <w:rPr>
                <w:rFonts w:ascii="Calibri" w:cs="Calibri" w:eastAsia="Calibri" w:hAnsi="Calibri"/>
                <w:b w:val="false"/>
                <w:bCs w:val="false"/>
                <w:sz w:val="20"/>
                <w:szCs w:val="20"/>
              </w:rPr>
              <w:t xml:space="preserve">47.9% readmitted, about 80% of all readmissions (Basic Q4, Medium Q5).</w:t>
            </w:r>
          </w:p>
        </w:tc>
      </w:tr>
      <w:tr>
        <w:trPr>
          <w:cantSplit/>
          <w:tblHeader w:val="false"/>
        </w:trPr>
        <w:tc>
          <w:tcPr>
            <w:tcW w:type="dxa" w:w="1500"/>
            <w:tcBorders>
              <w:top w:val="single" w:color="B7CFC9" w:sz="4"/>
              <w:left w:val="single" w:color="B7CFC9" w:sz="4"/>
              <w:bottom w:val="single" w:color="B7CFC9" w:sz="4"/>
              <w:right w:val="single" w:color="B7CFC9" w:sz="4"/>
            </w:tcBorders>
            <w:tcMar>
              <w:top w:type="dxa" w:w="70"/>
              <w:left w:type="dxa" w:w="110"/>
              <w:bottom w:type="dxa" w:w="70"/>
              <w:right w:type="dxa" w:w="110"/>
            </w:tcMar>
          </w:tcPr>
          <w:p>
            <w:pPr>
              <w:spacing w:after="40" w:line="260"/>
            </w:pPr>
            <w:r>
              <w:rPr>
                <w:rFonts w:ascii="Calibri" w:cs="Calibri" w:eastAsia="Calibri" w:hAnsi="Calibri"/>
                <w:b w:val="false"/>
                <w:bCs w:val="false"/>
                <w:sz w:val="20"/>
                <w:szCs w:val="20"/>
              </w:rPr>
              <w:t xml:space="preserve">System</w:t>
            </w:r>
          </w:p>
        </w:tc>
        <w:tc>
          <w:tcPr>
            <w:tcW w:type="dxa" w:w="2300"/>
            <w:tcBorders>
              <w:top w:val="single" w:color="B7CFC9" w:sz="4"/>
              <w:left w:val="single" w:color="B7CFC9" w:sz="4"/>
              <w:bottom w:val="single" w:color="B7CFC9" w:sz="4"/>
              <w:right w:val="single" w:color="B7CFC9" w:sz="4"/>
            </w:tcBorders>
            <w:tcMar>
              <w:top w:type="dxa" w:w="70"/>
              <w:left w:type="dxa" w:w="110"/>
              <w:bottom w:type="dxa" w:w="70"/>
              <w:right w:type="dxa" w:w="110"/>
            </w:tcMar>
          </w:tcPr>
          <w:p>
            <w:pPr>
              <w:spacing w:after="40" w:line="260"/>
            </w:pPr>
            <w:r>
              <w:rPr>
                <w:rFonts w:ascii="Calibri" w:cs="Calibri" w:eastAsia="Calibri" w:hAnsi="Calibri"/>
                <w:b w:val="false"/>
                <w:bCs w:val="false"/>
                <w:sz w:val="20"/>
                <w:szCs w:val="20"/>
              </w:rPr>
              <w:t xml:space="preserve">Hospital management</w:t>
            </w:r>
          </w:p>
        </w:tc>
        <w:tc>
          <w:tcPr>
            <w:tcW w:type="dxa" w:w="2700"/>
            <w:tcBorders>
              <w:top w:val="single" w:color="B7CFC9" w:sz="4"/>
              <w:left w:val="single" w:color="B7CFC9" w:sz="4"/>
              <w:bottom w:val="single" w:color="B7CFC9" w:sz="4"/>
              <w:right w:val="single" w:color="B7CFC9" w:sz="4"/>
            </w:tcBorders>
            <w:tcMar>
              <w:top w:type="dxa" w:w="70"/>
              <w:left w:type="dxa" w:w="110"/>
              <w:bottom w:type="dxa" w:w="70"/>
              <w:right w:type="dxa" w:w="110"/>
            </w:tcMar>
          </w:tcPr>
          <w:p>
            <w:pPr>
              <w:spacing w:after="40" w:line="260"/>
            </w:pPr>
            <w:r>
              <w:rPr>
                <w:rFonts w:ascii="Calibri" w:cs="Calibri" w:eastAsia="Calibri" w:hAnsi="Calibri"/>
                <w:b w:val="false"/>
                <w:bCs w:val="false"/>
                <w:sz w:val="20"/>
                <w:szCs w:val="20"/>
              </w:rPr>
              <w:t xml:space="preserve">Review prescribing of X3 and X10. Fix data gaps (weight, specialty, cost, discharge).</w:t>
            </w:r>
          </w:p>
        </w:tc>
        <w:tc>
          <w:tcPr>
            <w:tcW w:type="dxa" w:w="2526"/>
            <w:tcBorders>
              <w:top w:val="single" w:color="B7CFC9" w:sz="4"/>
              <w:left w:val="single" w:color="B7CFC9" w:sz="4"/>
              <w:bottom w:val="single" w:color="B7CFC9" w:sz="4"/>
              <w:right w:val="single" w:color="B7CFC9" w:sz="4"/>
            </w:tcBorders>
            <w:tcMar>
              <w:top w:type="dxa" w:w="70"/>
              <w:left w:type="dxa" w:w="110"/>
              <w:bottom w:type="dxa" w:w="70"/>
              <w:right w:type="dxa" w:w="110"/>
            </w:tcMar>
          </w:tcPr>
          <w:p>
            <w:pPr>
              <w:spacing w:after="40" w:line="260"/>
            </w:pPr>
            <w:r>
              <w:rPr>
                <w:rFonts w:ascii="Calibri" w:cs="Calibri" w:eastAsia="Calibri" w:hAnsi="Calibri"/>
                <w:b w:val="false"/>
                <w:bCs w:val="false"/>
                <w:sz w:val="20"/>
                <w:szCs w:val="20"/>
              </w:rPr>
              <w:t xml:space="preserve">Medium Q9, Basic Q8, data quality checks.</w:t>
            </w:r>
          </w:p>
        </w:tc>
      </w:tr>
    </w:tbl>
    <w:p>
      <w:pPr>
        <w:spacing w:after="60"/>
      </w:pPr>
      <w:r>
        <w:rPr>
          <w:rFonts w:ascii="Calibri" w:cs="Calibri" w:eastAsia="Calibri" w:hAnsi="Calibri"/>
          <w:sz w:val="21"/>
          <w:szCs w:val="21"/>
        </w:rPr>
        <w:t xml:space="preserve"/>
      </w:r>
    </w:p>
    <w:p>
      <w:pPr>
        <w:pStyle w:val="Heading3"/>
        <w:keepNext/>
        <w:spacing w:after="90" w:before="220"/>
      </w:pPr>
      <w:r>
        <w:rPr>
          <w:rFonts w:ascii="Calibri" w:cs="Calibri" w:eastAsia="Calibri" w:hAnsi="Calibri"/>
          <w:b/>
          <w:bCs/>
          <w:color w:val="185953"/>
          <w:sz w:val="22"/>
          <w:szCs w:val="22"/>
        </w:rPr>
        <w:t xml:space="preserve">Estimated impact (planning scenarios, not results)</w:t>
      </w:r>
    </w:p>
    <w:p>
      <w:pPr>
        <w:spacing w:after="120" w:line="276"/>
      </w:pPr>
      <w:r>
        <w:rPr>
          <w:rFonts w:ascii="Calibri" w:cs="Calibri" w:eastAsia="Calibri" w:hAnsi="Calibri"/>
          <w:sz w:val="21"/>
          <w:szCs w:val="21"/>
        </w:rPr>
        <w:t xml:space="preserve">The reduction percentages are assumptions. This dataset can show how many readmissions each assumption would avoid, but not how well the program works.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2400"/>
        <w:gridCol w:w="2426"/>
      </w:tblGrid>
      <w:tr>
        <w:trPr>
          <w:cantSplit/>
          <w:tblHeader/>
        </w:trPr>
        <w:tc>
          <w:tcPr>
            <w:tcW w:type="dxa" w:w="4200"/>
            <w:tcBorders>
              <w:top w:val="single" w:color="B7CFC9" w:sz="4"/>
              <w:left w:val="single" w:color="B7CFC9" w:sz="4"/>
              <w:bottom w:val="single" w:color="B7CFC9" w:sz="4"/>
              <w:right w:val="single" w:color="B7CFC9" w:sz="4"/>
            </w:tcBorders>
            <w:shd w:fill="185953" w:color="auto" w:val="clear"/>
            <w:tcMar>
              <w:top w:type="dxa" w:w="70"/>
              <w:left w:type="dxa" w:w="110"/>
              <w:bottom w:type="dxa" w:w="70"/>
              <w:right w:type="dxa" w:w="110"/>
            </w:tcMar>
          </w:tcPr>
          <w:p>
            <w:pPr>
              <w:spacing w:after="40" w:line="260"/>
            </w:pPr>
            <w:r>
              <w:rPr>
                <w:rFonts w:ascii="Calibri" w:cs="Calibri" w:eastAsia="Calibri" w:hAnsi="Calibri"/>
                <w:b/>
                <w:bCs/>
                <w:color w:val="FFFFFF"/>
                <w:sz w:val="20"/>
                <w:szCs w:val="20"/>
              </w:rPr>
              <w:t xml:space="preserve">Scenario</w:t>
            </w:r>
          </w:p>
        </w:tc>
        <w:tc>
          <w:tcPr>
            <w:tcW w:type="dxa" w:w="2400"/>
            <w:tcBorders>
              <w:top w:val="single" w:color="B7CFC9" w:sz="4"/>
              <w:left w:val="single" w:color="B7CFC9" w:sz="4"/>
              <w:bottom w:val="single" w:color="B7CFC9" w:sz="4"/>
              <w:right w:val="single" w:color="B7CFC9" w:sz="4"/>
            </w:tcBorders>
            <w:shd w:fill="185953" w:color="auto" w:val="clear"/>
            <w:tcMar>
              <w:top w:type="dxa" w:w="70"/>
              <w:left w:type="dxa" w:w="110"/>
              <w:bottom w:type="dxa" w:w="70"/>
              <w:right w:type="dxa" w:w="110"/>
            </w:tcMar>
          </w:tcPr>
          <w:p>
            <w:pPr>
              <w:spacing w:after="40" w:line="260"/>
            </w:pPr>
            <w:r>
              <w:rPr>
                <w:rFonts w:ascii="Calibri" w:cs="Calibri" w:eastAsia="Calibri" w:hAnsi="Calibri"/>
                <w:b/>
                <w:bCs/>
                <w:color w:val="FFFFFF"/>
                <w:sz w:val="20"/>
                <w:szCs w:val="20"/>
              </w:rPr>
              <w:t xml:space="preserve">Readmissions avoided</w:t>
            </w:r>
          </w:p>
        </w:tc>
        <w:tc>
          <w:tcPr>
            <w:tcW w:type="dxa" w:w="2426"/>
            <w:tcBorders>
              <w:top w:val="single" w:color="B7CFC9" w:sz="4"/>
              <w:left w:val="single" w:color="B7CFC9" w:sz="4"/>
              <w:bottom w:val="single" w:color="B7CFC9" w:sz="4"/>
              <w:right w:val="single" w:color="B7CFC9" w:sz="4"/>
            </w:tcBorders>
            <w:shd w:fill="185953" w:color="auto" w:val="clear"/>
            <w:tcMar>
              <w:top w:type="dxa" w:w="70"/>
              <w:left w:type="dxa" w:w="110"/>
              <w:bottom w:type="dxa" w:w="70"/>
              <w:right w:type="dxa" w:w="110"/>
            </w:tcMar>
          </w:tcPr>
          <w:p>
            <w:pPr>
              <w:spacing w:after="40" w:line="260"/>
            </w:pPr>
            <w:r>
              <w:rPr>
                <w:rFonts w:ascii="Calibri" w:cs="Calibri" w:eastAsia="Calibri" w:hAnsi="Calibri"/>
                <w:b/>
                <w:bCs/>
                <w:color w:val="FFFFFF"/>
                <w:sz w:val="20"/>
                <w:szCs w:val="20"/>
              </w:rPr>
              <w:t xml:space="preserve">New overall rate</w:t>
            </w:r>
          </w:p>
        </w:tc>
      </w:tr>
      <w:tr>
        <w:trPr>
          <w:cantSplit/>
          <w:tblHeader w:val="false"/>
        </w:trPr>
        <w:tc>
          <w:tcPr>
            <w:tcW w:type="dxa" w:w="4200"/>
            <w:tcBorders>
              <w:top w:val="single" w:color="B7CFC9" w:sz="4"/>
              <w:left w:val="single" w:color="B7CFC9" w:sz="4"/>
              <w:bottom w:val="single" w:color="B7CFC9" w:sz="4"/>
              <w:right w:val="single" w:color="B7CFC9" w:sz="4"/>
            </w:tcBorders>
            <w:tcMar>
              <w:top w:type="dxa" w:w="70"/>
              <w:left w:type="dxa" w:w="110"/>
              <w:bottom w:type="dxa" w:w="70"/>
              <w:right w:type="dxa" w:w="110"/>
            </w:tcMar>
          </w:tcPr>
          <w:p>
            <w:pPr>
              <w:spacing w:after="40" w:line="260"/>
            </w:pPr>
            <w:r>
              <w:rPr>
                <w:rFonts w:ascii="Calibri" w:cs="Calibri" w:eastAsia="Calibri" w:hAnsi="Calibri"/>
                <w:b w:val="false"/>
                <w:bCs w:val="false"/>
                <w:sz w:val="20"/>
                <w:szCs w:val="20"/>
              </w:rPr>
              <w:t xml:space="preserve">Tier 1 cuts readmissions by 10%</w:t>
            </w:r>
          </w:p>
        </w:tc>
        <w:tc>
          <w:tcPr>
            <w:tcW w:type="dxa" w:w="2400"/>
            <w:tcBorders>
              <w:top w:val="single" w:color="B7CFC9" w:sz="4"/>
              <w:left w:val="single" w:color="B7CFC9" w:sz="4"/>
              <w:bottom w:val="single" w:color="B7CFC9" w:sz="4"/>
              <w:right w:val="single" w:color="B7CFC9" w:sz="4"/>
            </w:tcBorders>
            <w:tcMar>
              <w:top w:type="dxa" w:w="70"/>
              <w:left w:type="dxa" w:w="110"/>
              <w:bottom w:type="dxa" w:w="70"/>
              <w:right w:type="dxa" w:w="110"/>
            </w:tcMar>
          </w:tcPr>
          <w:p>
            <w:pPr>
              <w:spacing w:after="40" w:line="260"/>
            </w:pPr>
            <w:r>
              <w:rPr>
                <w:rFonts w:ascii="Calibri" w:cs="Calibri" w:eastAsia="Calibri" w:hAnsi="Calibri"/>
                <w:b w:val="false"/>
                <w:bCs w:val="false"/>
                <w:sz w:val="20"/>
                <w:szCs w:val="20"/>
              </w:rPr>
              <w:t xml:space="preserve">about 282</w:t>
            </w:r>
          </w:p>
        </w:tc>
        <w:tc>
          <w:tcPr>
            <w:tcW w:type="dxa" w:w="2426"/>
            <w:tcBorders>
              <w:top w:val="single" w:color="B7CFC9" w:sz="4"/>
              <w:left w:val="single" w:color="B7CFC9" w:sz="4"/>
              <w:bottom w:val="single" w:color="B7CFC9" w:sz="4"/>
              <w:right w:val="single" w:color="B7CFC9" w:sz="4"/>
            </w:tcBorders>
            <w:tcMar>
              <w:top w:type="dxa" w:w="70"/>
              <w:left w:type="dxa" w:w="110"/>
              <w:bottom w:type="dxa" w:w="70"/>
              <w:right w:type="dxa" w:w="110"/>
            </w:tcMar>
          </w:tcPr>
          <w:p>
            <w:pPr>
              <w:spacing w:after="40" w:line="260"/>
            </w:pPr>
            <w:r>
              <w:rPr>
                <w:rFonts w:ascii="Calibri" w:cs="Calibri" w:eastAsia="Calibri" w:hAnsi="Calibri"/>
                <w:b w:val="false"/>
                <w:bCs w:val="false"/>
                <w:sz w:val="20"/>
                <w:szCs w:val="20"/>
              </w:rPr>
              <w:t xml:space="preserve">45.6% (from 46.2%)</w:t>
            </w:r>
          </w:p>
        </w:tc>
      </w:tr>
      <w:tr>
        <w:trPr>
          <w:cantSplit/>
          <w:tblHeader w:val="false"/>
        </w:trPr>
        <w:tc>
          <w:tcPr>
            <w:tcW w:type="dxa" w:w="4200"/>
            <w:tcBorders>
              <w:top w:val="single" w:color="B7CFC9" w:sz="4"/>
              <w:left w:val="single" w:color="B7CFC9" w:sz="4"/>
              <w:bottom w:val="single" w:color="B7CFC9" w:sz="4"/>
              <w:right w:val="single" w:color="B7CFC9" w:sz="4"/>
            </w:tcBorders>
            <w:tcMar>
              <w:top w:type="dxa" w:w="70"/>
              <w:left w:type="dxa" w:w="110"/>
              <w:bottom w:type="dxa" w:w="70"/>
              <w:right w:type="dxa" w:w="110"/>
            </w:tcMar>
          </w:tcPr>
          <w:p>
            <w:pPr>
              <w:spacing w:after="40" w:line="260"/>
            </w:pPr>
            <w:r>
              <w:rPr>
                <w:rFonts w:ascii="Calibri" w:cs="Calibri" w:eastAsia="Calibri" w:hAnsi="Calibri"/>
                <w:b w:val="false"/>
                <w:bCs w:val="false"/>
                <w:sz w:val="20"/>
                <w:szCs w:val="20"/>
              </w:rPr>
              <w:t xml:space="preserve">Tier 1 cuts readmissions by 20%</w:t>
            </w:r>
          </w:p>
        </w:tc>
        <w:tc>
          <w:tcPr>
            <w:tcW w:type="dxa" w:w="2400"/>
            <w:tcBorders>
              <w:top w:val="single" w:color="B7CFC9" w:sz="4"/>
              <w:left w:val="single" w:color="B7CFC9" w:sz="4"/>
              <w:bottom w:val="single" w:color="B7CFC9" w:sz="4"/>
              <w:right w:val="single" w:color="B7CFC9" w:sz="4"/>
            </w:tcBorders>
            <w:tcMar>
              <w:top w:type="dxa" w:w="70"/>
              <w:left w:type="dxa" w:w="110"/>
              <w:bottom w:type="dxa" w:w="70"/>
              <w:right w:type="dxa" w:w="110"/>
            </w:tcMar>
          </w:tcPr>
          <w:p>
            <w:pPr>
              <w:spacing w:after="40" w:line="260"/>
            </w:pPr>
            <w:r>
              <w:rPr>
                <w:rFonts w:ascii="Calibri" w:cs="Calibri" w:eastAsia="Calibri" w:hAnsi="Calibri"/>
                <w:b w:val="false"/>
                <w:bCs w:val="false"/>
                <w:sz w:val="20"/>
                <w:szCs w:val="20"/>
              </w:rPr>
              <w:t xml:space="preserve">about 564</w:t>
            </w:r>
          </w:p>
        </w:tc>
        <w:tc>
          <w:tcPr>
            <w:tcW w:type="dxa" w:w="2426"/>
            <w:tcBorders>
              <w:top w:val="single" w:color="B7CFC9" w:sz="4"/>
              <w:left w:val="single" w:color="B7CFC9" w:sz="4"/>
              <w:bottom w:val="single" w:color="B7CFC9" w:sz="4"/>
              <w:right w:val="single" w:color="B7CFC9" w:sz="4"/>
            </w:tcBorders>
            <w:tcMar>
              <w:top w:type="dxa" w:w="70"/>
              <w:left w:type="dxa" w:w="110"/>
              <w:bottom w:type="dxa" w:w="70"/>
              <w:right w:type="dxa" w:w="110"/>
            </w:tcMar>
          </w:tcPr>
          <w:p>
            <w:pPr>
              <w:spacing w:after="40" w:line="260"/>
            </w:pPr>
            <w:r>
              <w:rPr>
                <w:rFonts w:ascii="Calibri" w:cs="Calibri" w:eastAsia="Calibri" w:hAnsi="Calibri"/>
                <w:b w:val="false"/>
                <w:bCs w:val="false"/>
                <w:sz w:val="20"/>
                <w:szCs w:val="20"/>
              </w:rPr>
              <w:t xml:space="preserve">45.1%</w:t>
            </w:r>
          </w:p>
        </w:tc>
      </w:tr>
      <w:tr>
        <w:trPr>
          <w:cantSplit/>
          <w:tblHeader w:val="false"/>
        </w:trPr>
        <w:tc>
          <w:tcPr>
            <w:tcW w:type="dxa" w:w="4200"/>
            <w:tcBorders>
              <w:top w:val="single" w:color="B7CFC9" w:sz="4"/>
              <w:left w:val="single" w:color="B7CFC9" w:sz="4"/>
              <w:bottom w:val="single" w:color="B7CFC9" w:sz="4"/>
              <w:right w:val="single" w:color="B7CFC9" w:sz="4"/>
            </w:tcBorders>
            <w:tcMar>
              <w:top w:type="dxa" w:w="70"/>
              <w:left w:type="dxa" w:w="110"/>
              <w:bottom w:type="dxa" w:w="70"/>
              <w:right w:type="dxa" w:w="110"/>
            </w:tcMar>
          </w:tcPr>
          <w:p>
            <w:pPr>
              <w:spacing w:after="40" w:line="260"/>
            </w:pPr>
            <w:r>
              <w:rPr>
                <w:rFonts w:ascii="Calibri" w:cs="Calibri" w:eastAsia="Calibri" w:hAnsi="Calibri"/>
                <w:b w:val="false"/>
                <w:bCs w:val="false"/>
                <w:sz w:val="20"/>
                <w:szCs w:val="20"/>
              </w:rPr>
              <w:t xml:space="preserve">Tier 1 cuts readmissions by 30%</w:t>
            </w:r>
          </w:p>
        </w:tc>
        <w:tc>
          <w:tcPr>
            <w:tcW w:type="dxa" w:w="2400"/>
            <w:tcBorders>
              <w:top w:val="single" w:color="B7CFC9" w:sz="4"/>
              <w:left w:val="single" w:color="B7CFC9" w:sz="4"/>
              <w:bottom w:val="single" w:color="B7CFC9" w:sz="4"/>
              <w:right w:val="single" w:color="B7CFC9" w:sz="4"/>
            </w:tcBorders>
            <w:tcMar>
              <w:top w:type="dxa" w:w="70"/>
              <w:left w:type="dxa" w:w="110"/>
              <w:bottom w:type="dxa" w:w="70"/>
              <w:right w:type="dxa" w:w="110"/>
            </w:tcMar>
          </w:tcPr>
          <w:p>
            <w:pPr>
              <w:spacing w:after="40" w:line="260"/>
            </w:pPr>
            <w:r>
              <w:rPr>
                <w:rFonts w:ascii="Calibri" w:cs="Calibri" w:eastAsia="Calibri" w:hAnsi="Calibri"/>
                <w:b w:val="false"/>
                <w:bCs w:val="false"/>
                <w:sz w:val="20"/>
                <w:szCs w:val="20"/>
              </w:rPr>
              <w:t xml:space="preserve">about 846</w:t>
            </w:r>
          </w:p>
        </w:tc>
        <w:tc>
          <w:tcPr>
            <w:tcW w:type="dxa" w:w="2426"/>
            <w:tcBorders>
              <w:top w:val="single" w:color="B7CFC9" w:sz="4"/>
              <w:left w:val="single" w:color="B7CFC9" w:sz="4"/>
              <w:bottom w:val="single" w:color="B7CFC9" w:sz="4"/>
              <w:right w:val="single" w:color="B7CFC9" w:sz="4"/>
            </w:tcBorders>
            <w:tcMar>
              <w:top w:type="dxa" w:w="70"/>
              <w:left w:type="dxa" w:w="110"/>
              <w:bottom w:type="dxa" w:w="70"/>
              <w:right w:type="dxa" w:w="110"/>
            </w:tcMar>
          </w:tcPr>
          <w:p>
            <w:pPr>
              <w:spacing w:after="40" w:line="260"/>
            </w:pPr>
            <w:r>
              <w:rPr>
                <w:rFonts w:ascii="Calibri" w:cs="Calibri" w:eastAsia="Calibri" w:hAnsi="Calibri"/>
                <w:b w:val="false"/>
                <w:bCs w:val="false"/>
                <w:sz w:val="20"/>
                <w:szCs w:val="20"/>
              </w:rPr>
              <w:t xml:space="preserve">44.5%</w:t>
            </w:r>
          </w:p>
        </w:tc>
      </w:tr>
      <w:tr>
        <w:trPr>
          <w:cantSplit/>
          <w:tblHeader w:val="false"/>
        </w:trPr>
        <w:tc>
          <w:tcPr>
            <w:tcW w:type="dxa" w:w="4200"/>
            <w:tcBorders>
              <w:top w:val="single" w:color="B7CFC9" w:sz="4"/>
              <w:left w:val="single" w:color="B7CFC9" w:sz="4"/>
              <w:bottom w:val="single" w:color="B7CFC9" w:sz="4"/>
              <w:right w:val="single" w:color="B7CFC9" w:sz="4"/>
            </w:tcBorders>
            <w:tcMar>
              <w:top w:type="dxa" w:w="70"/>
              <w:left w:type="dxa" w:w="110"/>
              <w:bottom w:type="dxa" w:w="70"/>
              <w:right w:type="dxa" w:w="110"/>
            </w:tcMar>
          </w:tcPr>
          <w:p>
            <w:pPr>
              <w:spacing w:after="40" w:line="260"/>
            </w:pPr>
            <w:r>
              <w:rPr>
                <w:rFonts w:ascii="Calibri" w:cs="Calibri" w:eastAsia="Calibri" w:hAnsi="Calibri"/>
                <w:b w:val="false"/>
                <w:bCs w:val="false"/>
                <w:sz w:val="20"/>
                <w:szCs w:val="20"/>
              </w:rPr>
              <w:t xml:space="preserve">Tier 1 at 20% and Tier 2 at 5%</w:t>
            </w:r>
          </w:p>
        </w:tc>
        <w:tc>
          <w:tcPr>
            <w:tcW w:type="dxa" w:w="2400"/>
            <w:tcBorders>
              <w:top w:val="single" w:color="B7CFC9" w:sz="4"/>
              <w:left w:val="single" w:color="B7CFC9" w:sz="4"/>
              <w:bottom w:val="single" w:color="B7CFC9" w:sz="4"/>
              <w:right w:val="single" w:color="B7CFC9" w:sz="4"/>
            </w:tcBorders>
            <w:tcMar>
              <w:top w:type="dxa" w:w="70"/>
              <w:left w:type="dxa" w:w="110"/>
              <w:bottom w:type="dxa" w:w="70"/>
              <w:right w:type="dxa" w:w="110"/>
            </w:tcMar>
          </w:tcPr>
          <w:p>
            <w:pPr>
              <w:spacing w:after="40" w:line="260"/>
            </w:pPr>
            <w:r>
              <w:rPr>
                <w:rFonts w:ascii="Calibri" w:cs="Calibri" w:eastAsia="Calibri" w:hAnsi="Calibri"/>
                <w:b w:val="false"/>
                <w:bCs w:val="false"/>
                <w:sz w:val="20"/>
                <w:szCs w:val="20"/>
              </w:rPr>
              <w:t xml:space="preserve">about 1,233</w:t>
            </w:r>
          </w:p>
        </w:tc>
        <w:tc>
          <w:tcPr>
            <w:tcW w:type="dxa" w:w="2426"/>
            <w:tcBorders>
              <w:top w:val="single" w:color="B7CFC9" w:sz="4"/>
              <w:left w:val="single" w:color="B7CFC9" w:sz="4"/>
              <w:bottom w:val="single" w:color="B7CFC9" w:sz="4"/>
              <w:right w:val="single" w:color="B7CFC9" w:sz="4"/>
            </w:tcBorders>
            <w:tcMar>
              <w:top w:type="dxa" w:w="70"/>
              <w:left w:type="dxa" w:w="110"/>
              <w:bottom w:type="dxa" w:w="70"/>
              <w:right w:type="dxa" w:w="110"/>
            </w:tcMar>
          </w:tcPr>
          <w:p>
            <w:pPr>
              <w:spacing w:after="40" w:line="260"/>
            </w:pPr>
            <w:r>
              <w:rPr>
                <w:rFonts w:ascii="Calibri" w:cs="Calibri" w:eastAsia="Calibri" w:hAnsi="Calibri"/>
                <w:b w:val="false"/>
                <w:bCs w:val="false"/>
                <w:sz w:val="20"/>
                <w:szCs w:val="20"/>
              </w:rPr>
              <w:t xml:space="preserve">43.7%</w:t>
            </w:r>
          </w:p>
        </w:tc>
      </w:tr>
    </w:tbl>
    <w:p>
      <w:pPr>
        <w:spacing w:after="120" w:before="100"/>
      </w:pPr>
      <w:r>
        <w:rPr>
          <w:rFonts w:ascii="Calibri" w:cs="Calibri" w:eastAsia="Calibri" w:hAnsi="Calibri"/>
          <w:sz w:val="21"/>
          <w:szCs w:val="21"/>
        </w:rPr>
        <w:t xml:space="preserve">Recommendation: pilot the program on the highest-risk band and the medication-change and diabetes groups for a few months, measure the actual reduction, and expand if results hold. Limitation: the reduction rates are assumed, and the data has no cost, discharge or follow-up information.</w:t>
      </w:r>
    </w:p>
    <w:p>
      <w:pPr>
        <w:pStyle w:val="Heading1"/>
        <w:spacing w:after="160" w:before="360"/>
      </w:pPr>
      <w:r>
        <w:rPr>
          <w:rFonts w:ascii="Calibri" w:cs="Calibri" w:eastAsia="Calibri" w:hAnsi="Calibri"/>
          <w:b/>
          <w:bCs/>
          <w:color w:val="185953"/>
          <w:sz w:val="32"/>
          <w:szCs w:val="32"/>
        </w:rPr>
        <w:t xml:space="preserve">8. Consolidated recommendations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700"/>
        <w:gridCol w:w="5826"/>
      </w:tblGrid>
      <w:tr>
        <w:trPr>
          <w:cantSplit/>
          <w:tblHeader/>
        </w:trPr>
        <w:tc>
          <w:tcPr>
            <w:tcW w:type="dxa" w:w="500"/>
            <w:tcBorders>
              <w:top w:val="single" w:color="B7CFC9" w:sz="4"/>
              <w:left w:val="single" w:color="B7CFC9" w:sz="4"/>
              <w:bottom w:val="single" w:color="B7CFC9" w:sz="4"/>
              <w:right w:val="single" w:color="B7CFC9" w:sz="4"/>
            </w:tcBorders>
            <w:shd w:fill="185953" w:color="auto" w:val="clear"/>
            <w:tcMar>
              <w:top w:type="dxa" w:w="70"/>
              <w:left w:type="dxa" w:w="110"/>
              <w:bottom w:type="dxa" w:w="70"/>
              <w:right w:type="dxa" w:w="110"/>
            </w:tcMar>
          </w:tcPr>
          <w:p>
            <w:pPr>
              <w:spacing w:after="40" w:line="260"/>
            </w:pPr>
            <w:r>
              <w:rPr>
                <w:rFonts w:ascii="Calibri" w:cs="Calibri" w:eastAsia="Calibri" w:hAnsi="Calibri"/>
                <w:b/>
                <w:bCs/>
                <w:color w:val="FFFFFF"/>
                <w:sz w:val="20"/>
                <w:szCs w:val="20"/>
              </w:rPr>
              <w:t xml:space="preserve">#</w:t>
            </w:r>
          </w:p>
        </w:tc>
        <w:tc>
          <w:tcPr>
            <w:tcW w:type="dxa" w:w="2700"/>
            <w:tcBorders>
              <w:top w:val="single" w:color="B7CFC9" w:sz="4"/>
              <w:left w:val="single" w:color="B7CFC9" w:sz="4"/>
              <w:bottom w:val="single" w:color="B7CFC9" w:sz="4"/>
              <w:right w:val="single" w:color="B7CFC9" w:sz="4"/>
            </w:tcBorders>
            <w:shd w:fill="185953" w:color="auto" w:val="clear"/>
            <w:tcMar>
              <w:top w:type="dxa" w:w="70"/>
              <w:left w:type="dxa" w:w="110"/>
              <w:bottom w:type="dxa" w:w="70"/>
              <w:right w:type="dxa" w:w="110"/>
            </w:tcMar>
          </w:tcPr>
          <w:p>
            <w:pPr>
              <w:spacing w:after="40" w:line="260"/>
            </w:pPr>
            <w:r>
              <w:rPr>
                <w:rFonts w:ascii="Calibri" w:cs="Calibri" w:eastAsia="Calibri" w:hAnsi="Calibri"/>
                <w:b/>
                <w:bCs/>
                <w:color w:val="FFFFFF"/>
                <w:sz w:val="20"/>
                <w:szCs w:val="20"/>
              </w:rPr>
              <w:t xml:space="preserve">Area</w:t>
            </w:r>
          </w:p>
        </w:tc>
        <w:tc>
          <w:tcPr>
            <w:tcW w:type="dxa" w:w="5826"/>
            <w:tcBorders>
              <w:top w:val="single" w:color="B7CFC9" w:sz="4"/>
              <w:left w:val="single" w:color="B7CFC9" w:sz="4"/>
              <w:bottom w:val="single" w:color="B7CFC9" w:sz="4"/>
              <w:right w:val="single" w:color="B7CFC9" w:sz="4"/>
            </w:tcBorders>
            <w:shd w:fill="185953" w:color="auto" w:val="clear"/>
            <w:tcMar>
              <w:top w:type="dxa" w:w="70"/>
              <w:left w:type="dxa" w:w="110"/>
              <w:bottom w:type="dxa" w:w="70"/>
              <w:right w:type="dxa" w:w="110"/>
            </w:tcMar>
          </w:tcPr>
          <w:p>
            <w:pPr>
              <w:spacing w:after="40" w:line="260"/>
            </w:pPr>
            <w:r>
              <w:rPr>
                <w:rFonts w:ascii="Calibri" w:cs="Calibri" w:eastAsia="Calibri" w:hAnsi="Calibri"/>
                <w:b/>
                <w:bCs/>
                <w:color w:val="FFFFFF"/>
                <w:sz w:val="20"/>
                <w:szCs w:val="20"/>
              </w:rPr>
              <w:t xml:space="preserve">Recommendation</w:t>
            </w:r>
          </w:p>
        </w:tc>
      </w:tr>
      <w:tr>
        <w:trPr>
          <w:cantSplit/>
          <w:tblHeader w:val="false"/>
        </w:trPr>
        <w:tc>
          <w:tcPr>
            <w:tcW w:type="dxa" w:w="500"/>
            <w:tcBorders>
              <w:top w:val="single" w:color="B7CFC9" w:sz="4"/>
              <w:left w:val="single" w:color="B7CFC9" w:sz="4"/>
              <w:bottom w:val="single" w:color="B7CFC9" w:sz="4"/>
              <w:right w:val="single" w:color="B7CFC9" w:sz="4"/>
            </w:tcBorders>
            <w:tcMar>
              <w:top w:type="dxa" w:w="70"/>
              <w:left w:type="dxa" w:w="110"/>
              <w:bottom w:type="dxa" w:w="70"/>
              <w:right w:type="dxa" w:w="110"/>
            </w:tcMar>
          </w:tcPr>
          <w:p>
            <w:pPr>
              <w:spacing w:after="40" w:line="260"/>
            </w:pPr>
            <w:r>
              <w:rPr>
                <w:rFonts w:ascii="Calibri" w:cs="Calibri" w:eastAsia="Calibri" w:hAnsi="Calibri"/>
                <w:b w:val="false"/>
                <w:bCs w:val="false"/>
                <w:sz w:val="20"/>
                <w:szCs w:val="20"/>
              </w:rPr>
              <w:t xml:space="preserve">1</w:t>
            </w:r>
          </w:p>
        </w:tc>
        <w:tc>
          <w:tcPr>
            <w:tcW w:type="dxa" w:w="2700"/>
            <w:tcBorders>
              <w:top w:val="single" w:color="B7CFC9" w:sz="4"/>
              <w:left w:val="single" w:color="B7CFC9" w:sz="4"/>
              <w:bottom w:val="single" w:color="B7CFC9" w:sz="4"/>
              <w:right w:val="single" w:color="B7CFC9" w:sz="4"/>
            </w:tcBorders>
            <w:tcMar>
              <w:top w:type="dxa" w:w="70"/>
              <w:left w:type="dxa" w:w="110"/>
              <w:bottom w:type="dxa" w:w="70"/>
              <w:right w:type="dxa" w:w="110"/>
            </w:tcMar>
          </w:tcPr>
          <w:p>
            <w:pPr>
              <w:spacing w:after="40" w:line="260"/>
            </w:pPr>
            <w:r>
              <w:rPr>
                <w:rFonts w:ascii="Calibri" w:cs="Calibri" w:eastAsia="Calibri" w:hAnsi="Calibri"/>
                <w:b w:val="false"/>
                <w:bCs w:val="false"/>
                <w:sz w:val="20"/>
                <w:szCs w:val="20"/>
              </w:rPr>
              <w:t xml:space="preserve">Risk triage</w:t>
            </w:r>
          </w:p>
        </w:tc>
        <w:tc>
          <w:tcPr>
            <w:tcW w:type="dxa" w:w="5826"/>
            <w:tcBorders>
              <w:top w:val="single" w:color="B7CFC9" w:sz="4"/>
              <w:left w:val="single" w:color="B7CFC9" w:sz="4"/>
              <w:bottom w:val="single" w:color="B7CFC9" w:sz="4"/>
              <w:right w:val="single" w:color="B7CFC9" w:sz="4"/>
            </w:tcBorders>
            <w:tcMar>
              <w:top w:type="dxa" w:w="70"/>
              <w:left w:type="dxa" w:w="110"/>
              <w:bottom w:type="dxa" w:w="70"/>
              <w:right w:type="dxa" w:w="110"/>
            </w:tcMar>
          </w:tcPr>
          <w:p>
            <w:pPr>
              <w:spacing w:after="40" w:line="260"/>
            </w:pPr>
            <w:r>
              <w:rPr>
                <w:rFonts w:ascii="Calibri" w:cs="Calibri" w:eastAsia="Calibri" w:hAnsi="Calibri"/>
                <w:b w:val="false"/>
                <w:bCs w:val="false"/>
                <w:sz w:val="20"/>
                <w:szCs w:val="20"/>
              </w:rPr>
              <w:t xml:space="preserve">Score every patient at discharge and tier follow-up by score.</w:t>
            </w:r>
          </w:p>
        </w:tc>
      </w:tr>
      <w:tr>
        <w:trPr>
          <w:cantSplit/>
          <w:tblHeader w:val="false"/>
        </w:trPr>
        <w:tc>
          <w:tcPr>
            <w:tcW w:type="dxa" w:w="500"/>
            <w:tcBorders>
              <w:top w:val="single" w:color="B7CFC9" w:sz="4"/>
              <w:left w:val="single" w:color="B7CFC9" w:sz="4"/>
              <w:bottom w:val="single" w:color="B7CFC9" w:sz="4"/>
              <w:right w:val="single" w:color="B7CFC9" w:sz="4"/>
            </w:tcBorders>
            <w:tcMar>
              <w:top w:type="dxa" w:w="70"/>
              <w:left w:type="dxa" w:w="110"/>
              <w:bottom w:type="dxa" w:w="70"/>
              <w:right w:type="dxa" w:w="110"/>
            </w:tcMar>
          </w:tcPr>
          <w:p>
            <w:pPr>
              <w:spacing w:after="40" w:line="260"/>
            </w:pPr>
            <w:r>
              <w:rPr>
                <w:rFonts w:ascii="Calibri" w:cs="Calibri" w:eastAsia="Calibri" w:hAnsi="Calibri"/>
                <w:b w:val="false"/>
                <w:bCs w:val="false"/>
                <w:sz w:val="20"/>
                <w:szCs w:val="20"/>
              </w:rPr>
              <w:t xml:space="preserve">2</w:t>
            </w:r>
          </w:p>
        </w:tc>
        <w:tc>
          <w:tcPr>
            <w:tcW w:type="dxa" w:w="2700"/>
            <w:tcBorders>
              <w:top w:val="single" w:color="B7CFC9" w:sz="4"/>
              <w:left w:val="single" w:color="B7CFC9" w:sz="4"/>
              <w:bottom w:val="single" w:color="B7CFC9" w:sz="4"/>
              <w:right w:val="single" w:color="B7CFC9" w:sz="4"/>
            </w:tcBorders>
            <w:tcMar>
              <w:top w:type="dxa" w:w="70"/>
              <w:left w:type="dxa" w:w="110"/>
              <w:bottom w:type="dxa" w:w="70"/>
              <w:right w:type="dxa" w:w="110"/>
            </w:tcMar>
          </w:tcPr>
          <w:p>
            <w:pPr>
              <w:spacing w:after="40" w:line="260"/>
            </w:pPr>
            <w:r>
              <w:rPr>
                <w:rFonts w:ascii="Calibri" w:cs="Calibri" w:eastAsia="Calibri" w:hAnsi="Calibri"/>
                <w:b w:val="false"/>
                <w:bCs w:val="false"/>
                <w:sz w:val="20"/>
                <w:szCs w:val="20"/>
              </w:rPr>
              <w:t xml:space="preserve">Diabetes</w:t>
            </w:r>
          </w:p>
        </w:tc>
        <w:tc>
          <w:tcPr>
            <w:tcW w:type="dxa" w:w="5826"/>
            <w:tcBorders>
              <w:top w:val="single" w:color="B7CFC9" w:sz="4"/>
              <w:left w:val="single" w:color="B7CFC9" w:sz="4"/>
              <w:bottom w:val="single" w:color="B7CFC9" w:sz="4"/>
              <w:right w:val="single" w:color="B7CFC9" w:sz="4"/>
            </w:tcBorders>
            <w:tcMar>
              <w:top w:type="dxa" w:w="70"/>
              <w:left w:type="dxa" w:w="110"/>
              <w:bottom w:type="dxa" w:w="70"/>
              <w:right w:type="dxa" w:w="110"/>
            </w:tcMar>
          </w:tcPr>
          <w:p>
            <w:pPr>
              <w:spacing w:after="40" w:line="260"/>
            </w:pPr>
            <w:r>
              <w:rPr>
                <w:rFonts w:ascii="Calibri" w:cs="Calibri" w:eastAsia="Calibri" w:hAnsi="Calibri"/>
                <w:b w:val="false"/>
                <w:bCs w:val="false"/>
                <w:sz w:val="20"/>
                <w:szCs w:val="20"/>
              </w:rPr>
              <w:t xml:space="preserve">Create a diabetes readmission pathway: medication review, education, early outpatient visit.</w:t>
            </w:r>
          </w:p>
        </w:tc>
      </w:tr>
      <w:tr>
        <w:trPr>
          <w:cantSplit/>
          <w:tblHeader w:val="false"/>
        </w:trPr>
        <w:tc>
          <w:tcPr>
            <w:tcW w:type="dxa" w:w="500"/>
            <w:tcBorders>
              <w:top w:val="single" w:color="B7CFC9" w:sz="4"/>
              <w:left w:val="single" w:color="B7CFC9" w:sz="4"/>
              <w:bottom w:val="single" w:color="B7CFC9" w:sz="4"/>
              <w:right w:val="single" w:color="B7CFC9" w:sz="4"/>
            </w:tcBorders>
            <w:tcMar>
              <w:top w:type="dxa" w:w="70"/>
              <w:left w:type="dxa" w:w="110"/>
              <w:bottom w:type="dxa" w:w="70"/>
              <w:right w:type="dxa" w:w="110"/>
            </w:tcMar>
          </w:tcPr>
          <w:p>
            <w:pPr>
              <w:spacing w:after="40" w:line="260"/>
            </w:pPr>
            <w:r>
              <w:rPr>
                <w:rFonts w:ascii="Calibri" w:cs="Calibri" w:eastAsia="Calibri" w:hAnsi="Calibri"/>
                <w:b w:val="false"/>
                <w:bCs w:val="false"/>
                <w:sz w:val="20"/>
                <w:szCs w:val="20"/>
              </w:rPr>
              <w:t xml:space="preserve">3</w:t>
            </w:r>
          </w:p>
        </w:tc>
        <w:tc>
          <w:tcPr>
            <w:tcW w:type="dxa" w:w="2700"/>
            <w:tcBorders>
              <w:top w:val="single" w:color="B7CFC9" w:sz="4"/>
              <w:left w:val="single" w:color="B7CFC9" w:sz="4"/>
              <w:bottom w:val="single" w:color="B7CFC9" w:sz="4"/>
              <w:right w:val="single" w:color="B7CFC9" w:sz="4"/>
            </w:tcBorders>
            <w:tcMar>
              <w:top w:type="dxa" w:w="70"/>
              <w:left w:type="dxa" w:w="110"/>
              <w:bottom w:type="dxa" w:w="70"/>
              <w:right w:type="dxa" w:w="110"/>
            </w:tcMar>
          </w:tcPr>
          <w:p>
            <w:pPr>
              <w:spacing w:after="40" w:line="260"/>
            </w:pPr>
            <w:r>
              <w:rPr>
                <w:rFonts w:ascii="Calibri" w:cs="Calibri" w:eastAsia="Calibri" w:hAnsi="Calibri"/>
                <w:b w:val="false"/>
                <w:bCs w:val="false"/>
                <w:sz w:val="20"/>
                <w:szCs w:val="20"/>
              </w:rPr>
              <w:t xml:space="preserve">Medication safety</w:t>
            </w:r>
          </w:p>
        </w:tc>
        <w:tc>
          <w:tcPr>
            <w:tcW w:type="dxa" w:w="5826"/>
            <w:tcBorders>
              <w:top w:val="single" w:color="B7CFC9" w:sz="4"/>
              <w:left w:val="single" w:color="B7CFC9" w:sz="4"/>
              <w:bottom w:val="single" w:color="B7CFC9" w:sz="4"/>
              <w:right w:val="single" w:color="B7CFC9" w:sz="4"/>
            </w:tcBorders>
            <w:tcMar>
              <w:top w:type="dxa" w:w="70"/>
              <w:left w:type="dxa" w:w="110"/>
              <w:bottom w:type="dxa" w:w="70"/>
              <w:right w:type="dxa" w:w="110"/>
            </w:tcMar>
          </w:tcPr>
          <w:p>
            <w:pPr>
              <w:spacing w:after="40" w:line="260"/>
            </w:pPr>
            <w:r>
              <w:rPr>
                <w:rFonts w:ascii="Calibri" w:cs="Calibri" w:eastAsia="Calibri" w:hAnsi="Calibri"/>
                <w:b w:val="false"/>
                <w:bCs w:val="false"/>
                <w:sz w:val="20"/>
                <w:szCs w:val="20"/>
              </w:rPr>
              <w:t xml:space="preserve">Pharmacist review for medication changes and for patients on high medication counts.</w:t>
            </w:r>
          </w:p>
        </w:tc>
      </w:tr>
      <w:tr>
        <w:trPr>
          <w:cantSplit/>
          <w:tblHeader w:val="false"/>
        </w:trPr>
        <w:tc>
          <w:tcPr>
            <w:tcW w:type="dxa" w:w="500"/>
            <w:tcBorders>
              <w:top w:val="single" w:color="B7CFC9" w:sz="4"/>
              <w:left w:val="single" w:color="B7CFC9" w:sz="4"/>
              <w:bottom w:val="single" w:color="B7CFC9" w:sz="4"/>
              <w:right w:val="single" w:color="B7CFC9" w:sz="4"/>
            </w:tcBorders>
            <w:tcMar>
              <w:top w:type="dxa" w:w="70"/>
              <w:left w:type="dxa" w:w="110"/>
              <w:bottom w:type="dxa" w:w="70"/>
              <w:right w:type="dxa" w:w="110"/>
            </w:tcMar>
          </w:tcPr>
          <w:p>
            <w:pPr>
              <w:spacing w:after="40" w:line="260"/>
            </w:pPr>
            <w:r>
              <w:rPr>
                <w:rFonts w:ascii="Calibri" w:cs="Calibri" w:eastAsia="Calibri" w:hAnsi="Calibri"/>
                <w:b w:val="false"/>
                <w:bCs w:val="false"/>
                <w:sz w:val="20"/>
                <w:szCs w:val="20"/>
              </w:rPr>
              <w:t xml:space="preserve">4</w:t>
            </w:r>
          </w:p>
        </w:tc>
        <w:tc>
          <w:tcPr>
            <w:tcW w:type="dxa" w:w="2700"/>
            <w:tcBorders>
              <w:top w:val="single" w:color="B7CFC9" w:sz="4"/>
              <w:left w:val="single" w:color="B7CFC9" w:sz="4"/>
              <w:bottom w:val="single" w:color="B7CFC9" w:sz="4"/>
              <w:right w:val="single" w:color="B7CFC9" w:sz="4"/>
            </w:tcBorders>
            <w:tcMar>
              <w:top w:type="dxa" w:w="70"/>
              <w:left w:type="dxa" w:w="110"/>
              <w:bottom w:type="dxa" w:w="70"/>
              <w:right w:type="dxa" w:w="110"/>
            </w:tcMar>
          </w:tcPr>
          <w:p>
            <w:pPr>
              <w:spacing w:after="40" w:line="260"/>
            </w:pPr>
            <w:r>
              <w:rPr>
                <w:rFonts w:ascii="Calibri" w:cs="Calibri" w:eastAsia="Calibri" w:hAnsi="Calibri"/>
                <w:b w:val="false"/>
                <w:bCs w:val="false"/>
                <w:sz w:val="20"/>
                <w:szCs w:val="20"/>
              </w:rPr>
              <w:t xml:space="preserve">Prior use</w:t>
            </w:r>
          </w:p>
        </w:tc>
        <w:tc>
          <w:tcPr>
            <w:tcW w:type="dxa" w:w="5826"/>
            <w:tcBorders>
              <w:top w:val="single" w:color="B7CFC9" w:sz="4"/>
              <w:left w:val="single" w:color="B7CFC9" w:sz="4"/>
              <w:bottom w:val="single" w:color="B7CFC9" w:sz="4"/>
              <w:right w:val="single" w:color="B7CFC9" w:sz="4"/>
            </w:tcBorders>
            <w:tcMar>
              <w:top w:type="dxa" w:w="70"/>
              <w:left w:type="dxa" w:w="110"/>
              <w:bottom w:type="dxa" w:w="70"/>
              <w:right w:type="dxa" w:w="110"/>
            </w:tcMar>
          </w:tcPr>
          <w:p>
            <w:pPr>
              <w:spacing w:after="40" w:line="260"/>
            </w:pPr>
            <w:r>
              <w:rPr>
                <w:rFonts w:ascii="Calibri" w:cs="Calibri" w:eastAsia="Calibri" w:hAnsi="Calibri"/>
                <w:b w:val="false"/>
                <w:bCs w:val="false"/>
                <w:sz w:val="20"/>
                <w:szCs w:val="20"/>
              </w:rPr>
              <w:t xml:space="preserve">Flag any prior emergency visit, and escalate three or more.</w:t>
            </w:r>
          </w:p>
        </w:tc>
      </w:tr>
      <w:tr>
        <w:trPr>
          <w:cantSplit/>
          <w:tblHeader w:val="false"/>
        </w:trPr>
        <w:tc>
          <w:tcPr>
            <w:tcW w:type="dxa" w:w="500"/>
            <w:tcBorders>
              <w:top w:val="single" w:color="B7CFC9" w:sz="4"/>
              <w:left w:val="single" w:color="B7CFC9" w:sz="4"/>
              <w:bottom w:val="single" w:color="B7CFC9" w:sz="4"/>
              <w:right w:val="single" w:color="B7CFC9" w:sz="4"/>
            </w:tcBorders>
            <w:tcMar>
              <w:top w:type="dxa" w:w="70"/>
              <w:left w:type="dxa" w:w="110"/>
              <w:bottom w:type="dxa" w:w="70"/>
              <w:right w:type="dxa" w:w="110"/>
            </w:tcMar>
          </w:tcPr>
          <w:p>
            <w:pPr>
              <w:spacing w:after="40" w:line="260"/>
            </w:pPr>
            <w:r>
              <w:rPr>
                <w:rFonts w:ascii="Calibri" w:cs="Calibri" w:eastAsia="Calibri" w:hAnsi="Calibri"/>
                <w:b w:val="false"/>
                <w:bCs w:val="false"/>
                <w:sz w:val="20"/>
                <w:szCs w:val="20"/>
              </w:rPr>
              <w:t xml:space="preserve">5</w:t>
            </w:r>
          </w:p>
        </w:tc>
        <w:tc>
          <w:tcPr>
            <w:tcW w:type="dxa" w:w="2700"/>
            <w:tcBorders>
              <w:top w:val="single" w:color="B7CFC9" w:sz="4"/>
              <w:left w:val="single" w:color="B7CFC9" w:sz="4"/>
              <w:bottom w:val="single" w:color="B7CFC9" w:sz="4"/>
              <w:right w:val="single" w:color="B7CFC9" w:sz="4"/>
            </w:tcBorders>
            <w:tcMar>
              <w:top w:type="dxa" w:w="70"/>
              <w:left w:type="dxa" w:w="110"/>
              <w:bottom w:type="dxa" w:w="70"/>
              <w:right w:type="dxa" w:w="110"/>
            </w:tcMar>
          </w:tcPr>
          <w:p>
            <w:pPr>
              <w:spacing w:after="40" w:line="260"/>
            </w:pPr>
            <w:r>
              <w:rPr>
                <w:rFonts w:ascii="Calibri" w:cs="Calibri" w:eastAsia="Calibri" w:hAnsi="Calibri"/>
                <w:b w:val="false"/>
                <w:bCs w:val="false"/>
                <w:sz w:val="20"/>
                <w:szCs w:val="20"/>
              </w:rPr>
              <w:t xml:space="preserve">Capacity planning</w:t>
            </w:r>
          </w:p>
        </w:tc>
        <w:tc>
          <w:tcPr>
            <w:tcW w:type="dxa" w:w="5826"/>
            <w:tcBorders>
              <w:top w:val="single" w:color="B7CFC9" w:sz="4"/>
              <w:left w:val="single" w:color="B7CFC9" w:sz="4"/>
              <w:bottom w:val="single" w:color="B7CFC9" w:sz="4"/>
              <w:right w:val="single" w:color="B7CFC9" w:sz="4"/>
            </w:tcBorders>
            <w:tcMar>
              <w:top w:type="dxa" w:w="70"/>
              <w:left w:type="dxa" w:w="110"/>
              <w:bottom w:type="dxa" w:w="70"/>
              <w:right w:type="dxa" w:w="110"/>
            </w:tcMar>
          </w:tcPr>
          <w:p>
            <w:pPr>
              <w:spacing w:after="40" w:line="260"/>
            </w:pPr>
            <w:r>
              <w:rPr>
                <w:rFonts w:ascii="Calibri" w:cs="Calibri" w:eastAsia="Calibri" w:hAnsi="Calibri"/>
                <w:b w:val="false"/>
                <w:bCs w:val="false"/>
                <w:sz w:val="20"/>
                <w:szCs w:val="20"/>
              </w:rPr>
              <w:t xml:space="preserve">Use age, comorbidity and specialty patterns to plan beds and staffing, especially rehabilitation and psychiatry.</w:t>
            </w:r>
          </w:p>
        </w:tc>
      </w:tr>
      <w:tr>
        <w:trPr>
          <w:cantSplit/>
          <w:tblHeader w:val="false"/>
        </w:trPr>
        <w:tc>
          <w:tcPr>
            <w:tcW w:type="dxa" w:w="500"/>
            <w:tcBorders>
              <w:top w:val="single" w:color="B7CFC9" w:sz="4"/>
              <w:left w:val="single" w:color="B7CFC9" w:sz="4"/>
              <w:bottom w:val="single" w:color="B7CFC9" w:sz="4"/>
              <w:right w:val="single" w:color="B7CFC9" w:sz="4"/>
            </w:tcBorders>
            <w:tcMar>
              <w:top w:type="dxa" w:w="70"/>
              <w:left w:type="dxa" w:w="110"/>
              <w:bottom w:type="dxa" w:w="70"/>
              <w:right w:type="dxa" w:w="110"/>
            </w:tcMar>
          </w:tcPr>
          <w:p>
            <w:pPr>
              <w:spacing w:after="40" w:line="260"/>
            </w:pPr>
            <w:r>
              <w:rPr>
                <w:rFonts w:ascii="Calibri" w:cs="Calibri" w:eastAsia="Calibri" w:hAnsi="Calibri"/>
                <w:b w:val="false"/>
                <w:bCs w:val="false"/>
                <w:sz w:val="20"/>
                <w:szCs w:val="20"/>
              </w:rPr>
              <w:t xml:space="preserve">6</w:t>
            </w:r>
          </w:p>
        </w:tc>
        <w:tc>
          <w:tcPr>
            <w:tcW w:type="dxa" w:w="2700"/>
            <w:tcBorders>
              <w:top w:val="single" w:color="B7CFC9" w:sz="4"/>
              <w:left w:val="single" w:color="B7CFC9" w:sz="4"/>
              <w:bottom w:val="single" w:color="B7CFC9" w:sz="4"/>
              <w:right w:val="single" w:color="B7CFC9" w:sz="4"/>
            </w:tcBorders>
            <w:tcMar>
              <w:top w:type="dxa" w:w="70"/>
              <w:left w:type="dxa" w:w="110"/>
              <w:bottom w:type="dxa" w:w="70"/>
              <w:right w:type="dxa" w:w="110"/>
            </w:tcMar>
          </w:tcPr>
          <w:p>
            <w:pPr>
              <w:spacing w:after="40" w:line="260"/>
            </w:pPr>
            <w:r>
              <w:rPr>
                <w:rFonts w:ascii="Calibri" w:cs="Calibri" w:eastAsia="Calibri" w:hAnsi="Calibri"/>
                <w:b w:val="false"/>
                <w:bCs w:val="false"/>
                <w:sz w:val="20"/>
                <w:szCs w:val="20"/>
              </w:rPr>
              <w:t xml:space="preserve">Prescribing</w:t>
            </w:r>
          </w:p>
        </w:tc>
        <w:tc>
          <w:tcPr>
            <w:tcW w:type="dxa" w:w="5826"/>
            <w:tcBorders>
              <w:top w:val="single" w:color="B7CFC9" w:sz="4"/>
              <w:left w:val="single" w:color="B7CFC9" w:sz="4"/>
              <w:bottom w:val="single" w:color="B7CFC9" w:sz="4"/>
              <w:right w:val="single" w:color="B7CFC9" w:sz="4"/>
            </w:tcBorders>
            <w:tcMar>
              <w:top w:type="dxa" w:w="70"/>
              <w:left w:type="dxa" w:w="110"/>
              <w:bottom w:type="dxa" w:w="70"/>
              <w:right w:type="dxa" w:w="110"/>
            </w:tcMar>
          </w:tcPr>
          <w:p>
            <w:pPr>
              <w:spacing w:after="40" w:line="260"/>
            </w:pPr>
            <w:r>
              <w:rPr>
                <w:rFonts w:ascii="Calibri" w:cs="Calibri" w:eastAsia="Calibri" w:hAnsi="Calibri"/>
                <w:b w:val="false"/>
                <w:bCs w:val="false"/>
                <w:sz w:val="20"/>
                <w:szCs w:val="20"/>
              </w:rPr>
              <w:t xml:space="preserve">Review X20 practice in Emergency/Trauma and study X3 and X10 for lower readmission.</w:t>
            </w:r>
          </w:p>
        </w:tc>
      </w:tr>
      <w:tr>
        <w:trPr>
          <w:cantSplit/>
          <w:tblHeader w:val="false"/>
        </w:trPr>
        <w:tc>
          <w:tcPr>
            <w:tcW w:type="dxa" w:w="500"/>
            <w:tcBorders>
              <w:top w:val="single" w:color="B7CFC9" w:sz="4"/>
              <w:left w:val="single" w:color="B7CFC9" w:sz="4"/>
              <w:bottom w:val="single" w:color="B7CFC9" w:sz="4"/>
              <w:right w:val="single" w:color="B7CFC9" w:sz="4"/>
            </w:tcBorders>
            <w:tcMar>
              <w:top w:type="dxa" w:w="70"/>
              <w:left w:type="dxa" w:w="110"/>
              <w:bottom w:type="dxa" w:w="70"/>
              <w:right w:type="dxa" w:w="110"/>
            </w:tcMar>
          </w:tcPr>
          <w:p>
            <w:pPr>
              <w:spacing w:after="40" w:line="260"/>
            </w:pPr>
            <w:r>
              <w:rPr>
                <w:rFonts w:ascii="Calibri" w:cs="Calibri" w:eastAsia="Calibri" w:hAnsi="Calibri"/>
                <w:b w:val="false"/>
                <w:bCs w:val="false"/>
                <w:sz w:val="20"/>
                <w:szCs w:val="20"/>
              </w:rPr>
              <w:t xml:space="preserve">7</w:t>
            </w:r>
          </w:p>
        </w:tc>
        <w:tc>
          <w:tcPr>
            <w:tcW w:type="dxa" w:w="2700"/>
            <w:tcBorders>
              <w:top w:val="single" w:color="B7CFC9" w:sz="4"/>
              <w:left w:val="single" w:color="B7CFC9" w:sz="4"/>
              <w:bottom w:val="single" w:color="B7CFC9" w:sz="4"/>
              <w:right w:val="single" w:color="B7CFC9" w:sz="4"/>
            </w:tcBorders>
            <w:tcMar>
              <w:top w:type="dxa" w:w="70"/>
              <w:left w:type="dxa" w:w="110"/>
              <w:bottom w:type="dxa" w:w="70"/>
              <w:right w:type="dxa" w:w="110"/>
            </w:tcMar>
          </w:tcPr>
          <w:p>
            <w:pPr>
              <w:spacing w:after="40" w:line="260"/>
            </w:pPr>
            <w:r>
              <w:rPr>
                <w:rFonts w:ascii="Calibri" w:cs="Calibri" w:eastAsia="Calibri" w:hAnsi="Calibri"/>
                <w:b w:val="false"/>
                <w:bCs w:val="false"/>
                <w:sz w:val="20"/>
                <w:szCs w:val="20"/>
              </w:rPr>
              <w:t xml:space="preserve">Data quality</w:t>
            </w:r>
          </w:p>
        </w:tc>
        <w:tc>
          <w:tcPr>
            <w:tcW w:type="dxa" w:w="5826"/>
            <w:tcBorders>
              <w:top w:val="single" w:color="B7CFC9" w:sz="4"/>
              <w:left w:val="single" w:color="B7CFC9" w:sz="4"/>
              <w:bottom w:val="single" w:color="B7CFC9" w:sz="4"/>
              <w:right w:val="single" w:color="B7CFC9" w:sz="4"/>
            </w:tcBorders>
            <w:tcMar>
              <w:top w:type="dxa" w:w="70"/>
              <w:left w:type="dxa" w:w="110"/>
              <w:bottom w:type="dxa" w:w="70"/>
              <w:right w:type="dxa" w:w="110"/>
            </w:tcMar>
          </w:tcPr>
          <w:p>
            <w:pPr>
              <w:spacing w:after="40" w:line="260"/>
            </w:pPr>
            <w:r>
              <w:rPr>
                <w:rFonts w:ascii="Calibri" w:cs="Calibri" w:eastAsia="Calibri" w:hAnsi="Calibri"/>
                <w:b w:val="false"/>
                <w:bCs w:val="false"/>
                <w:sz w:val="20"/>
                <w:szCs w:val="20"/>
              </w:rPr>
              <w:t xml:space="preserve">Make weight mandatory, reduce unknown specialty and race, and add dates, discharge disposition, cost, satisfaction and socioeconomic fields.</w:t>
            </w:r>
          </w:p>
        </w:tc>
      </w:tr>
    </w:tbl>
    <w:p>
      <w:pPr>
        <w:pStyle w:val="Heading1"/>
        <w:spacing w:after="160" w:before="360"/>
      </w:pPr>
      <w:r>
        <w:rPr>
          <w:rFonts w:ascii="Calibri" w:cs="Calibri" w:eastAsia="Calibri" w:hAnsi="Calibri"/>
          <w:b/>
          <w:bCs/>
          <w:color w:val="185953"/>
          <w:sz w:val="32"/>
          <w:szCs w:val="32"/>
        </w:rPr>
        <w:t xml:space="preserve">9. Limitations</w:t>
      </w:r>
    </w:p>
    <w:p>
      <w:pPr>
        <w:pStyle w:val="ListParagraph"/>
        <w:numPr>
          <w:ilvl w:val="0"/>
          <w:numId w:val="2"/>
        </w:numPr>
        <w:spacing w:after="70" w:line="270"/>
      </w:pPr>
      <w:r>
        <w:rPr>
          <w:rFonts w:ascii="Calibri" w:cs="Calibri" w:eastAsia="Calibri" w:hAnsi="Calibri"/>
          <w:sz w:val="21"/>
          <w:szCs w:val="21"/>
        </w:rPr>
        <w:t xml:space="preserve">All findings are associations, not proof of cause. Sicker patients often receive more tests, medications and visits, and also return more often.</w:t>
      </w:r>
    </w:p>
    <w:p>
      <w:pPr>
        <w:pStyle w:val="ListParagraph"/>
        <w:numPr>
          <w:ilvl w:val="0"/>
          <w:numId w:val="2"/>
        </w:numPr>
        <w:spacing w:after="70" w:line="270"/>
      </w:pPr>
      <w:r>
        <w:rPr>
          <w:rFonts w:ascii="Calibri" w:cs="Calibri" w:eastAsia="Calibri" w:hAnsi="Calibri"/>
          <w:sz w:val="21"/>
          <w:szCs w:val="21"/>
        </w:rPr>
        <w:t xml:space="preserve">Medication names are anonymised (X1 to X25), so drug-level conclusions cannot be tied to specific drugs.</w:t>
      </w:r>
    </w:p>
    <w:p>
      <w:pPr>
        <w:pStyle w:val="ListParagraph"/>
        <w:numPr>
          <w:ilvl w:val="0"/>
          <w:numId w:val="2"/>
        </w:numPr>
        <w:spacing w:after="70" w:line="270"/>
      </w:pPr>
      <w:r>
        <w:rPr>
          <w:rFonts w:ascii="Calibri" w:cs="Calibri" w:eastAsia="Calibri" w:hAnsi="Calibri"/>
          <w:sz w:val="21"/>
          <w:szCs w:val="21"/>
        </w:rPr>
        <w:t xml:space="preserve">No date, discharge, mortality, cost, satisfaction or socioeconomic fields exist, so six brief questions could not be answered and two only in part.</w:t>
      </w:r>
    </w:p>
    <w:p>
      <w:pPr>
        <w:pStyle w:val="ListParagraph"/>
        <w:numPr>
          <w:ilvl w:val="0"/>
          <w:numId w:val="2"/>
        </w:numPr>
        <w:spacing w:after="70" w:line="270"/>
      </w:pPr>
      <w:r>
        <w:rPr>
          <w:rFonts w:ascii="Calibri" w:cs="Calibri" w:eastAsia="Calibri" w:hAnsi="Calibri"/>
          <w:sz w:val="21"/>
          <w:szCs w:val="21"/>
        </w:rPr>
        <w:t xml:space="preserve">Weight is 96.8% missing, and the weighed group is not representative. Specialty is unknown for 49% of encounters.</w:t>
      </w:r>
    </w:p>
    <w:p>
      <w:pPr>
        <w:pStyle w:val="ListParagraph"/>
        <w:numPr>
          <w:ilvl w:val="0"/>
          <w:numId w:val="2"/>
        </w:numPr>
        <w:spacing w:after="70" w:line="270"/>
      </w:pPr>
      <w:r>
        <w:rPr>
          <w:rFonts w:ascii="Calibri" w:cs="Calibri" w:eastAsia="Calibri" w:hAnsi="Calibri"/>
          <w:sz w:val="21"/>
          <w:szCs w:val="21"/>
        </w:rPr>
        <w:t xml:space="preserve">The risk score and segments are rule-based Excel tools, checked on the same data used to build them, with no held-out test or accuracy measure. Logistic regression or decision trees in Python would be the natural next step.</w:t>
      </w:r>
    </w:p>
    <w:p>
      <w:pPr>
        <w:pStyle w:val="ListParagraph"/>
        <w:numPr>
          <w:ilvl w:val="0"/>
          <w:numId w:val="2"/>
        </w:numPr>
        <w:spacing w:after="70" w:line="270"/>
      </w:pPr>
      <w:r>
        <w:rPr>
          <w:rFonts w:ascii="Calibri" w:cs="Calibri" w:eastAsia="Calibri" w:hAnsi="Calibri"/>
          <w:sz w:val="21"/>
          <w:szCs w:val="21"/>
        </w:rPr>
        <w:t xml:space="preserve">Several comparisons rest on small groups, which are flagged in each answer and not interpreted.</w:t>
      </w:r>
    </w:p>
    <w:sectPr>
      <w:headerReference w:type="default" r:id="rId7"/>
      <w:footerReference w:type="default" r:id="rId8"/>
      <w:pgSz w:w="11906" w:h="16838"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7"/>
        <w:szCs w:val="17"/>
      </w:rPr>
      <w:t xml:space="preserve">Page </w:t>
    </w:r>
    <w:r>
      <w:rPr>
        <w:rFonts w:ascii="Calibri" w:cs="Calibri" w:eastAsia="Calibri" w:hAnsi="Calibri"/>
        <w:color w:val="888888"/>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88888"/>
        <w:sz w:val="17"/>
        <w:szCs w:val="17"/>
      </w:rPr>
      <w:t xml:space="preserve">Hospital Readmission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85953"/>
      <w:sz w:val="32"/>
      <w:szCs w:val="32"/>
    </w:rPr>
  </w:style>
  <w:style w:type="paragraph" w:styleId="Heading2">
    <w:name w:val="Heading 2"/>
    <w:basedOn w:val="Normal"/>
    <w:next w:val="Normal"/>
    <w:qFormat/>
    <w:pPr>
      <w:spacing w:after="120" w:before="280"/>
      <w:outlineLvl w:val="1"/>
    </w:pPr>
    <w:rPr>
      <w:rFonts w:ascii="Calibri" w:cs="Calibri" w:eastAsia="Calibri" w:hAnsi="Calibri"/>
      <w:b/>
      <w:bCs/>
      <w:color w:val="1F7363"/>
      <w:sz w:val="25"/>
      <w:szCs w:val="25"/>
    </w:rPr>
  </w:style>
  <w:style w:type="paragraph" w:styleId="Heading3">
    <w:name w:val="Heading 3"/>
    <w:basedOn w:val="Normal"/>
    <w:next w:val="Normal"/>
    <w:qFormat/>
    <w:pPr>
      <w:spacing w:after="90" w:before="220"/>
      <w:outlineLvl w:val="2"/>
    </w:pPr>
    <w:rPr>
      <w:rFonts w:ascii="Calibri" w:cs="Calibri" w:eastAsia="Calibri" w:hAnsi="Calibri"/>
      <w:b/>
      <w:bCs/>
      <w:color w:val="18595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e69214d5d1722e0b417096a35e799ede8ae8b2f.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Hospital Readmission Analysis</dc:title>
  <dc:creator>Md Ziaul Haque</dc:creator>
  <cp:lastModifiedBy>Un-named</cp:lastModifiedBy>
  <cp:revision>1</cp:revision>
  <dcterms:created xsi:type="dcterms:W3CDTF">2026-10-24T02:34:29.562Z</dcterms:created>
  <dcterms:modified xsi:type="dcterms:W3CDTF">2026-10-24T02:34:29.563Z</dcterms:modified>
</cp:coreProperties>
</file>

<file path=docProps/custom.xml><?xml version="1.0" encoding="utf-8"?>
<Properties xmlns="http://schemas.openxmlformats.org/officeDocument/2006/custom-properties" xmlns:vt="http://schemas.openxmlformats.org/officeDocument/2006/docPropsVTypes"/>
</file>