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60" w:after="100"/>
      </w:pPr>
      <w:r>
        <w:rPr>
          <w:b/>
          <w:color w:val="0F6B78"/>
          <w:sz w:val="20"/>
        </w:rPr>
        <w:t>ADECCO HR ANALYTICS</w:t>
      </w:r>
    </w:p>
    <w:p>
      <w:pPr>
        <w:pStyle w:val="Title"/>
      </w:pPr>
      <w:r>
        <w:t>Employee Attrition</w:t>
        <w:br/>
        <w:t>&amp; Workforce Insights</w:t>
      </w:r>
    </w:p>
    <w:p>
      <w:pPr>
        <w:spacing w:after="360"/>
      </w:pPr>
      <w:r>
        <w:rPr>
          <w:color w:val="64748B"/>
          <w:sz w:val="24"/>
        </w:rPr>
        <w:t>Excel analytics project report  |  IBM HR Employee Attrition case study</w:t>
      </w:r>
    </w:p>
    <w:p>
      <w:pPr>
        <w:spacing w:after="280"/>
        <w:pBdr>
          <w:bottom w:val="single" w:sz="20" w:space="1" w:color="2F75B5"/>
        </w:pBdr>
      </w:pPr>
    </w:p>
    <w:p>
      <w:pPr>
        <w:pStyle w:val="Heading2"/>
      </w:pPr>
      <w:r>
        <w:t>Executive summary</w:t>
      </w:r>
    </w:p>
    <w:p>
      <w:r>
        <w:t>This project reviews employee attrition and selected workforce measures in a supplied HR case-study dataset. The workbook combines data checks, PivotTables, association calculations, and an interactive dashboard to show where attrition differs across employee groups.</w:t>
      </w:r>
    </w:p>
    <w:p>
      <w:r>
        <w:t>The dataset contains 1,470 employee records. Of these, 237 are marked as having left (16.12%) and 1,233 are marked as staying. The largest observed difference is by overtime status: attrition is 30.53% among employees recorded as working overtime and 10.44% among those not recorded as working overtime. This is a descriptive comparison and does not establish that overtime caused employees to leave.</w:t>
      </w:r>
    </w:p>
    <w:tbl>
      <w:tblPr>
        <w:tblW w:type="auto" w:w="0"/>
        <w:jc w:val="center"/>
        <w:tblLayout w:type="fixed"/>
        <w:tblLook w:firstColumn="1" w:firstRow="1" w:lastColumn="0" w:lastRow="0" w:noHBand="0" w:noVBand="1" w:val="04A0"/>
      </w:tblPr>
      <w:tblGrid>
        <w:gridCol w:w="1958"/>
        <w:gridCol w:w="1958"/>
        <w:gridCol w:w="1958"/>
        <w:gridCol w:w="1958"/>
        <w:gridCol w:w="1958"/>
      </w:tblGrid>
      <w:tr>
        <w:trPr>
          <w:tblHeader w:val="true"/>
          <w:cantSplit/>
        </w:trPr>
        <w:tc>
          <w:tcPr>
            <w:tcW w:type="dxa" w:w="2033"/>
            <w:shd w:fill="1F4E78"/>
            <w:vAlign w:val="center"/>
            <w:tcBorders>
              <w:top w:val="single" w:sz="4" w:color="FFFFFF"/>
              <w:left w:val="single" w:sz="4" w:color="FFFFFF"/>
              <w:bottom w:val="single" w:sz="4" w:color="FFFFFF"/>
              <w:right w:val="single" w:sz="4" w:color="FFFFFF"/>
              <w:insideH w:val="single" w:sz="4" w:color="FFFFFF"/>
              <w:insideV w:val="single" w:sz="4" w:color="FFFFFF"/>
            </w:tcBorders>
          </w:tcPr>
          <w:p>
            <w:pPr>
              <w:spacing w:after="0"/>
            </w:pPr>
            <w:r>
              <w:rPr>
                <w:rFonts w:ascii="Aptos" w:hAnsi="Aptos"/>
                <w:b/>
                <w:color w:val="FFFFFF"/>
                <w:sz w:val="16"/>
              </w:rPr>
              <w:t>1,470</w:t>
            </w:r>
          </w:p>
        </w:tc>
        <w:tc>
          <w:tcPr>
            <w:tcW w:type="dxa" w:w="2033"/>
            <w:shd w:fill="1F4E78"/>
            <w:vAlign w:val="center"/>
            <w:tcBorders>
              <w:top w:val="single" w:sz="4" w:color="FFFFFF"/>
              <w:left w:val="single" w:sz="4" w:color="FFFFFF"/>
              <w:bottom w:val="single" w:sz="4" w:color="FFFFFF"/>
              <w:right w:val="single" w:sz="4" w:color="FFFFFF"/>
              <w:insideH w:val="single" w:sz="4" w:color="FFFFFF"/>
              <w:insideV w:val="single" w:sz="4" w:color="FFFFFF"/>
            </w:tcBorders>
          </w:tcPr>
          <w:p>
            <w:pPr>
              <w:spacing w:after="0"/>
            </w:pPr>
            <w:r>
              <w:rPr>
                <w:rFonts w:ascii="Aptos" w:hAnsi="Aptos"/>
                <w:b/>
                <w:color w:val="FFFFFF"/>
                <w:sz w:val="16"/>
              </w:rPr>
              <w:t>237</w:t>
            </w:r>
          </w:p>
        </w:tc>
        <w:tc>
          <w:tcPr>
            <w:tcW w:type="dxa" w:w="2033"/>
            <w:shd w:fill="1F4E78"/>
            <w:vAlign w:val="center"/>
            <w:tcBorders>
              <w:top w:val="single" w:sz="4" w:color="FFFFFF"/>
              <w:left w:val="single" w:sz="4" w:color="FFFFFF"/>
              <w:bottom w:val="single" w:sz="4" w:color="FFFFFF"/>
              <w:right w:val="single" w:sz="4" w:color="FFFFFF"/>
              <w:insideH w:val="single" w:sz="4" w:color="FFFFFF"/>
              <w:insideV w:val="single" w:sz="4" w:color="FFFFFF"/>
            </w:tcBorders>
          </w:tcPr>
          <w:p>
            <w:pPr>
              <w:spacing w:after="0"/>
            </w:pPr>
            <w:r>
              <w:rPr>
                <w:rFonts w:ascii="Aptos" w:hAnsi="Aptos"/>
                <w:b/>
                <w:color w:val="FFFFFF"/>
                <w:sz w:val="16"/>
              </w:rPr>
              <w:t>16.12%</w:t>
            </w:r>
          </w:p>
        </w:tc>
        <w:tc>
          <w:tcPr>
            <w:tcW w:type="dxa" w:w="2033"/>
            <w:shd w:fill="1F4E78"/>
            <w:vAlign w:val="center"/>
            <w:tcBorders>
              <w:top w:val="single" w:sz="4" w:color="FFFFFF"/>
              <w:left w:val="single" w:sz="4" w:color="FFFFFF"/>
              <w:bottom w:val="single" w:sz="4" w:color="FFFFFF"/>
              <w:right w:val="single" w:sz="4" w:color="FFFFFF"/>
              <w:insideH w:val="single" w:sz="4" w:color="FFFFFF"/>
              <w:insideV w:val="single" w:sz="4" w:color="FFFFFF"/>
            </w:tcBorders>
          </w:tcPr>
          <w:p>
            <w:pPr>
              <w:spacing w:after="0"/>
            </w:pPr>
            <w:r>
              <w:rPr>
                <w:rFonts w:ascii="Aptos" w:hAnsi="Aptos"/>
                <w:b/>
                <w:color w:val="FFFFFF"/>
                <w:sz w:val="16"/>
              </w:rPr>
              <w:t>2.47 / 4</w:t>
            </w:r>
          </w:p>
        </w:tc>
        <w:tc>
          <w:tcPr>
            <w:tcW w:type="dxa" w:w="2033"/>
            <w:shd w:fill="1F4E78"/>
            <w:vAlign w:val="center"/>
            <w:tcBorders>
              <w:top w:val="single" w:sz="4" w:color="FFFFFF"/>
              <w:left w:val="single" w:sz="4" w:color="FFFFFF"/>
              <w:bottom w:val="single" w:sz="4" w:color="FFFFFF"/>
              <w:right w:val="single" w:sz="4" w:color="FFFFFF"/>
              <w:insideH w:val="single" w:sz="4" w:color="FFFFFF"/>
              <w:insideV w:val="single" w:sz="4" w:color="FFFFFF"/>
            </w:tcBorders>
          </w:tcPr>
          <w:p>
            <w:pPr>
              <w:spacing w:after="0"/>
            </w:pPr>
            <w:r>
              <w:rPr>
                <w:rFonts w:ascii="Aptos" w:hAnsi="Aptos"/>
                <w:b/>
                <w:color w:val="FFFFFF"/>
                <w:sz w:val="16"/>
              </w:rPr>
              <w:t>5.13 years</w:t>
            </w:r>
          </w:p>
        </w:tc>
      </w:tr>
      <w:tr>
        <w:trPr>
          <w:cantSplit/>
        </w:trPr>
        <w:tc>
          <w:tcPr>
            <w:tcW w:type="dxa" w:w="1958"/>
            <w:vAlign w:val="center"/>
            <w:tcBorders>
              <w:top w:val="single" w:sz="5" w:color="D6E0E8"/>
              <w:left w:val="single" w:sz="5" w:color="D6E0E8"/>
              <w:bottom w:val="single" w:sz="5" w:color="D6E0E8"/>
              <w:right w:val="single" w:sz="5" w:color="D6E0E8"/>
              <w:insideH w:val="single" w:sz="5" w:color="D6E0E8"/>
              <w:insideV w:val="single" w:sz="5" w:color="D6E0E8"/>
            </w:tcBorders>
          </w:tcPr>
          <w:p>
            <w:pPr>
              <w:spacing w:after="0" w:before="0"/>
            </w:pPr>
            <w:r>
              <w:rPr>
                <w:rFonts w:ascii="Aptos" w:hAnsi="Aptos"/>
                <w:sz w:val="16"/>
              </w:rPr>
              <w:t>Employees</w:t>
            </w:r>
          </w:p>
        </w:tc>
        <w:tc>
          <w:tcPr>
            <w:tcW w:type="dxa" w:w="1958"/>
            <w:vAlign w:val="center"/>
            <w:tcBorders>
              <w:top w:val="single" w:sz="5" w:color="D6E0E8"/>
              <w:left w:val="single" w:sz="5" w:color="D6E0E8"/>
              <w:bottom w:val="single" w:sz="5" w:color="D6E0E8"/>
              <w:right w:val="single" w:sz="5" w:color="D6E0E8"/>
              <w:insideH w:val="single" w:sz="5" w:color="D6E0E8"/>
              <w:insideV w:val="single" w:sz="5" w:color="D6E0E8"/>
            </w:tcBorders>
          </w:tcPr>
          <w:p>
            <w:pPr>
              <w:spacing w:after="0" w:before="0"/>
            </w:pPr>
            <w:r>
              <w:rPr>
                <w:rFonts w:ascii="Aptos" w:hAnsi="Aptos"/>
                <w:sz w:val="16"/>
              </w:rPr>
              <w:t>Attrition cases</w:t>
            </w:r>
          </w:p>
        </w:tc>
        <w:tc>
          <w:tcPr>
            <w:tcW w:type="dxa" w:w="1958"/>
            <w:vAlign w:val="center"/>
            <w:tcBorders>
              <w:top w:val="single" w:sz="5" w:color="D6E0E8"/>
              <w:left w:val="single" w:sz="5" w:color="D6E0E8"/>
              <w:bottom w:val="single" w:sz="5" w:color="D6E0E8"/>
              <w:right w:val="single" w:sz="5" w:color="D6E0E8"/>
              <w:insideH w:val="single" w:sz="5" w:color="D6E0E8"/>
              <w:insideV w:val="single" w:sz="5" w:color="D6E0E8"/>
            </w:tcBorders>
          </w:tcPr>
          <w:p>
            <w:pPr>
              <w:spacing w:after="0" w:before="0"/>
            </w:pPr>
            <w:r>
              <w:rPr>
                <w:rFonts w:ascii="Aptos" w:hAnsi="Aptos"/>
                <w:sz w:val="16"/>
              </w:rPr>
              <w:t>Overall attrition</w:t>
            </w:r>
          </w:p>
        </w:tc>
        <w:tc>
          <w:tcPr>
            <w:tcW w:type="dxa" w:w="1958"/>
            <w:vAlign w:val="center"/>
            <w:tcBorders>
              <w:top w:val="single" w:sz="5" w:color="D6E0E8"/>
              <w:left w:val="single" w:sz="5" w:color="D6E0E8"/>
              <w:bottom w:val="single" w:sz="5" w:color="D6E0E8"/>
              <w:right w:val="single" w:sz="5" w:color="D6E0E8"/>
              <w:insideH w:val="single" w:sz="5" w:color="D6E0E8"/>
              <w:insideV w:val="single" w:sz="5" w:color="D6E0E8"/>
            </w:tcBorders>
          </w:tcPr>
          <w:p>
            <w:pPr>
              <w:spacing w:after="0" w:before="0"/>
            </w:pPr>
            <w:r>
              <w:rPr>
                <w:rFonts w:ascii="Aptos" w:hAnsi="Aptos"/>
                <w:sz w:val="16"/>
              </w:rPr>
              <w:t>Leaver job satisfaction</w:t>
            </w:r>
          </w:p>
        </w:tc>
        <w:tc>
          <w:tcPr>
            <w:tcW w:type="dxa" w:w="1958"/>
            <w:vAlign w:val="center"/>
            <w:tcBorders>
              <w:top w:val="single" w:sz="5" w:color="D6E0E8"/>
              <w:left w:val="single" w:sz="5" w:color="D6E0E8"/>
              <w:bottom w:val="single" w:sz="5" w:color="D6E0E8"/>
              <w:right w:val="single" w:sz="5" w:color="D6E0E8"/>
              <w:insideH w:val="single" w:sz="5" w:color="D6E0E8"/>
              <w:insideV w:val="single" w:sz="5" w:color="D6E0E8"/>
            </w:tcBorders>
          </w:tcPr>
          <w:p>
            <w:pPr>
              <w:spacing w:after="0" w:before="0"/>
            </w:pPr>
            <w:r>
              <w:rPr>
                <w:rFonts w:ascii="Aptos" w:hAnsi="Aptos"/>
                <w:sz w:val="16"/>
              </w:rPr>
              <w:t>Leaver average tenure</w:t>
            </w:r>
          </w:p>
        </w:tc>
      </w:tr>
    </w:tbl>
    <w:p>
      <w:pPr>
        <w:spacing w:after="0"/>
      </w:pPr>
    </w:p>
    <w:p>
      <w:pPr>
        <w:pStyle w:val="Heading2"/>
      </w:pPr>
      <w:r>
        <w:t>Project question</w:t>
      </w:r>
    </w:p>
    <w:p>
      <w:r>
        <w:t>Which employee characteristics are associated with attrition and job satisfaction, and where could management investigate retention improvements?</w:t>
      </w:r>
    </w:p>
    <w:p>
      <w:pPr>
        <w:pStyle w:val="Heading2"/>
      </w:pPr>
      <w:r>
        <w:t>How to read this report</w:t>
      </w:r>
    </w:p>
    <w:p>
      <w:r>
        <w:t>Findings describe patterns in this dataset. They are useful for prioritizing questions for follow-up, but they do not identify individual employees at risk or prove why a person left. The file has no reporting-period field, so the 16.12% figure is an overall dataset share, not an annual rate or a trend over time.</w:t>
      </w:r>
    </w:p>
    <w:p>
      <w:r>
        <w:br w:type="page"/>
      </w:r>
    </w:p>
    <w:p>
      <w:pPr>
        <w:spacing w:after="40"/>
      </w:pPr>
      <w:r>
        <w:rPr>
          <w:b/>
          <w:color w:val="0F6B78"/>
          <w:sz w:val="16"/>
        </w:rPr>
        <w:t>01  |  DATA &amp; APPROACH</w:t>
      </w:r>
    </w:p>
    <w:p>
      <w:pPr>
        <w:pStyle w:val="Heading1"/>
      </w:pPr>
      <w:r>
        <w:t>Dataset, checks, and method</w:t>
      </w:r>
    </w:p>
    <w:p>
      <w:pPr>
        <w:spacing w:after="180"/>
      </w:pPr>
      <w:r>
        <w:rPr>
          <w:i/>
          <w:color w:val="64748B"/>
        </w:rPr>
        <w:t>A transparent foundation for interpreting the dashboard.</w:t>
      </w:r>
    </w:p>
    <w:p>
      <w:pPr>
        <w:pStyle w:val="Heading2"/>
      </w:pPr>
      <w:r>
        <w:t>Dataset and unit of analysis</w:t>
      </w:r>
    </w:p>
    <w:p>
      <w:r>
        <w:t>The analysis uses the user-provided WA_Fn-UseC_-HR-Employee-Attrition.csv case-study file. Each row represents one employee; EmployeeNumber is the employee-level identifier. The workbook preserves the source records on Raw_Data and formats the validated source range as the tblHR Excel Table.</w:t>
      </w:r>
    </w:p>
    <w:p>
      <w:pPr>
        <w:pStyle w:val="Heading2"/>
      </w:pPr>
      <w:r>
        <w:t>Data quality review</w:t>
      </w:r>
    </w:p>
    <w:tbl>
      <w:tblPr>
        <w:tblW w:type="auto" w:w="0"/>
        <w:jc w:val="center"/>
        <w:tblLayout w:type="fixed"/>
        <w:tblLook w:firstColumn="1" w:firstRow="1" w:lastColumn="0" w:lastRow="0" w:noHBand="0" w:noVBand="1" w:val="04A0"/>
      </w:tblPr>
      <w:tblGrid>
        <w:gridCol w:w="2232"/>
        <w:gridCol w:w="2232"/>
        <w:gridCol w:w="5328"/>
      </w:tblGrid>
      <w:tr>
        <w:trPr>
          <w:tblHeader w:val="true"/>
          <w:cantSplit/>
        </w:trPr>
        <w:tc>
          <w:tcPr>
            <w:tcW w:type="dxa" w:w="3389"/>
            <w:shd w:fill="1F4E78"/>
            <w:vAlign w:val="center"/>
            <w:tcBorders>
              <w:top w:val="single" w:sz="4" w:color="FFFFFF"/>
              <w:left w:val="single" w:sz="4" w:color="FFFFFF"/>
              <w:bottom w:val="single" w:sz="4" w:color="FFFFFF"/>
              <w:right w:val="single" w:sz="4" w:color="FFFFFF"/>
              <w:insideH w:val="single" w:sz="4" w:color="FFFFFF"/>
              <w:insideV w:val="single" w:sz="4" w:color="FFFFFF"/>
            </w:tcBorders>
          </w:tcPr>
          <w:p>
            <w:pPr>
              <w:spacing w:after="0"/>
            </w:pPr>
            <w:r>
              <w:rPr>
                <w:rFonts w:ascii="Aptos" w:hAnsi="Aptos"/>
                <w:b/>
                <w:color w:val="FFFFFF"/>
                <w:sz w:val="16"/>
              </w:rPr>
              <w:t>Review item</w:t>
            </w:r>
          </w:p>
        </w:tc>
        <w:tc>
          <w:tcPr>
            <w:tcW w:type="dxa" w:w="3389"/>
            <w:shd w:fill="1F4E78"/>
            <w:vAlign w:val="center"/>
            <w:tcBorders>
              <w:top w:val="single" w:sz="4" w:color="FFFFFF"/>
              <w:left w:val="single" w:sz="4" w:color="FFFFFF"/>
              <w:bottom w:val="single" w:sz="4" w:color="FFFFFF"/>
              <w:right w:val="single" w:sz="4" w:color="FFFFFF"/>
              <w:insideH w:val="single" w:sz="4" w:color="FFFFFF"/>
              <w:insideV w:val="single" w:sz="4" w:color="FFFFFF"/>
            </w:tcBorders>
          </w:tcPr>
          <w:p>
            <w:pPr>
              <w:spacing w:after="0"/>
            </w:pPr>
            <w:r>
              <w:rPr>
                <w:rFonts w:ascii="Aptos" w:hAnsi="Aptos"/>
                <w:b/>
                <w:color w:val="FFFFFF"/>
                <w:sz w:val="16"/>
              </w:rPr>
              <w:t>Result</w:t>
            </w:r>
          </w:p>
        </w:tc>
        <w:tc>
          <w:tcPr>
            <w:tcW w:type="dxa" w:w="3389"/>
            <w:shd w:fill="1F4E78"/>
            <w:vAlign w:val="center"/>
            <w:tcBorders>
              <w:top w:val="single" w:sz="4" w:color="FFFFFF"/>
              <w:left w:val="single" w:sz="4" w:color="FFFFFF"/>
              <w:bottom w:val="single" w:sz="4" w:color="FFFFFF"/>
              <w:right w:val="single" w:sz="4" w:color="FFFFFF"/>
              <w:insideH w:val="single" w:sz="4" w:color="FFFFFF"/>
              <w:insideV w:val="single" w:sz="4" w:color="FFFFFF"/>
            </w:tcBorders>
          </w:tcPr>
          <w:p>
            <w:pPr>
              <w:spacing w:after="0"/>
            </w:pPr>
            <w:r>
              <w:rPr>
                <w:rFonts w:ascii="Aptos" w:hAnsi="Aptos"/>
                <w:b/>
                <w:color w:val="FFFFFF"/>
                <w:sz w:val="16"/>
              </w:rPr>
              <w:t>Treatment / note</w:t>
            </w:r>
          </w:p>
        </w:tc>
      </w:tr>
      <w:tr>
        <w:trPr>
          <w:cantSplit/>
        </w:trPr>
        <w:tc>
          <w:tcPr>
            <w:tcW w:type="dxa" w:w="2232"/>
            <w:vAlign w:val="center"/>
            <w:tcBorders>
              <w:top w:val="single" w:sz="5" w:color="D6E0E8"/>
              <w:left w:val="single" w:sz="5" w:color="D6E0E8"/>
              <w:bottom w:val="single" w:sz="5" w:color="D6E0E8"/>
              <w:right w:val="single" w:sz="5" w:color="D6E0E8"/>
              <w:insideH w:val="single" w:sz="5" w:color="D6E0E8"/>
              <w:insideV w:val="single" w:sz="5" w:color="D6E0E8"/>
            </w:tcBorders>
          </w:tcPr>
          <w:p>
            <w:pPr>
              <w:spacing w:after="0" w:before="0"/>
            </w:pPr>
            <w:r>
              <w:rPr>
                <w:rFonts w:ascii="Aptos" w:hAnsi="Aptos"/>
                <w:sz w:val="16"/>
              </w:rPr>
              <w:t>Employee records and source columns</w:t>
            </w:r>
          </w:p>
        </w:tc>
        <w:tc>
          <w:tcPr>
            <w:tcW w:type="dxa" w:w="2232"/>
            <w:vAlign w:val="center"/>
            <w:tcBorders>
              <w:top w:val="single" w:sz="5" w:color="D6E0E8"/>
              <w:left w:val="single" w:sz="5" w:color="D6E0E8"/>
              <w:bottom w:val="single" w:sz="5" w:color="D6E0E8"/>
              <w:right w:val="single" w:sz="5" w:color="D6E0E8"/>
              <w:insideH w:val="single" w:sz="5" w:color="D6E0E8"/>
              <w:insideV w:val="single" w:sz="5" w:color="D6E0E8"/>
            </w:tcBorders>
          </w:tcPr>
          <w:p>
            <w:pPr>
              <w:spacing w:after="0" w:before="0"/>
            </w:pPr>
            <w:r>
              <w:rPr>
                <w:rFonts w:ascii="Aptos" w:hAnsi="Aptos"/>
                <w:sz w:val="16"/>
              </w:rPr>
              <w:t>1,470 records; 35 columns</w:t>
            </w:r>
          </w:p>
        </w:tc>
        <w:tc>
          <w:tcPr>
            <w:tcW w:type="dxa" w:w="5328"/>
            <w:vAlign w:val="center"/>
            <w:tcBorders>
              <w:top w:val="single" w:sz="5" w:color="D6E0E8"/>
              <w:left w:val="single" w:sz="5" w:color="D6E0E8"/>
              <w:bottom w:val="single" w:sz="5" w:color="D6E0E8"/>
              <w:right w:val="single" w:sz="5" w:color="D6E0E8"/>
              <w:insideH w:val="single" w:sz="5" w:color="D6E0E8"/>
              <w:insideV w:val="single" w:sz="5" w:color="D6E0E8"/>
            </w:tcBorders>
          </w:tcPr>
          <w:p>
            <w:pPr>
              <w:spacing w:after="0" w:before="0"/>
            </w:pPr>
            <w:r>
              <w:rPr>
                <w:rFonts w:ascii="Aptos" w:hAnsi="Aptos"/>
                <w:sz w:val="16"/>
              </w:rPr>
              <w:t>One employee per row; headers are unique.</w:t>
            </w:r>
          </w:p>
        </w:tc>
      </w:tr>
      <w:tr>
        <w:trPr>
          <w:cantSplit/>
        </w:trPr>
        <w:tc>
          <w:tcPr>
            <w:tcW w:type="dxa" w:w="2232"/>
            <w:vAlign w:val="center"/>
            <w:shd w:fill="F2F6FA"/>
            <w:tcBorders>
              <w:top w:val="single" w:sz="5" w:color="D6E0E8"/>
              <w:left w:val="single" w:sz="5" w:color="D6E0E8"/>
              <w:bottom w:val="single" w:sz="5" w:color="D6E0E8"/>
              <w:right w:val="single" w:sz="5" w:color="D6E0E8"/>
              <w:insideH w:val="single" w:sz="5" w:color="D6E0E8"/>
              <w:insideV w:val="single" w:sz="5" w:color="D6E0E8"/>
            </w:tcBorders>
          </w:tcPr>
          <w:p>
            <w:pPr>
              <w:spacing w:after="0" w:before="0"/>
            </w:pPr>
            <w:r>
              <w:rPr>
                <w:rFonts w:ascii="Aptos" w:hAnsi="Aptos"/>
                <w:sz w:val="16"/>
              </w:rPr>
              <w:t>Blank cells</w:t>
            </w:r>
          </w:p>
        </w:tc>
        <w:tc>
          <w:tcPr>
            <w:tcW w:type="dxa" w:w="2232"/>
            <w:vAlign w:val="center"/>
            <w:shd w:fill="F2F6FA"/>
            <w:tcBorders>
              <w:top w:val="single" w:sz="5" w:color="D6E0E8"/>
              <w:left w:val="single" w:sz="5" w:color="D6E0E8"/>
              <w:bottom w:val="single" w:sz="5" w:color="D6E0E8"/>
              <w:right w:val="single" w:sz="5" w:color="D6E0E8"/>
              <w:insideH w:val="single" w:sz="5" w:color="D6E0E8"/>
              <w:insideV w:val="single" w:sz="5" w:color="D6E0E8"/>
            </w:tcBorders>
          </w:tcPr>
          <w:p>
            <w:pPr>
              <w:spacing w:after="0" w:before="0"/>
            </w:pPr>
            <w:r>
              <w:rPr>
                <w:rFonts w:ascii="Aptos" w:hAnsi="Aptos"/>
                <w:sz w:val="16"/>
              </w:rPr>
              <w:t>0 found</w:t>
            </w:r>
          </w:p>
        </w:tc>
        <w:tc>
          <w:tcPr>
            <w:tcW w:type="dxa" w:w="5328"/>
            <w:vAlign w:val="center"/>
            <w:shd w:fill="F2F6FA"/>
            <w:tcBorders>
              <w:top w:val="single" w:sz="5" w:color="D6E0E8"/>
              <w:left w:val="single" w:sz="5" w:color="D6E0E8"/>
              <w:bottom w:val="single" w:sz="5" w:color="D6E0E8"/>
              <w:right w:val="single" w:sz="5" w:color="D6E0E8"/>
              <w:insideH w:val="single" w:sz="5" w:color="D6E0E8"/>
              <w:insideV w:val="single" w:sz="5" w:color="D6E0E8"/>
            </w:tcBorders>
          </w:tcPr>
          <w:p>
            <w:pPr>
              <w:spacing w:after="0" w:before="0"/>
            </w:pPr>
            <w:r>
              <w:rPr>
                <w:rFonts w:ascii="Aptos" w:hAnsi="Aptos"/>
                <w:sz w:val="16"/>
              </w:rPr>
              <w:t>No blanks in the supplied employee records.</w:t>
            </w:r>
          </w:p>
        </w:tc>
      </w:tr>
      <w:tr>
        <w:trPr>
          <w:cantSplit/>
        </w:trPr>
        <w:tc>
          <w:tcPr>
            <w:tcW w:type="dxa" w:w="2232"/>
            <w:vAlign w:val="center"/>
            <w:tcBorders>
              <w:top w:val="single" w:sz="5" w:color="D6E0E8"/>
              <w:left w:val="single" w:sz="5" w:color="D6E0E8"/>
              <w:bottom w:val="single" w:sz="5" w:color="D6E0E8"/>
              <w:right w:val="single" w:sz="5" w:color="D6E0E8"/>
              <w:insideH w:val="single" w:sz="5" w:color="D6E0E8"/>
              <w:insideV w:val="single" w:sz="5" w:color="D6E0E8"/>
            </w:tcBorders>
          </w:tcPr>
          <w:p>
            <w:pPr>
              <w:spacing w:after="0" w:before="0"/>
            </w:pPr>
            <w:r>
              <w:rPr>
                <w:rFonts w:ascii="Aptos" w:hAnsi="Aptos"/>
                <w:sz w:val="16"/>
              </w:rPr>
              <w:t>Duplicate identifiers / rows</w:t>
            </w:r>
          </w:p>
        </w:tc>
        <w:tc>
          <w:tcPr>
            <w:tcW w:type="dxa" w:w="2232"/>
            <w:vAlign w:val="center"/>
            <w:tcBorders>
              <w:top w:val="single" w:sz="5" w:color="D6E0E8"/>
              <w:left w:val="single" w:sz="5" w:color="D6E0E8"/>
              <w:bottom w:val="single" w:sz="5" w:color="D6E0E8"/>
              <w:right w:val="single" w:sz="5" w:color="D6E0E8"/>
              <w:insideH w:val="single" w:sz="5" w:color="D6E0E8"/>
              <w:insideV w:val="single" w:sz="5" w:color="D6E0E8"/>
            </w:tcBorders>
          </w:tcPr>
          <w:p>
            <w:pPr>
              <w:spacing w:after="0" w:before="0"/>
            </w:pPr>
            <w:r>
              <w:rPr>
                <w:rFonts w:ascii="Aptos" w:hAnsi="Aptos"/>
                <w:sz w:val="16"/>
              </w:rPr>
              <w:t>0 / 0</w:t>
            </w:r>
          </w:p>
        </w:tc>
        <w:tc>
          <w:tcPr>
            <w:tcW w:type="dxa" w:w="5328"/>
            <w:vAlign w:val="center"/>
            <w:tcBorders>
              <w:top w:val="single" w:sz="5" w:color="D6E0E8"/>
              <w:left w:val="single" w:sz="5" w:color="D6E0E8"/>
              <w:bottom w:val="single" w:sz="5" w:color="D6E0E8"/>
              <w:right w:val="single" w:sz="5" w:color="D6E0E8"/>
              <w:insideH w:val="single" w:sz="5" w:color="D6E0E8"/>
              <w:insideV w:val="single" w:sz="5" w:color="D6E0E8"/>
            </w:tcBorders>
          </w:tcPr>
          <w:p>
            <w:pPr>
              <w:spacing w:after="0" w:before="0"/>
            </w:pPr>
            <w:r>
              <w:rPr>
                <w:rFonts w:ascii="Aptos" w:hAnsi="Aptos"/>
                <w:sz w:val="16"/>
              </w:rPr>
              <w:t>EmployeeNumber is unique; no exact duplicate rows.</w:t>
            </w:r>
          </w:p>
        </w:tc>
      </w:tr>
      <w:tr>
        <w:trPr>
          <w:cantSplit/>
        </w:trPr>
        <w:tc>
          <w:tcPr>
            <w:tcW w:type="dxa" w:w="2232"/>
            <w:vAlign w:val="center"/>
            <w:shd w:fill="F2F6FA"/>
            <w:tcBorders>
              <w:top w:val="single" w:sz="5" w:color="D6E0E8"/>
              <w:left w:val="single" w:sz="5" w:color="D6E0E8"/>
              <w:bottom w:val="single" w:sz="5" w:color="D6E0E8"/>
              <w:right w:val="single" w:sz="5" w:color="D6E0E8"/>
              <w:insideH w:val="single" w:sz="5" w:color="D6E0E8"/>
              <w:insideV w:val="single" w:sz="5" w:color="D6E0E8"/>
            </w:tcBorders>
          </w:tcPr>
          <w:p>
            <w:pPr>
              <w:spacing w:after="0" w:before="0"/>
            </w:pPr>
            <w:r>
              <w:rPr>
                <w:rFonts w:ascii="Aptos" w:hAnsi="Aptos"/>
                <w:sz w:val="16"/>
              </w:rPr>
              <w:t>Checked numeric fields / formulas</w:t>
            </w:r>
          </w:p>
        </w:tc>
        <w:tc>
          <w:tcPr>
            <w:tcW w:type="dxa" w:w="2232"/>
            <w:vAlign w:val="center"/>
            <w:shd w:fill="F2F6FA"/>
            <w:tcBorders>
              <w:top w:val="single" w:sz="5" w:color="D6E0E8"/>
              <w:left w:val="single" w:sz="5" w:color="D6E0E8"/>
              <w:bottom w:val="single" w:sz="5" w:color="D6E0E8"/>
              <w:right w:val="single" w:sz="5" w:color="D6E0E8"/>
              <w:insideH w:val="single" w:sz="5" w:color="D6E0E8"/>
              <w:insideV w:val="single" w:sz="5" w:color="D6E0E8"/>
            </w:tcBorders>
          </w:tcPr>
          <w:p>
            <w:pPr>
              <w:spacing w:after="0" w:before="0"/>
            </w:pPr>
            <w:r>
              <w:rPr>
                <w:rFonts w:ascii="Aptos" w:hAnsi="Aptos"/>
                <w:sz w:val="16"/>
              </w:rPr>
              <w:t>No non-numeric values; 0 formula cells</w:t>
            </w:r>
          </w:p>
        </w:tc>
        <w:tc>
          <w:tcPr>
            <w:tcW w:type="dxa" w:w="5328"/>
            <w:vAlign w:val="center"/>
            <w:shd w:fill="F2F6FA"/>
            <w:tcBorders>
              <w:top w:val="single" w:sz="5" w:color="D6E0E8"/>
              <w:left w:val="single" w:sz="5" w:color="D6E0E8"/>
              <w:bottom w:val="single" w:sz="5" w:color="D6E0E8"/>
              <w:right w:val="single" w:sz="5" w:color="D6E0E8"/>
              <w:insideH w:val="single" w:sz="5" w:color="D6E0E8"/>
              <w:insideV w:val="single" w:sz="5" w:color="D6E0E8"/>
            </w:tcBorders>
          </w:tcPr>
          <w:p>
            <w:pPr>
              <w:spacing w:after="0" w:before="0"/>
            </w:pPr>
            <w:r>
              <w:rPr>
                <w:rFonts w:ascii="Aptos" w:hAnsi="Aptos"/>
                <w:sz w:val="16"/>
              </w:rPr>
              <w:t>Source data is stored as values.</w:t>
            </w:r>
          </w:p>
        </w:tc>
      </w:tr>
      <w:tr>
        <w:trPr>
          <w:cantSplit/>
        </w:trPr>
        <w:tc>
          <w:tcPr>
            <w:tcW w:type="dxa" w:w="2232"/>
            <w:vAlign w:val="center"/>
            <w:tcBorders>
              <w:top w:val="single" w:sz="5" w:color="D6E0E8"/>
              <w:left w:val="single" w:sz="5" w:color="D6E0E8"/>
              <w:bottom w:val="single" w:sz="5" w:color="D6E0E8"/>
              <w:right w:val="single" w:sz="5" w:color="D6E0E8"/>
              <w:insideH w:val="single" w:sz="5" w:color="D6E0E8"/>
              <w:insideV w:val="single" w:sz="5" w:color="D6E0E8"/>
            </w:tcBorders>
          </w:tcPr>
          <w:p>
            <w:pPr>
              <w:spacing w:after="0" w:before="0"/>
            </w:pPr>
            <w:r>
              <w:rPr>
                <w:rFonts w:ascii="Aptos" w:hAnsi="Aptos"/>
                <w:sz w:val="16"/>
              </w:rPr>
              <w:t>Attrition split</w:t>
            </w:r>
          </w:p>
        </w:tc>
        <w:tc>
          <w:tcPr>
            <w:tcW w:type="dxa" w:w="2232"/>
            <w:vAlign w:val="center"/>
            <w:tcBorders>
              <w:top w:val="single" w:sz="5" w:color="D6E0E8"/>
              <w:left w:val="single" w:sz="5" w:color="D6E0E8"/>
              <w:bottom w:val="single" w:sz="5" w:color="D6E0E8"/>
              <w:right w:val="single" w:sz="5" w:color="D6E0E8"/>
              <w:insideH w:val="single" w:sz="5" w:color="D6E0E8"/>
              <w:insideV w:val="single" w:sz="5" w:color="D6E0E8"/>
            </w:tcBorders>
          </w:tcPr>
          <w:p>
            <w:pPr>
              <w:spacing w:after="0" w:before="0"/>
            </w:pPr>
            <w:r>
              <w:rPr>
                <w:rFonts w:ascii="Aptos" w:hAnsi="Aptos"/>
                <w:sz w:val="16"/>
              </w:rPr>
              <w:t>237 Yes; 1,233 No</w:t>
            </w:r>
          </w:p>
        </w:tc>
        <w:tc>
          <w:tcPr>
            <w:tcW w:type="dxa" w:w="5328"/>
            <w:vAlign w:val="center"/>
            <w:tcBorders>
              <w:top w:val="single" w:sz="5" w:color="D6E0E8"/>
              <w:left w:val="single" w:sz="5" w:color="D6E0E8"/>
              <w:bottom w:val="single" w:sz="5" w:color="D6E0E8"/>
              <w:right w:val="single" w:sz="5" w:color="D6E0E8"/>
              <w:insideH w:val="single" w:sz="5" w:color="D6E0E8"/>
              <w:insideV w:val="single" w:sz="5" w:color="D6E0E8"/>
            </w:tcBorders>
          </w:tcPr>
          <w:p>
            <w:pPr>
              <w:spacing w:after="0" w:before="0"/>
            </w:pPr>
            <w:r>
              <w:rPr>
                <w:rFonts w:ascii="Aptos" w:hAnsi="Aptos"/>
                <w:sz w:val="16"/>
              </w:rPr>
              <w:t>Overall attrition share: 16.12%.</w:t>
            </w:r>
          </w:p>
        </w:tc>
      </w:tr>
      <w:tr>
        <w:trPr>
          <w:cantSplit/>
        </w:trPr>
        <w:tc>
          <w:tcPr>
            <w:tcW w:type="dxa" w:w="2232"/>
            <w:vAlign w:val="center"/>
            <w:shd w:fill="F2F6FA"/>
            <w:tcBorders>
              <w:top w:val="single" w:sz="5" w:color="D6E0E8"/>
              <w:left w:val="single" w:sz="5" w:color="D6E0E8"/>
              <w:bottom w:val="single" w:sz="5" w:color="D6E0E8"/>
              <w:right w:val="single" w:sz="5" w:color="D6E0E8"/>
              <w:insideH w:val="single" w:sz="5" w:color="D6E0E8"/>
              <w:insideV w:val="single" w:sz="5" w:color="D6E0E8"/>
            </w:tcBorders>
          </w:tcPr>
          <w:p>
            <w:pPr>
              <w:spacing w:after="0" w:before="0"/>
            </w:pPr>
            <w:r>
              <w:rPr>
                <w:rFonts w:ascii="Aptos" w:hAnsi="Aptos"/>
                <w:sz w:val="16"/>
              </w:rPr>
              <w:t>Constant fields</w:t>
            </w:r>
          </w:p>
        </w:tc>
        <w:tc>
          <w:tcPr>
            <w:tcW w:type="dxa" w:w="2232"/>
            <w:vAlign w:val="center"/>
            <w:shd w:fill="F2F6FA"/>
            <w:tcBorders>
              <w:top w:val="single" w:sz="5" w:color="D6E0E8"/>
              <w:left w:val="single" w:sz="5" w:color="D6E0E8"/>
              <w:bottom w:val="single" w:sz="5" w:color="D6E0E8"/>
              <w:right w:val="single" w:sz="5" w:color="D6E0E8"/>
              <w:insideH w:val="single" w:sz="5" w:color="D6E0E8"/>
              <w:insideV w:val="single" w:sz="5" w:color="D6E0E8"/>
            </w:tcBorders>
          </w:tcPr>
          <w:p>
            <w:pPr>
              <w:spacing w:after="0" w:before="0"/>
            </w:pPr>
            <w:r>
              <w:rPr>
                <w:rFonts w:ascii="Aptos" w:hAnsi="Aptos"/>
                <w:sz w:val="16"/>
              </w:rPr>
              <w:t>EmployeeCount=1; Over18=Y; StandardHours=80</w:t>
            </w:r>
          </w:p>
        </w:tc>
        <w:tc>
          <w:tcPr>
            <w:tcW w:type="dxa" w:w="5328"/>
            <w:vAlign w:val="center"/>
            <w:shd w:fill="F2F6FA"/>
            <w:tcBorders>
              <w:top w:val="single" w:sz="5" w:color="D6E0E8"/>
              <w:left w:val="single" w:sz="5" w:color="D6E0E8"/>
              <w:bottom w:val="single" w:sz="5" w:color="D6E0E8"/>
              <w:right w:val="single" w:sz="5" w:color="D6E0E8"/>
              <w:insideH w:val="single" w:sz="5" w:color="D6E0E8"/>
              <w:insideV w:val="single" w:sz="5" w:color="D6E0E8"/>
            </w:tcBorders>
          </w:tcPr>
          <w:p>
            <w:pPr>
              <w:spacing w:after="0" w:before="0"/>
            </w:pPr>
            <w:r>
              <w:rPr>
                <w:rFonts w:ascii="Aptos" w:hAnsi="Aptos"/>
                <w:sz w:val="16"/>
              </w:rPr>
              <w:t>Retained in Raw_Data, excluded from comparisons because they do not vary.</w:t>
            </w:r>
          </w:p>
        </w:tc>
      </w:tr>
    </w:tbl>
    <w:p>
      <w:pPr>
        <w:spacing w:after="0"/>
      </w:pPr>
    </w:p>
    <w:p>
      <w:r>
        <w:t>The review found no issues in the checks performed. This is a scoped validation of the supplied file, not a guarantee that every possible data-quality issue has been ruled out.</w:t>
      </w:r>
    </w:p>
    <w:p>
      <w:pPr>
        <w:pStyle w:val="Heading2"/>
      </w:pPr>
      <w:r>
        <w:t>Analysis method</w:t>
      </w:r>
    </w:p>
    <w:p>
      <w:pPr>
        <w:pStyle w:val="ListBullet"/>
        <w:spacing w:after="60"/>
        <w:ind w:left="317" w:hanging="202"/>
      </w:pPr>
      <w:r>
        <w:t>Group comparisons use employee counts and within-group attrition percentages (Attrition = Yes divided by the number of employees in that group).</w:t>
      </w:r>
    </w:p>
    <w:p>
      <w:pPr>
        <w:pStyle w:val="ListBullet"/>
        <w:spacing w:after="60"/>
        <w:ind w:left="317" w:hanging="202"/>
      </w:pPr>
      <w:r>
        <w:t>A binary attrition flag was used for Pearson correlations: Yes = 1 and No = 0. The reported coefficients cover selected numeric measures only.</w:t>
      </w:r>
    </w:p>
    <w:p>
      <w:pPr>
        <w:pStyle w:val="ListBullet"/>
        <w:spacing w:after="60"/>
        <w:ind w:left="317" w:hanging="202"/>
      </w:pPr>
      <w:r>
        <w:t>PivotTables and dashboard visuals summarize the supplied records; slicers allow selected views by Department, OverTime, Gender, and JobLevel.</w:t>
      </w:r>
    </w:p>
    <w:p>
      <w:pPr>
        <w:pStyle w:val="ListBullet"/>
        <w:spacing w:after="60"/>
        <w:ind w:left="317" w:hanging="202"/>
      </w:pPr>
      <w:r>
        <w:t>No causal model, significance test, or time-series analysis was performed. Differences should be interpreted as descriptive associations.</w:t>
      </w:r>
    </w:p>
    <w:p>
      <w:pPr>
        <w:pStyle w:val="Heading2"/>
      </w:pPr>
      <w:r>
        <w:t>Workbook map</w:t>
      </w:r>
    </w:p>
    <w:tbl>
      <w:tblPr>
        <w:tblW w:type="auto" w:w="0"/>
        <w:jc w:val="center"/>
        <w:tblLayout w:type="fixed"/>
        <w:tblLook w:firstColumn="1" w:firstRow="1" w:lastColumn="0" w:lastRow="0" w:noHBand="0" w:noVBand="1" w:val="04A0"/>
      </w:tblPr>
      <w:tblGrid>
        <w:gridCol w:w="2952"/>
        <w:gridCol w:w="6840"/>
      </w:tblGrid>
      <w:tr>
        <w:trPr>
          <w:tblHeader w:val="true"/>
          <w:cantSplit/>
        </w:trPr>
        <w:tc>
          <w:tcPr>
            <w:tcW w:type="dxa" w:w="5083"/>
            <w:shd w:fill="1F4E78"/>
            <w:vAlign w:val="center"/>
            <w:tcBorders>
              <w:top w:val="single" w:sz="4" w:color="FFFFFF"/>
              <w:left w:val="single" w:sz="4" w:color="FFFFFF"/>
              <w:bottom w:val="single" w:sz="4" w:color="FFFFFF"/>
              <w:right w:val="single" w:sz="4" w:color="FFFFFF"/>
              <w:insideH w:val="single" w:sz="4" w:color="FFFFFF"/>
              <w:insideV w:val="single" w:sz="4" w:color="FFFFFF"/>
            </w:tcBorders>
          </w:tcPr>
          <w:p>
            <w:pPr>
              <w:spacing w:after="0"/>
            </w:pPr>
            <w:r>
              <w:rPr>
                <w:rFonts w:ascii="Aptos" w:hAnsi="Aptos"/>
                <w:b/>
                <w:color w:val="FFFFFF"/>
                <w:sz w:val="16"/>
              </w:rPr>
              <w:t>Sheet</w:t>
            </w:r>
          </w:p>
        </w:tc>
        <w:tc>
          <w:tcPr>
            <w:tcW w:type="dxa" w:w="5083"/>
            <w:shd w:fill="1F4E78"/>
            <w:vAlign w:val="center"/>
            <w:tcBorders>
              <w:top w:val="single" w:sz="4" w:color="FFFFFF"/>
              <w:left w:val="single" w:sz="4" w:color="FFFFFF"/>
              <w:bottom w:val="single" w:sz="4" w:color="FFFFFF"/>
              <w:right w:val="single" w:sz="4" w:color="FFFFFF"/>
              <w:insideH w:val="single" w:sz="4" w:color="FFFFFF"/>
              <w:insideV w:val="single" w:sz="4" w:color="FFFFFF"/>
            </w:tcBorders>
          </w:tcPr>
          <w:p>
            <w:pPr>
              <w:spacing w:after="0"/>
            </w:pPr>
            <w:r>
              <w:rPr>
                <w:rFonts w:ascii="Aptos" w:hAnsi="Aptos"/>
                <w:b/>
                <w:color w:val="FFFFFF"/>
                <w:sz w:val="16"/>
              </w:rPr>
              <w:t>Role</w:t>
            </w:r>
          </w:p>
        </w:tc>
      </w:tr>
      <w:tr>
        <w:trPr>
          <w:cantSplit/>
        </w:trPr>
        <w:tc>
          <w:tcPr>
            <w:tcW w:type="dxa" w:w="2952"/>
            <w:vAlign w:val="center"/>
            <w:tcBorders>
              <w:top w:val="single" w:sz="5" w:color="D6E0E8"/>
              <w:left w:val="single" w:sz="5" w:color="D6E0E8"/>
              <w:bottom w:val="single" w:sz="5" w:color="D6E0E8"/>
              <w:right w:val="single" w:sz="5" w:color="D6E0E8"/>
              <w:insideH w:val="single" w:sz="5" w:color="D6E0E8"/>
              <w:insideV w:val="single" w:sz="5" w:color="D6E0E8"/>
            </w:tcBorders>
          </w:tcPr>
          <w:p>
            <w:pPr>
              <w:spacing w:after="0" w:before="0"/>
            </w:pPr>
            <w:r>
              <w:rPr>
                <w:rFonts w:ascii="Aptos" w:hAnsi="Aptos"/>
                <w:sz w:val="16"/>
              </w:rPr>
              <w:t>Read_Me</w:t>
            </w:r>
          </w:p>
        </w:tc>
        <w:tc>
          <w:tcPr>
            <w:tcW w:type="dxa" w:w="6840"/>
            <w:vAlign w:val="center"/>
            <w:tcBorders>
              <w:top w:val="single" w:sz="5" w:color="D6E0E8"/>
              <w:left w:val="single" w:sz="5" w:color="D6E0E8"/>
              <w:bottom w:val="single" w:sz="5" w:color="D6E0E8"/>
              <w:right w:val="single" w:sz="5" w:color="D6E0E8"/>
              <w:insideH w:val="single" w:sz="5" w:color="D6E0E8"/>
              <w:insideV w:val="single" w:sz="5" w:color="D6E0E8"/>
            </w:tcBorders>
          </w:tcPr>
          <w:p>
            <w:pPr>
              <w:spacing w:after="0" w:before="0"/>
            </w:pPr>
            <w:r>
              <w:rPr>
                <w:rFonts w:ascii="Aptos" w:hAnsi="Aptos"/>
                <w:sz w:val="16"/>
              </w:rPr>
              <w:t>Project question, scope, interpretation notes, and planned analysis.</w:t>
            </w:r>
          </w:p>
        </w:tc>
      </w:tr>
      <w:tr>
        <w:trPr>
          <w:cantSplit/>
        </w:trPr>
        <w:tc>
          <w:tcPr>
            <w:tcW w:type="dxa" w:w="2952"/>
            <w:vAlign w:val="center"/>
            <w:shd w:fill="F2F6FA"/>
            <w:tcBorders>
              <w:top w:val="single" w:sz="5" w:color="D6E0E8"/>
              <w:left w:val="single" w:sz="5" w:color="D6E0E8"/>
              <w:bottom w:val="single" w:sz="5" w:color="D6E0E8"/>
              <w:right w:val="single" w:sz="5" w:color="D6E0E8"/>
              <w:insideH w:val="single" w:sz="5" w:color="D6E0E8"/>
              <w:insideV w:val="single" w:sz="5" w:color="D6E0E8"/>
            </w:tcBorders>
          </w:tcPr>
          <w:p>
            <w:pPr>
              <w:spacing w:after="0" w:before="0"/>
            </w:pPr>
            <w:r>
              <w:rPr>
                <w:rFonts w:ascii="Aptos" w:hAnsi="Aptos"/>
                <w:sz w:val="16"/>
              </w:rPr>
              <w:t>Raw_Data / Data_QA</w:t>
            </w:r>
          </w:p>
        </w:tc>
        <w:tc>
          <w:tcPr>
            <w:tcW w:type="dxa" w:w="6840"/>
            <w:vAlign w:val="center"/>
            <w:shd w:fill="F2F6FA"/>
            <w:tcBorders>
              <w:top w:val="single" w:sz="5" w:color="D6E0E8"/>
              <w:left w:val="single" w:sz="5" w:color="D6E0E8"/>
              <w:bottom w:val="single" w:sz="5" w:color="D6E0E8"/>
              <w:right w:val="single" w:sz="5" w:color="D6E0E8"/>
              <w:insideH w:val="single" w:sz="5" w:color="D6E0E8"/>
              <w:insideV w:val="single" w:sz="5" w:color="D6E0E8"/>
            </w:tcBorders>
          </w:tcPr>
          <w:p>
            <w:pPr>
              <w:spacing w:after="0" w:before="0"/>
            </w:pPr>
            <w:r>
              <w:rPr>
                <w:rFonts w:ascii="Aptos" w:hAnsi="Aptos"/>
                <w:sz w:val="16"/>
              </w:rPr>
              <w:t>Source records and data-quality checks.</w:t>
            </w:r>
          </w:p>
        </w:tc>
      </w:tr>
      <w:tr>
        <w:trPr>
          <w:cantSplit/>
        </w:trPr>
        <w:tc>
          <w:tcPr>
            <w:tcW w:type="dxa" w:w="2952"/>
            <w:vAlign w:val="center"/>
            <w:tcBorders>
              <w:top w:val="single" w:sz="5" w:color="D6E0E8"/>
              <w:left w:val="single" w:sz="5" w:color="D6E0E8"/>
              <w:bottom w:val="single" w:sz="5" w:color="D6E0E8"/>
              <w:right w:val="single" w:sz="5" w:color="D6E0E8"/>
              <w:insideH w:val="single" w:sz="5" w:color="D6E0E8"/>
              <w:insideV w:val="single" w:sz="5" w:color="D6E0E8"/>
            </w:tcBorders>
          </w:tcPr>
          <w:p>
            <w:pPr>
              <w:spacing w:after="0" w:before="0"/>
            </w:pPr>
            <w:r>
              <w:rPr>
                <w:rFonts w:ascii="Aptos" w:hAnsi="Aptos"/>
                <w:sz w:val="16"/>
              </w:rPr>
              <w:t>PVT_Attrition / PVT_Workforce</w:t>
            </w:r>
          </w:p>
        </w:tc>
        <w:tc>
          <w:tcPr>
            <w:tcW w:type="dxa" w:w="6840"/>
            <w:vAlign w:val="center"/>
            <w:tcBorders>
              <w:top w:val="single" w:sz="5" w:color="D6E0E8"/>
              <w:left w:val="single" w:sz="5" w:color="D6E0E8"/>
              <w:bottom w:val="single" w:sz="5" w:color="D6E0E8"/>
              <w:right w:val="single" w:sz="5" w:color="D6E0E8"/>
              <w:insideH w:val="single" w:sz="5" w:color="D6E0E8"/>
              <w:insideV w:val="single" w:sz="5" w:color="D6E0E8"/>
            </w:tcBorders>
          </w:tcPr>
          <w:p>
            <w:pPr>
              <w:spacing w:after="0" w:before="0"/>
            </w:pPr>
            <w:r>
              <w:rPr>
                <w:rFonts w:ascii="Aptos" w:hAnsi="Aptos"/>
                <w:sz w:val="16"/>
              </w:rPr>
              <w:t>Attrition splits and workforce profile comparisons.</w:t>
            </w:r>
          </w:p>
        </w:tc>
      </w:tr>
      <w:tr>
        <w:trPr>
          <w:cantSplit/>
        </w:trPr>
        <w:tc>
          <w:tcPr>
            <w:tcW w:type="dxa" w:w="2952"/>
            <w:vAlign w:val="center"/>
            <w:shd w:fill="F2F6FA"/>
            <w:tcBorders>
              <w:top w:val="single" w:sz="5" w:color="D6E0E8"/>
              <w:left w:val="single" w:sz="5" w:color="D6E0E8"/>
              <w:bottom w:val="single" w:sz="5" w:color="D6E0E8"/>
              <w:right w:val="single" w:sz="5" w:color="D6E0E8"/>
              <w:insideH w:val="single" w:sz="5" w:color="D6E0E8"/>
              <w:insideV w:val="single" w:sz="5" w:color="D6E0E8"/>
            </w:tcBorders>
          </w:tcPr>
          <w:p>
            <w:pPr>
              <w:spacing w:after="0" w:before="0"/>
            </w:pPr>
            <w:r>
              <w:rPr>
                <w:rFonts w:ascii="Aptos" w:hAnsi="Aptos"/>
                <w:sz w:val="16"/>
              </w:rPr>
              <w:t>PVT_Engagement / PVT_Performance</w:t>
            </w:r>
          </w:p>
        </w:tc>
        <w:tc>
          <w:tcPr>
            <w:tcW w:type="dxa" w:w="6840"/>
            <w:vAlign w:val="center"/>
            <w:shd w:fill="F2F6FA"/>
            <w:tcBorders>
              <w:top w:val="single" w:sz="5" w:color="D6E0E8"/>
              <w:left w:val="single" w:sz="5" w:color="D6E0E8"/>
              <w:bottom w:val="single" w:sz="5" w:color="D6E0E8"/>
              <w:right w:val="single" w:sz="5" w:color="D6E0E8"/>
              <w:insideH w:val="single" w:sz="5" w:color="D6E0E8"/>
              <w:insideV w:val="single" w:sz="5" w:color="D6E0E8"/>
            </w:tcBorders>
          </w:tcPr>
          <w:p>
            <w:pPr>
              <w:spacing w:after="0" w:before="0"/>
            </w:pPr>
            <w:r>
              <w:rPr>
                <w:rFonts w:ascii="Aptos" w:hAnsi="Aptos"/>
                <w:sz w:val="16"/>
              </w:rPr>
              <w:t>Job satisfaction, work-life balance, and performance summaries.</w:t>
            </w:r>
          </w:p>
        </w:tc>
      </w:tr>
      <w:tr>
        <w:trPr>
          <w:cantSplit/>
        </w:trPr>
        <w:tc>
          <w:tcPr>
            <w:tcW w:type="dxa" w:w="2952"/>
            <w:vAlign w:val="center"/>
            <w:tcBorders>
              <w:top w:val="single" w:sz="5" w:color="D6E0E8"/>
              <w:left w:val="single" w:sz="5" w:color="D6E0E8"/>
              <w:bottom w:val="single" w:sz="5" w:color="D6E0E8"/>
              <w:right w:val="single" w:sz="5" w:color="D6E0E8"/>
              <w:insideH w:val="single" w:sz="5" w:color="D6E0E8"/>
              <w:insideV w:val="single" w:sz="5" w:color="D6E0E8"/>
            </w:tcBorders>
          </w:tcPr>
          <w:p>
            <w:pPr>
              <w:spacing w:after="0" w:before="0"/>
            </w:pPr>
            <w:r>
              <w:rPr>
                <w:rFonts w:ascii="Aptos" w:hAnsi="Aptos"/>
                <w:sz w:val="16"/>
              </w:rPr>
              <w:t>Association_Analysis / PVT_KPI</w:t>
            </w:r>
          </w:p>
        </w:tc>
        <w:tc>
          <w:tcPr>
            <w:tcW w:type="dxa" w:w="6840"/>
            <w:vAlign w:val="center"/>
            <w:tcBorders>
              <w:top w:val="single" w:sz="5" w:color="D6E0E8"/>
              <w:left w:val="single" w:sz="5" w:color="D6E0E8"/>
              <w:bottom w:val="single" w:sz="5" w:color="D6E0E8"/>
              <w:right w:val="single" w:sz="5" w:color="D6E0E8"/>
              <w:insideH w:val="single" w:sz="5" w:color="D6E0E8"/>
              <w:insideV w:val="single" w:sz="5" w:color="D6E0E8"/>
            </w:tcBorders>
          </w:tcPr>
          <w:p>
            <w:pPr>
              <w:spacing w:after="0" w:before="0"/>
            </w:pPr>
            <w:r>
              <w:rPr>
                <w:rFonts w:ascii="Aptos" w:hAnsi="Aptos"/>
                <w:sz w:val="16"/>
              </w:rPr>
              <w:t>Selected numeric correlations and dashboard KPI values.</w:t>
            </w:r>
          </w:p>
        </w:tc>
      </w:tr>
      <w:tr>
        <w:trPr>
          <w:cantSplit/>
        </w:trPr>
        <w:tc>
          <w:tcPr>
            <w:tcW w:type="dxa" w:w="2952"/>
            <w:vAlign w:val="center"/>
            <w:shd w:fill="F2F6FA"/>
            <w:tcBorders>
              <w:top w:val="single" w:sz="5" w:color="D6E0E8"/>
              <w:left w:val="single" w:sz="5" w:color="D6E0E8"/>
              <w:bottom w:val="single" w:sz="5" w:color="D6E0E8"/>
              <w:right w:val="single" w:sz="5" w:color="D6E0E8"/>
              <w:insideH w:val="single" w:sz="5" w:color="D6E0E8"/>
              <w:insideV w:val="single" w:sz="5" w:color="D6E0E8"/>
            </w:tcBorders>
          </w:tcPr>
          <w:p>
            <w:pPr>
              <w:spacing w:after="0" w:before="0"/>
            </w:pPr>
            <w:r>
              <w:rPr>
                <w:rFonts w:ascii="Aptos" w:hAnsi="Aptos"/>
                <w:sz w:val="16"/>
              </w:rPr>
              <w:t>Dashboard</w:t>
            </w:r>
          </w:p>
        </w:tc>
        <w:tc>
          <w:tcPr>
            <w:tcW w:type="dxa" w:w="6840"/>
            <w:vAlign w:val="center"/>
            <w:shd w:fill="F2F6FA"/>
            <w:tcBorders>
              <w:top w:val="single" w:sz="5" w:color="D6E0E8"/>
              <w:left w:val="single" w:sz="5" w:color="D6E0E8"/>
              <w:bottom w:val="single" w:sz="5" w:color="D6E0E8"/>
              <w:right w:val="single" w:sz="5" w:color="D6E0E8"/>
              <w:insideH w:val="single" w:sz="5" w:color="D6E0E8"/>
              <w:insideV w:val="single" w:sz="5" w:color="D6E0E8"/>
            </w:tcBorders>
          </w:tcPr>
          <w:p>
            <w:pPr>
              <w:spacing w:after="0" w:before="0"/>
            </w:pPr>
            <w:r>
              <w:rPr>
                <w:rFonts w:ascii="Aptos" w:hAnsi="Aptos"/>
                <w:sz w:val="16"/>
              </w:rPr>
              <w:t>Interactive summary with KPI cards, charts, and slicers.</w:t>
            </w:r>
          </w:p>
        </w:tc>
      </w:tr>
    </w:tbl>
    <w:p>
      <w:pPr>
        <w:spacing w:after="0"/>
      </w:pPr>
    </w:p>
    <w:p>
      <w:r>
        <w:br w:type="page"/>
      </w:r>
    </w:p>
    <w:p>
      <w:pPr>
        <w:spacing w:after="40"/>
      </w:pPr>
      <w:r>
        <w:rPr>
          <w:b/>
          <w:color w:val="0F6B78"/>
          <w:sz w:val="16"/>
        </w:rPr>
        <w:t>02  |  ATTRITION PATTERNS</w:t>
      </w:r>
    </w:p>
    <w:p>
      <w:pPr>
        <w:pStyle w:val="Heading1"/>
      </w:pPr>
      <w:r>
        <w:t>Where attrition differs</w:t>
      </w:r>
    </w:p>
    <w:p>
      <w:pPr>
        <w:spacing w:after="180"/>
      </w:pPr>
      <w:r>
        <w:rPr>
          <w:i/>
          <w:color w:val="64748B"/>
        </w:rPr>
        <w:t>Percentages are calculated within each group, so groups of different sizes can be compared more fairly.</w:t>
      </w:r>
    </w:p>
    <w:p>
      <w:pPr>
        <w:pStyle w:val="Heading2"/>
      </w:pPr>
      <w:r>
        <w:t>Department</w:t>
      </w:r>
    </w:p>
    <w:tbl>
      <w:tblPr>
        <w:tblW w:type="auto" w:w="0"/>
        <w:jc w:val="center"/>
        <w:tblLayout w:type="fixed"/>
        <w:tblLook w:firstColumn="1" w:firstRow="1" w:lastColumn="0" w:lastRow="0" w:noHBand="0" w:noVBand="1" w:val="04A0"/>
      </w:tblPr>
      <w:tblGrid>
        <w:gridCol w:w="3888"/>
        <w:gridCol w:w="3024"/>
        <w:gridCol w:w="2880"/>
      </w:tblGrid>
      <w:tr>
        <w:trPr>
          <w:tblHeader w:val="true"/>
          <w:cantSplit/>
        </w:trPr>
        <w:tc>
          <w:tcPr>
            <w:tcW w:type="dxa" w:w="3389"/>
            <w:shd w:fill="1F4E78"/>
            <w:vAlign w:val="center"/>
            <w:tcBorders>
              <w:top w:val="single" w:sz="4" w:color="FFFFFF"/>
              <w:left w:val="single" w:sz="4" w:color="FFFFFF"/>
              <w:bottom w:val="single" w:sz="4" w:color="FFFFFF"/>
              <w:right w:val="single" w:sz="4" w:color="FFFFFF"/>
              <w:insideH w:val="single" w:sz="4" w:color="FFFFFF"/>
              <w:insideV w:val="single" w:sz="4" w:color="FFFFFF"/>
            </w:tcBorders>
          </w:tcPr>
          <w:p>
            <w:pPr>
              <w:spacing w:after="0"/>
            </w:pPr>
            <w:r>
              <w:rPr>
                <w:rFonts w:ascii="Aptos" w:hAnsi="Aptos"/>
                <w:b/>
                <w:color w:val="FFFFFF"/>
                <w:sz w:val="17"/>
              </w:rPr>
              <w:t>Department</w:t>
            </w:r>
          </w:p>
        </w:tc>
        <w:tc>
          <w:tcPr>
            <w:tcW w:type="dxa" w:w="3389"/>
            <w:shd w:fill="1F4E78"/>
            <w:vAlign w:val="center"/>
            <w:tcBorders>
              <w:top w:val="single" w:sz="4" w:color="FFFFFF"/>
              <w:left w:val="single" w:sz="4" w:color="FFFFFF"/>
              <w:bottom w:val="single" w:sz="4" w:color="FFFFFF"/>
              <w:right w:val="single" w:sz="4" w:color="FFFFFF"/>
              <w:insideH w:val="single" w:sz="4" w:color="FFFFFF"/>
              <w:insideV w:val="single" w:sz="4" w:color="FFFFFF"/>
            </w:tcBorders>
          </w:tcPr>
          <w:p>
            <w:pPr>
              <w:spacing w:after="0"/>
            </w:pPr>
            <w:r>
              <w:rPr>
                <w:rFonts w:ascii="Aptos" w:hAnsi="Aptos"/>
                <w:b/>
                <w:color w:val="FFFFFF"/>
                <w:sz w:val="17"/>
              </w:rPr>
              <w:t>Leavers / employees</w:t>
            </w:r>
          </w:p>
        </w:tc>
        <w:tc>
          <w:tcPr>
            <w:tcW w:type="dxa" w:w="3389"/>
            <w:shd w:fill="1F4E78"/>
            <w:vAlign w:val="center"/>
            <w:tcBorders>
              <w:top w:val="single" w:sz="4" w:color="FFFFFF"/>
              <w:left w:val="single" w:sz="4" w:color="FFFFFF"/>
              <w:bottom w:val="single" w:sz="4" w:color="FFFFFF"/>
              <w:right w:val="single" w:sz="4" w:color="FFFFFF"/>
              <w:insideH w:val="single" w:sz="4" w:color="FFFFFF"/>
              <w:insideV w:val="single" w:sz="4" w:color="FFFFFF"/>
            </w:tcBorders>
          </w:tcPr>
          <w:p>
            <w:pPr>
              <w:spacing w:after="0"/>
            </w:pPr>
            <w:r>
              <w:rPr>
                <w:rFonts w:ascii="Aptos" w:hAnsi="Aptos"/>
                <w:b/>
                <w:color w:val="FFFFFF"/>
                <w:sz w:val="17"/>
              </w:rPr>
              <w:t>Attrition rate</w:t>
            </w:r>
          </w:p>
        </w:tc>
      </w:tr>
      <w:tr>
        <w:trPr>
          <w:cantSplit/>
        </w:trPr>
        <w:tc>
          <w:tcPr>
            <w:tcW w:type="dxa" w:w="3888"/>
            <w:vAlign w:val="center"/>
            <w:tcBorders>
              <w:top w:val="single" w:sz="5" w:color="D6E0E8"/>
              <w:left w:val="single" w:sz="5" w:color="D6E0E8"/>
              <w:bottom w:val="single" w:sz="5" w:color="D6E0E8"/>
              <w:right w:val="single" w:sz="5" w:color="D6E0E8"/>
              <w:insideH w:val="single" w:sz="5" w:color="D6E0E8"/>
              <w:insideV w:val="single" w:sz="5" w:color="D6E0E8"/>
            </w:tcBorders>
          </w:tcPr>
          <w:p>
            <w:pPr>
              <w:spacing w:after="0" w:before="0"/>
            </w:pPr>
            <w:r>
              <w:rPr>
                <w:rFonts w:ascii="Aptos" w:hAnsi="Aptos"/>
                <w:sz w:val="17"/>
              </w:rPr>
              <w:t>Sales</w:t>
            </w:r>
          </w:p>
        </w:tc>
        <w:tc>
          <w:tcPr>
            <w:tcW w:type="dxa" w:w="3024"/>
            <w:vAlign w:val="center"/>
            <w:tcBorders>
              <w:top w:val="single" w:sz="5" w:color="D6E0E8"/>
              <w:left w:val="single" w:sz="5" w:color="D6E0E8"/>
              <w:bottom w:val="single" w:sz="5" w:color="D6E0E8"/>
              <w:right w:val="single" w:sz="5" w:color="D6E0E8"/>
              <w:insideH w:val="single" w:sz="5" w:color="D6E0E8"/>
              <w:insideV w:val="single" w:sz="5" w:color="D6E0E8"/>
            </w:tcBorders>
          </w:tcPr>
          <w:p>
            <w:pPr>
              <w:spacing w:after="0" w:before="0"/>
            </w:pPr>
            <w:r>
              <w:rPr>
                <w:rFonts w:ascii="Aptos" w:hAnsi="Aptos"/>
                <w:sz w:val="17"/>
              </w:rPr>
              <w:t>92 / 446</w:t>
            </w:r>
          </w:p>
        </w:tc>
        <w:tc>
          <w:tcPr>
            <w:tcW w:type="dxa" w:w="2880"/>
            <w:vAlign w:val="center"/>
            <w:tcBorders>
              <w:top w:val="single" w:sz="5" w:color="D6E0E8"/>
              <w:left w:val="single" w:sz="5" w:color="D6E0E8"/>
              <w:bottom w:val="single" w:sz="5" w:color="D6E0E8"/>
              <w:right w:val="single" w:sz="5" w:color="D6E0E8"/>
              <w:insideH w:val="single" w:sz="5" w:color="D6E0E8"/>
              <w:insideV w:val="single" w:sz="5" w:color="D6E0E8"/>
            </w:tcBorders>
          </w:tcPr>
          <w:p>
            <w:pPr>
              <w:spacing w:after="0" w:before="0"/>
            </w:pPr>
            <w:r>
              <w:rPr>
                <w:rFonts w:ascii="Aptos" w:hAnsi="Aptos"/>
                <w:sz w:val="17"/>
              </w:rPr>
              <w:t>20.63%</w:t>
            </w:r>
          </w:p>
        </w:tc>
      </w:tr>
      <w:tr>
        <w:trPr>
          <w:cantSplit/>
        </w:trPr>
        <w:tc>
          <w:tcPr>
            <w:tcW w:type="dxa" w:w="3888"/>
            <w:vAlign w:val="center"/>
            <w:shd w:fill="F2F6FA"/>
            <w:tcBorders>
              <w:top w:val="single" w:sz="5" w:color="D6E0E8"/>
              <w:left w:val="single" w:sz="5" w:color="D6E0E8"/>
              <w:bottom w:val="single" w:sz="5" w:color="D6E0E8"/>
              <w:right w:val="single" w:sz="5" w:color="D6E0E8"/>
              <w:insideH w:val="single" w:sz="5" w:color="D6E0E8"/>
              <w:insideV w:val="single" w:sz="5" w:color="D6E0E8"/>
            </w:tcBorders>
          </w:tcPr>
          <w:p>
            <w:pPr>
              <w:spacing w:after="0" w:before="0"/>
            </w:pPr>
            <w:r>
              <w:rPr>
                <w:rFonts w:ascii="Aptos" w:hAnsi="Aptos"/>
                <w:sz w:val="17"/>
              </w:rPr>
              <w:t>Human Resources</w:t>
            </w:r>
          </w:p>
        </w:tc>
        <w:tc>
          <w:tcPr>
            <w:tcW w:type="dxa" w:w="3024"/>
            <w:vAlign w:val="center"/>
            <w:shd w:fill="F2F6FA"/>
            <w:tcBorders>
              <w:top w:val="single" w:sz="5" w:color="D6E0E8"/>
              <w:left w:val="single" w:sz="5" w:color="D6E0E8"/>
              <w:bottom w:val="single" w:sz="5" w:color="D6E0E8"/>
              <w:right w:val="single" w:sz="5" w:color="D6E0E8"/>
              <w:insideH w:val="single" w:sz="5" w:color="D6E0E8"/>
              <w:insideV w:val="single" w:sz="5" w:color="D6E0E8"/>
            </w:tcBorders>
          </w:tcPr>
          <w:p>
            <w:pPr>
              <w:spacing w:after="0" w:before="0"/>
            </w:pPr>
            <w:r>
              <w:rPr>
                <w:rFonts w:ascii="Aptos" w:hAnsi="Aptos"/>
                <w:sz w:val="17"/>
              </w:rPr>
              <w:t>12 / 63</w:t>
            </w:r>
          </w:p>
        </w:tc>
        <w:tc>
          <w:tcPr>
            <w:tcW w:type="dxa" w:w="2880"/>
            <w:vAlign w:val="center"/>
            <w:shd w:fill="F2F6FA"/>
            <w:tcBorders>
              <w:top w:val="single" w:sz="5" w:color="D6E0E8"/>
              <w:left w:val="single" w:sz="5" w:color="D6E0E8"/>
              <w:bottom w:val="single" w:sz="5" w:color="D6E0E8"/>
              <w:right w:val="single" w:sz="5" w:color="D6E0E8"/>
              <w:insideH w:val="single" w:sz="5" w:color="D6E0E8"/>
              <w:insideV w:val="single" w:sz="5" w:color="D6E0E8"/>
            </w:tcBorders>
          </w:tcPr>
          <w:p>
            <w:pPr>
              <w:spacing w:after="0" w:before="0"/>
            </w:pPr>
            <w:r>
              <w:rPr>
                <w:rFonts w:ascii="Aptos" w:hAnsi="Aptos"/>
                <w:sz w:val="17"/>
              </w:rPr>
              <w:t>19.05%</w:t>
            </w:r>
          </w:p>
        </w:tc>
      </w:tr>
      <w:tr>
        <w:trPr>
          <w:cantSplit/>
        </w:trPr>
        <w:tc>
          <w:tcPr>
            <w:tcW w:type="dxa" w:w="3888"/>
            <w:vAlign w:val="center"/>
            <w:tcBorders>
              <w:top w:val="single" w:sz="5" w:color="D6E0E8"/>
              <w:left w:val="single" w:sz="5" w:color="D6E0E8"/>
              <w:bottom w:val="single" w:sz="5" w:color="D6E0E8"/>
              <w:right w:val="single" w:sz="5" w:color="D6E0E8"/>
              <w:insideH w:val="single" w:sz="5" w:color="D6E0E8"/>
              <w:insideV w:val="single" w:sz="5" w:color="D6E0E8"/>
            </w:tcBorders>
          </w:tcPr>
          <w:p>
            <w:pPr>
              <w:spacing w:after="0" w:before="0"/>
            </w:pPr>
            <w:r>
              <w:rPr>
                <w:rFonts w:ascii="Aptos" w:hAnsi="Aptos"/>
                <w:sz w:val="17"/>
              </w:rPr>
              <w:t>Research &amp; Development</w:t>
            </w:r>
          </w:p>
        </w:tc>
        <w:tc>
          <w:tcPr>
            <w:tcW w:type="dxa" w:w="3024"/>
            <w:vAlign w:val="center"/>
            <w:tcBorders>
              <w:top w:val="single" w:sz="5" w:color="D6E0E8"/>
              <w:left w:val="single" w:sz="5" w:color="D6E0E8"/>
              <w:bottom w:val="single" w:sz="5" w:color="D6E0E8"/>
              <w:right w:val="single" w:sz="5" w:color="D6E0E8"/>
              <w:insideH w:val="single" w:sz="5" w:color="D6E0E8"/>
              <w:insideV w:val="single" w:sz="5" w:color="D6E0E8"/>
            </w:tcBorders>
          </w:tcPr>
          <w:p>
            <w:pPr>
              <w:spacing w:after="0" w:before="0"/>
            </w:pPr>
            <w:r>
              <w:rPr>
                <w:rFonts w:ascii="Aptos" w:hAnsi="Aptos"/>
                <w:sz w:val="17"/>
              </w:rPr>
              <w:t>133 / 961</w:t>
            </w:r>
          </w:p>
        </w:tc>
        <w:tc>
          <w:tcPr>
            <w:tcW w:type="dxa" w:w="2880"/>
            <w:vAlign w:val="center"/>
            <w:tcBorders>
              <w:top w:val="single" w:sz="5" w:color="D6E0E8"/>
              <w:left w:val="single" w:sz="5" w:color="D6E0E8"/>
              <w:bottom w:val="single" w:sz="5" w:color="D6E0E8"/>
              <w:right w:val="single" w:sz="5" w:color="D6E0E8"/>
              <w:insideH w:val="single" w:sz="5" w:color="D6E0E8"/>
              <w:insideV w:val="single" w:sz="5" w:color="D6E0E8"/>
            </w:tcBorders>
          </w:tcPr>
          <w:p>
            <w:pPr>
              <w:spacing w:after="0" w:before="0"/>
            </w:pPr>
            <w:r>
              <w:rPr>
                <w:rFonts w:ascii="Aptos" w:hAnsi="Aptos"/>
                <w:sz w:val="17"/>
              </w:rPr>
              <w:t>13.84%</w:t>
            </w:r>
          </w:p>
        </w:tc>
      </w:tr>
    </w:tbl>
    <w:p>
      <w:pPr>
        <w:spacing w:after="0"/>
      </w:pPr>
    </w:p>
    <w:p>
      <w:r>
        <w:t>Sales has the highest observed department rate, while Research &amp; Development has the largest number of leavers because it is the largest department. The rate and the count answer different questions; both are shown to avoid conflating them.</w:t>
      </w:r>
    </w:p>
    <w:p>
      <w:pPr>
        <w:pStyle w:val="Heading2"/>
      </w:pPr>
      <w:r>
        <w:t>Overtime status</w:t>
      </w:r>
    </w:p>
    <w:tbl>
      <w:tblPr>
        <w:tblW w:type="auto" w:w="0"/>
        <w:jc w:val="center"/>
        <w:tblLayout w:type="fixed"/>
        <w:tblLook w:firstColumn="1" w:firstRow="1" w:lastColumn="0" w:lastRow="0" w:noHBand="0" w:noVBand="1" w:val="04A0"/>
      </w:tblPr>
      <w:tblGrid>
        <w:gridCol w:w="3168"/>
        <w:gridCol w:w="3312"/>
        <w:gridCol w:w="3312"/>
      </w:tblGrid>
      <w:tr>
        <w:trPr>
          <w:tblHeader w:val="true"/>
          <w:cantSplit/>
        </w:trPr>
        <w:tc>
          <w:tcPr>
            <w:tcW w:type="dxa" w:w="3389"/>
            <w:shd w:fill="1F4E78"/>
            <w:vAlign w:val="center"/>
            <w:tcBorders>
              <w:top w:val="single" w:sz="4" w:color="FFFFFF"/>
              <w:left w:val="single" w:sz="4" w:color="FFFFFF"/>
              <w:bottom w:val="single" w:sz="4" w:color="FFFFFF"/>
              <w:right w:val="single" w:sz="4" w:color="FFFFFF"/>
              <w:insideH w:val="single" w:sz="4" w:color="FFFFFF"/>
              <w:insideV w:val="single" w:sz="4" w:color="FFFFFF"/>
            </w:tcBorders>
          </w:tcPr>
          <w:p>
            <w:pPr>
              <w:spacing w:after="0"/>
            </w:pPr>
            <w:r>
              <w:rPr>
                <w:rFonts w:ascii="Aptos" w:hAnsi="Aptos"/>
                <w:b/>
                <w:color w:val="FFFFFF"/>
                <w:sz w:val="17"/>
              </w:rPr>
              <w:t>OverTime</w:t>
            </w:r>
          </w:p>
        </w:tc>
        <w:tc>
          <w:tcPr>
            <w:tcW w:type="dxa" w:w="3389"/>
            <w:shd w:fill="1F4E78"/>
            <w:vAlign w:val="center"/>
            <w:tcBorders>
              <w:top w:val="single" w:sz="4" w:color="FFFFFF"/>
              <w:left w:val="single" w:sz="4" w:color="FFFFFF"/>
              <w:bottom w:val="single" w:sz="4" w:color="FFFFFF"/>
              <w:right w:val="single" w:sz="4" w:color="FFFFFF"/>
              <w:insideH w:val="single" w:sz="4" w:color="FFFFFF"/>
              <w:insideV w:val="single" w:sz="4" w:color="FFFFFF"/>
            </w:tcBorders>
          </w:tcPr>
          <w:p>
            <w:pPr>
              <w:spacing w:after="0"/>
            </w:pPr>
            <w:r>
              <w:rPr>
                <w:rFonts w:ascii="Aptos" w:hAnsi="Aptos"/>
                <w:b/>
                <w:color w:val="FFFFFF"/>
                <w:sz w:val="17"/>
              </w:rPr>
              <w:t>Attrition rate</w:t>
            </w:r>
          </w:p>
        </w:tc>
        <w:tc>
          <w:tcPr>
            <w:tcW w:type="dxa" w:w="3389"/>
            <w:shd w:fill="1F4E78"/>
            <w:vAlign w:val="center"/>
            <w:tcBorders>
              <w:top w:val="single" w:sz="4" w:color="FFFFFF"/>
              <w:left w:val="single" w:sz="4" w:color="FFFFFF"/>
              <w:bottom w:val="single" w:sz="4" w:color="FFFFFF"/>
              <w:right w:val="single" w:sz="4" w:color="FFFFFF"/>
              <w:insideH w:val="single" w:sz="4" w:color="FFFFFF"/>
              <w:insideV w:val="single" w:sz="4" w:color="FFFFFF"/>
            </w:tcBorders>
          </w:tcPr>
          <w:p>
            <w:pPr>
              <w:spacing w:after="0"/>
            </w:pPr>
            <w:r>
              <w:rPr>
                <w:rFonts w:ascii="Aptos" w:hAnsi="Aptos"/>
                <w:b/>
                <w:color w:val="FFFFFF"/>
                <w:sz w:val="17"/>
              </w:rPr>
              <w:t>Stayed</w:t>
            </w:r>
          </w:p>
        </w:tc>
      </w:tr>
      <w:tr>
        <w:trPr>
          <w:cantSplit/>
        </w:trPr>
        <w:tc>
          <w:tcPr>
            <w:tcW w:type="dxa" w:w="3168"/>
            <w:vAlign w:val="center"/>
            <w:tcBorders>
              <w:top w:val="single" w:sz="5" w:color="D6E0E8"/>
              <w:left w:val="single" w:sz="5" w:color="D6E0E8"/>
              <w:bottom w:val="single" w:sz="5" w:color="D6E0E8"/>
              <w:right w:val="single" w:sz="5" w:color="D6E0E8"/>
              <w:insideH w:val="single" w:sz="5" w:color="D6E0E8"/>
              <w:insideV w:val="single" w:sz="5" w:color="D6E0E8"/>
            </w:tcBorders>
          </w:tcPr>
          <w:p>
            <w:pPr>
              <w:spacing w:after="0" w:before="0"/>
            </w:pPr>
            <w:r>
              <w:rPr>
                <w:rFonts w:ascii="Aptos" w:hAnsi="Aptos"/>
                <w:sz w:val="17"/>
              </w:rPr>
              <w:t>No</w:t>
            </w:r>
          </w:p>
        </w:tc>
        <w:tc>
          <w:tcPr>
            <w:tcW w:type="dxa" w:w="3312"/>
            <w:vAlign w:val="center"/>
            <w:tcBorders>
              <w:top w:val="single" w:sz="5" w:color="D6E0E8"/>
              <w:left w:val="single" w:sz="5" w:color="D6E0E8"/>
              <w:bottom w:val="single" w:sz="5" w:color="D6E0E8"/>
              <w:right w:val="single" w:sz="5" w:color="D6E0E8"/>
              <w:insideH w:val="single" w:sz="5" w:color="D6E0E8"/>
              <w:insideV w:val="single" w:sz="5" w:color="D6E0E8"/>
            </w:tcBorders>
          </w:tcPr>
          <w:p>
            <w:pPr>
              <w:spacing w:after="0" w:before="0"/>
            </w:pPr>
            <w:r>
              <w:rPr>
                <w:rFonts w:ascii="Aptos" w:hAnsi="Aptos"/>
                <w:sz w:val="17"/>
              </w:rPr>
              <w:t>10.44%</w:t>
            </w:r>
          </w:p>
        </w:tc>
        <w:tc>
          <w:tcPr>
            <w:tcW w:type="dxa" w:w="3312"/>
            <w:vAlign w:val="center"/>
            <w:tcBorders>
              <w:top w:val="single" w:sz="5" w:color="D6E0E8"/>
              <w:left w:val="single" w:sz="5" w:color="D6E0E8"/>
              <w:bottom w:val="single" w:sz="5" w:color="D6E0E8"/>
              <w:right w:val="single" w:sz="5" w:color="D6E0E8"/>
              <w:insideH w:val="single" w:sz="5" w:color="D6E0E8"/>
              <w:insideV w:val="single" w:sz="5" w:color="D6E0E8"/>
            </w:tcBorders>
          </w:tcPr>
          <w:p>
            <w:pPr>
              <w:spacing w:after="0" w:before="0"/>
            </w:pPr>
            <w:r>
              <w:rPr>
                <w:rFonts w:ascii="Aptos" w:hAnsi="Aptos"/>
                <w:sz w:val="17"/>
              </w:rPr>
              <w:t>89.56%</w:t>
            </w:r>
          </w:p>
        </w:tc>
      </w:tr>
      <w:tr>
        <w:trPr>
          <w:cantSplit/>
        </w:trPr>
        <w:tc>
          <w:tcPr>
            <w:tcW w:type="dxa" w:w="3168"/>
            <w:vAlign w:val="center"/>
            <w:shd w:fill="F2F6FA"/>
            <w:tcBorders>
              <w:top w:val="single" w:sz="5" w:color="D6E0E8"/>
              <w:left w:val="single" w:sz="5" w:color="D6E0E8"/>
              <w:bottom w:val="single" w:sz="5" w:color="D6E0E8"/>
              <w:right w:val="single" w:sz="5" w:color="D6E0E8"/>
              <w:insideH w:val="single" w:sz="5" w:color="D6E0E8"/>
              <w:insideV w:val="single" w:sz="5" w:color="D6E0E8"/>
            </w:tcBorders>
          </w:tcPr>
          <w:p>
            <w:pPr>
              <w:spacing w:after="0" w:before="0"/>
            </w:pPr>
            <w:r>
              <w:rPr>
                <w:rFonts w:ascii="Aptos" w:hAnsi="Aptos"/>
                <w:sz w:val="17"/>
              </w:rPr>
              <w:t>Yes</w:t>
            </w:r>
          </w:p>
        </w:tc>
        <w:tc>
          <w:tcPr>
            <w:tcW w:type="dxa" w:w="3312"/>
            <w:vAlign w:val="center"/>
            <w:shd w:fill="F2F6FA"/>
            <w:tcBorders>
              <w:top w:val="single" w:sz="5" w:color="D6E0E8"/>
              <w:left w:val="single" w:sz="5" w:color="D6E0E8"/>
              <w:bottom w:val="single" w:sz="5" w:color="D6E0E8"/>
              <w:right w:val="single" w:sz="5" w:color="D6E0E8"/>
              <w:insideH w:val="single" w:sz="5" w:color="D6E0E8"/>
              <w:insideV w:val="single" w:sz="5" w:color="D6E0E8"/>
            </w:tcBorders>
          </w:tcPr>
          <w:p>
            <w:pPr>
              <w:spacing w:after="0" w:before="0"/>
            </w:pPr>
            <w:r>
              <w:rPr>
                <w:rFonts w:ascii="Aptos" w:hAnsi="Aptos"/>
                <w:sz w:val="17"/>
              </w:rPr>
              <w:t>30.53%</w:t>
            </w:r>
          </w:p>
        </w:tc>
        <w:tc>
          <w:tcPr>
            <w:tcW w:type="dxa" w:w="3312"/>
            <w:vAlign w:val="center"/>
            <w:shd w:fill="F2F6FA"/>
            <w:tcBorders>
              <w:top w:val="single" w:sz="5" w:color="D6E0E8"/>
              <w:left w:val="single" w:sz="5" w:color="D6E0E8"/>
              <w:bottom w:val="single" w:sz="5" w:color="D6E0E8"/>
              <w:right w:val="single" w:sz="5" w:color="D6E0E8"/>
              <w:insideH w:val="single" w:sz="5" w:color="D6E0E8"/>
              <w:insideV w:val="single" w:sz="5" w:color="D6E0E8"/>
            </w:tcBorders>
          </w:tcPr>
          <w:p>
            <w:pPr>
              <w:spacing w:after="0" w:before="0"/>
            </w:pPr>
            <w:r>
              <w:rPr>
                <w:rFonts w:ascii="Aptos" w:hAnsi="Aptos"/>
                <w:sz w:val="17"/>
              </w:rPr>
              <w:t>69.47%</w:t>
            </w:r>
          </w:p>
        </w:tc>
      </w:tr>
    </w:tbl>
    <w:p>
      <w:pPr>
        <w:spacing w:after="0"/>
      </w:pPr>
    </w:p>
    <w:p>
      <w:r>
        <w:t>The overtime-group difference is 20.09 percentage points (30.53% minus 10.44%). This is the clearest contrast among the featured dashboard segments. Further review could examine workload, scheduling, role, and tenure together before deciding on any intervention.</w:t>
      </w:r>
    </w:p>
    <w:p>
      <w:pPr>
        <w:pStyle w:val="Heading2"/>
      </w:pPr>
      <w:r>
        <w:t>Job level</w:t>
      </w:r>
    </w:p>
    <w:tbl>
      <w:tblPr>
        <w:tblW w:type="auto" w:w="0"/>
        <w:jc w:val="center"/>
        <w:tblLayout w:type="fixed"/>
        <w:tblLook w:firstColumn="1" w:firstRow="1" w:lastColumn="0" w:lastRow="0" w:noHBand="0" w:noVBand="1" w:val="04A0"/>
      </w:tblPr>
      <w:tblGrid>
        <w:gridCol w:w="4896"/>
        <w:gridCol w:w="4896"/>
      </w:tblGrid>
      <w:tr>
        <w:trPr>
          <w:tblHeader w:val="true"/>
          <w:cantSplit/>
        </w:trPr>
        <w:tc>
          <w:tcPr>
            <w:tcW w:type="dxa" w:w="5083"/>
            <w:shd w:fill="1F4E78"/>
            <w:vAlign w:val="center"/>
            <w:tcBorders>
              <w:top w:val="single" w:sz="4" w:color="FFFFFF"/>
              <w:left w:val="single" w:sz="4" w:color="FFFFFF"/>
              <w:bottom w:val="single" w:sz="4" w:color="FFFFFF"/>
              <w:right w:val="single" w:sz="4" w:color="FFFFFF"/>
              <w:insideH w:val="single" w:sz="4" w:color="FFFFFF"/>
              <w:insideV w:val="single" w:sz="4" w:color="FFFFFF"/>
            </w:tcBorders>
          </w:tcPr>
          <w:p>
            <w:pPr>
              <w:spacing w:after="0"/>
            </w:pPr>
            <w:r>
              <w:rPr>
                <w:rFonts w:ascii="Aptos" w:hAnsi="Aptos"/>
                <w:b/>
                <w:color w:val="FFFFFF"/>
                <w:sz w:val="17"/>
              </w:rPr>
              <w:t>Job level</w:t>
            </w:r>
          </w:p>
        </w:tc>
        <w:tc>
          <w:tcPr>
            <w:tcW w:type="dxa" w:w="5083"/>
            <w:shd w:fill="1F4E78"/>
            <w:vAlign w:val="center"/>
            <w:tcBorders>
              <w:top w:val="single" w:sz="4" w:color="FFFFFF"/>
              <w:left w:val="single" w:sz="4" w:color="FFFFFF"/>
              <w:bottom w:val="single" w:sz="4" w:color="FFFFFF"/>
              <w:right w:val="single" w:sz="4" w:color="FFFFFF"/>
              <w:insideH w:val="single" w:sz="4" w:color="FFFFFF"/>
              <w:insideV w:val="single" w:sz="4" w:color="FFFFFF"/>
            </w:tcBorders>
          </w:tcPr>
          <w:p>
            <w:pPr>
              <w:spacing w:after="0"/>
            </w:pPr>
            <w:r>
              <w:rPr>
                <w:rFonts w:ascii="Aptos" w:hAnsi="Aptos"/>
                <w:b/>
                <w:color w:val="FFFFFF"/>
                <w:sz w:val="17"/>
              </w:rPr>
              <w:t>Attrition rate</w:t>
            </w:r>
          </w:p>
        </w:tc>
      </w:tr>
      <w:tr>
        <w:trPr>
          <w:cantSplit/>
        </w:trPr>
        <w:tc>
          <w:tcPr>
            <w:tcW w:type="dxa" w:w="4896"/>
            <w:vAlign w:val="center"/>
            <w:tcBorders>
              <w:top w:val="single" w:sz="5" w:color="D6E0E8"/>
              <w:left w:val="single" w:sz="5" w:color="D6E0E8"/>
              <w:bottom w:val="single" w:sz="5" w:color="D6E0E8"/>
              <w:right w:val="single" w:sz="5" w:color="D6E0E8"/>
              <w:insideH w:val="single" w:sz="5" w:color="D6E0E8"/>
              <w:insideV w:val="single" w:sz="5" w:color="D6E0E8"/>
            </w:tcBorders>
          </w:tcPr>
          <w:p>
            <w:pPr>
              <w:spacing w:after="0" w:before="0"/>
            </w:pPr>
            <w:r>
              <w:rPr>
                <w:rFonts w:ascii="Aptos" w:hAnsi="Aptos"/>
                <w:sz w:val="17"/>
              </w:rPr>
              <w:t>1</w:t>
            </w:r>
          </w:p>
        </w:tc>
        <w:tc>
          <w:tcPr>
            <w:tcW w:type="dxa" w:w="4896"/>
            <w:vAlign w:val="center"/>
            <w:tcBorders>
              <w:top w:val="single" w:sz="5" w:color="D6E0E8"/>
              <w:left w:val="single" w:sz="5" w:color="D6E0E8"/>
              <w:bottom w:val="single" w:sz="5" w:color="D6E0E8"/>
              <w:right w:val="single" w:sz="5" w:color="D6E0E8"/>
              <w:insideH w:val="single" w:sz="5" w:color="D6E0E8"/>
              <w:insideV w:val="single" w:sz="5" w:color="D6E0E8"/>
            </w:tcBorders>
          </w:tcPr>
          <w:p>
            <w:pPr>
              <w:spacing w:after="0" w:before="0"/>
            </w:pPr>
            <w:r>
              <w:rPr>
                <w:rFonts w:ascii="Aptos" w:hAnsi="Aptos"/>
                <w:sz w:val="17"/>
              </w:rPr>
              <w:t>26.34%</w:t>
            </w:r>
          </w:p>
        </w:tc>
      </w:tr>
      <w:tr>
        <w:trPr>
          <w:cantSplit/>
        </w:trPr>
        <w:tc>
          <w:tcPr>
            <w:tcW w:type="dxa" w:w="4896"/>
            <w:vAlign w:val="center"/>
            <w:shd w:fill="F2F6FA"/>
            <w:tcBorders>
              <w:top w:val="single" w:sz="5" w:color="D6E0E8"/>
              <w:left w:val="single" w:sz="5" w:color="D6E0E8"/>
              <w:bottom w:val="single" w:sz="5" w:color="D6E0E8"/>
              <w:right w:val="single" w:sz="5" w:color="D6E0E8"/>
              <w:insideH w:val="single" w:sz="5" w:color="D6E0E8"/>
              <w:insideV w:val="single" w:sz="5" w:color="D6E0E8"/>
            </w:tcBorders>
          </w:tcPr>
          <w:p>
            <w:pPr>
              <w:spacing w:after="0" w:before="0"/>
            </w:pPr>
            <w:r>
              <w:rPr>
                <w:rFonts w:ascii="Aptos" w:hAnsi="Aptos"/>
                <w:sz w:val="17"/>
              </w:rPr>
              <w:t>2</w:t>
            </w:r>
          </w:p>
        </w:tc>
        <w:tc>
          <w:tcPr>
            <w:tcW w:type="dxa" w:w="4896"/>
            <w:vAlign w:val="center"/>
            <w:shd w:fill="F2F6FA"/>
            <w:tcBorders>
              <w:top w:val="single" w:sz="5" w:color="D6E0E8"/>
              <w:left w:val="single" w:sz="5" w:color="D6E0E8"/>
              <w:bottom w:val="single" w:sz="5" w:color="D6E0E8"/>
              <w:right w:val="single" w:sz="5" w:color="D6E0E8"/>
              <w:insideH w:val="single" w:sz="5" w:color="D6E0E8"/>
              <w:insideV w:val="single" w:sz="5" w:color="D6E0E8"/>
            </w:tcBorders>
          </w:tcPr>
          <w:p>
            <w:pPr>
              <w:spacing w:after="0" w:before="0"/>
            </w:pPr>
            <w:r>
              <w:rPr>
                <w:rFonts w:ascii="Aptos" w:hAnsi="Aptos"/>
                <w:sz w:val="17"/>
              </w:rPr>
              <w:t>9.74%</w:t>
            </w:r>
          </w:p>
        </w:tc>
      </w:tr>
      <w:tr>
        <w:trPr>
          <w:cantSplit/>
        </w:trPr>
        <w:tc>
          <w:tcPr>
            <w:tcW w:type="dxa" w:w="4896"/>
            <w:vAlign w:val="center"/>
            <w:tcBorders>
              <w:top w:val="single" w:sz="5" w:color="D6E0E8"/>
              <w:left w:val="single" w:sz="5" w:color="D6E0E8"/>
              <w:bottom w:val="single" w:sz="5" w:color="D6E0E8"/>
              <w:right w:val="single" w:sz="5" w:color="D6E0E8"/>
              <w:insideH w:val="single" w:sz="5" w:color="D6E0E8"/>
              <w:insideV w:val="single" w:sz="5" w:color="D6E0E8"/>
            </w:tcBorders>
          </w:tcPr>
          <w:p>
            <w:pPr>
              <w:spacing w:after="0" w:before="0"/>
            </w:pPr>
            <w:r>
              <w:rPr>
                <w:rFonts w:ascii="Aptos" w:hAnsi="Aptos"/>
                <w:sz w:val="17"/>
              </w:rPr>
              <w:t>3</w:t>
            </w:r>
          </w:p>
        </w:tc>
        <w:tc>
          <w:tcPr>
            <w:tcW w:type="dxa" w:w="4896"/>
            <w:vAlign w:val="center"/>
            <w:tcBorders>
              <w:top w:val="single" w:sz="5" w:color="D6E0E8"/>
              <w:left w:val="single" w:sz="5" w:color="D6E0E8"/>
              <w:bottom w:val="single" w:sz="5" w:color="D6E0E8"/>
              <w:right w:val="single" w:sz="5" w:color="D6E0E8"/>
              <w:insideH w:val="single" w:sz="5" w:color="D6E0E8"/>
              <w:insideV w:val="single" w:sz="5" w:color="D6E0E8"/>
            </w:tcBorders>
          </w:tcPr>
          <w:p>
            <w:pPr>
              <w:spacing w:after="0" w:before="0"/>
            </w:pPr>
            <w:r>
              <w:rPr>
                <w:rFonts w:ascii="Aptos" w:hAnsi="Aptos"/>
                <w:sz w:val="17"/>
              </w:rPr>
              <w:t>14.68%</w:t>
            </w:r>
          </w:p>
        </w:tc>
      </w:tr>
      <w:tr>
        <w:trPr>
          <w:cantSplit/>
        </w:trPr>
        <w:tc>
          <w:tcPr>
            <w:tcW w:type="dxa" w:w="4896"/>
            <w:vAlign w:val="center"/>
            <w:shd w:fill="F2F6FA"/>
            <w:tcBorders>
              <w:top w:val="single" w:sz="5" w:color="D6E0E8"/>
              <w:left w:val="single" w:sz="5" w:color="D6E0E8"/>
              <w:bottom w:val="single" w:sz="5" w:color="D6E0E8"/>
              <w:right w:val="single" w:sz="5" w:color="D6E0E8"/>
              <w:insideH w:val="single" w:sz="5" w:color="D6E0E8"/>
              <w:insideV w:val="single" w:sz="5" w:color="D6E0E8"/>
            </w:tcBorders>
          </w:tcPr>
          <w:p>
            <w:pPr>
              <w:spacing w:after="0" w:before="0"/>
            </w:pPr>
            <w:r>
              <w:rPr>
                <w:rFonts w:ascii="Aptos" w:hAnsi="Aptos"/>
                <w:sz w:val="17"/>
              </w:rPr>
              <w:t>4</w:t>
            </w:r>
          </w:p>
        </w:tc>
        <w:tc>
          <w:tcPr>
            <w:tcW w:type="dxa" w:w="4896"/>
            <w:vAlign w:val="center"/>
            <w:shd w:fill="F2F6FA"/>
            <w:tcBorders>
              <w:top w:val="single" w:sz="5" w:color="D6E0E8"/>
              <w:left w:val="single" w:sz="5" w:color="D6E0E8"/>
              <w:bottom w:val="single" w:sz="5" w:color="D6E0E8"/>
              <w:right w:val="single" w:sz="5" w:color="D6E0E8"/>
              <w:insideH w:val="single" w:sz="5" w:color="D6E0E8"/>
              <w:insideV w:val="single" w:sz="5" w:color="D6E0E8"/>
            </w:tcBorders>
          </w:tcPr>
          <w:p>
            <w:pPr>
              <w:spacing w:after="0" w:before="0"/>
            </w:pPr>
            <w:r>
              <w:rPr>
                <w:rFonts w:ascii="Aptos" w:hAnsi="Aptos"/>
                <w:sz w:val="17"/>
              </w:rPr>
              <w:t>4.72%</w:t>
            </w:r>
          </w:p>
        </w:tc>
      </w:tr>
      <w:tr>
        <w:trPr>
          <w:cantSplit/>
        </w:trPr>
        <w:tc>
          <w:tcPr>
            <w:tcW w:type="dxa" w:w="4896"/>
            <w:vAlign w:val="center"/>
            <w:tcBorders>
              <w:top w:val="single" w:sz="5" w:color="D6E0E8"/>
              <w:left w:val="single" w:sz="5" w:color="D6E0E8"/>
              <w:bottom w:val="single" w:sz="5" w:color="D6E0E8"/>
              <w:right w:val="single" w:sz="5" w:color="D6E0E8"/>
              <w:insideH w:val="single" w:sz="5" w:color="D6E0E8"/>
              <w:insideV w:val="single" w:sz="5" w:color="D6E0E8"/>
            </w:tcBorders>
          </w:tcPr>
          <w:p>
            <w:pPr>
              <w:spacing w:after="0" w:before="0"/>
            </w:pPr>
            <w:r>
              <w:rPr>
                <w:rFonts w:ascii="Aptos" w:hAnsi="Aptos"/>
                <w:sz w:val="17"/>
              </w:rPr>
              <w:t>5</w:t>
            </w:r>
          </w:p>
        </w:tc>
        <w:tc>
          <w:tcPr>
            <w:tcW w:type="dxa" w:w="4896"/>
            <w:vAlign w:val="center"/>
            <w:tcBorders>
              <w:top w:val="single" w:sz="5" w:color="D6E0E8"/>
              <w:left w:val="single" w:sz="5" w:color="D6E0E8"/>
              <w:bottom w:val="single" w:sz="5" w:color="D6E0E8"/>
              <w:right w:val="single" w:sz="5" w:color="D6E0E8"/>
              <w:insideH w:val="single" w:sz="5" w:color="D6E0E8"/>
              <w:insideV w:val="single" w:sz="5" w:color="D6E0E8"/>
            </w:tcBorders>
          </w:tcPr>
          <w:p>
            <w:pPr>
              <w:spacing w:after="0" w:before="0"/>
            </w:pPr>
            <w:r>
              <w:rPr>
                <w:rFonts w:ascii="Aptos" w:hAnsi="Aptos"/>
                <w:sz w:val="17"/>
              </w:rPr>
              <w:t>7.25%</w:t>
            </w:r>
          </w:p>
        </w:tc>
      </w:tr>
    </w:tbl>
    <w:p>
      <w:pPr>
        <w:spacing w:after="0"/>
      </w:pPr>
    </w:p>
    <w:p>
      <w:r>
        <w:t>Level 1 has the highest rate among the five levels shown; levels 4 and 5 have lower observed rates. The pattern is not strictly monotonic, so it should not be simplified to “attrition falls at every higher level.” Group sizes are not shown in this compact comparison and should be checked before action.</w:t>
      </w:r>
    </w:p>
    <w:p>
      <w:pPr>
        <w:pStyle w:val="Heading2"/>
      </w:pPr>
      <w:r>
        <w:t>Tenure bands</w:t>
      </w:r>
    </w:p>
    <w:tbl>
      <w:tblPr>
        <w:tblW w:type="auto" w:w="0"/>
        <w:jc w:val="center"/>
        <w:tblLayout w:type="fixed"/>
        <w:tblLook w:firstColumn="1" w:firstRow="1" w:lastColumn="0" w:lastRow="0" w:noHBand="0" w:noVBand="1" w:val="04A0"/>
      </w:tblPr>
      <w:tblGrid>
        <w:gridCol w:w="3168"/>
        <w:gridCol w:w="3024"/>
        <w:gridCol w:w="3600"/>
      </w:tblGrid>
      <w:tr>
        <w:trPr>
          <w:tblHeader w:val="true"/>
          <w:cantSplit/>
        </w:trPr>
        <w:tc>
          <w:tcPr>
            <w:tcW w:type="dxa" w:w="3389"/>
            <w:shd w:fill="1F4E78"/>
            <w:vAlign w:val="center"/>
            <w:tcBorders>
              <w:top w:val="single" w:sz="4" w:color="FFFFFF"/>
              <w:left w:val="single" w:sz="4" w:color="FFFFFF"/>
              <w:bottom w:val="single" w:sz="4" w:color="FFFFFF"/>
              <w:right w:val="single" w:sz="4" w:color="FFFFFF"/>
              <w:insideH w:val="single" w:sz="4" w:color="FFFFFF"/>
              <w:insideV w:val="single" w:sz="4" w:color="FFFFFF"/>
            </w:tcBorders>
          </w:tcPr>
          <w:p>
            <w:pPr>
              <w:spacing w:after="0"/>
            </w:pPr>
            <w:r>
              <w:rPr>
                <w:rFonts w:ascii="Aptos" w:hAnsi="Aptos"/>
                <w:b/>
                <w:color w:val="FFFFFF"/>
                <w:sz w:val="16"/>
              </w:rPr>
              <w:t>Years at company</w:t>
            </w:r>
          </w:p>
        </w:tc>
        <w:tc>
          <w:tcPr>
            <w:tcW w:type="dxa" w:w="3389"/>
            <w:shd w:fill="1F4E78"/>
            <w:vAlign w:val="center"/>
            <w:tcBorders>
              <w:top w:val="single" w:sz="4" w:color="FFFFFF"/>
              <w:left w:val="single" w:sz="4" w:color="FFFFFF"/>
              <w:bottom w:val="single" w:sz="4" w:color="FFFFFF"/>
              <w:right w:val="single" w:sz="4" w:color="FFFFFF"/>
              <w:insideH w:val="single" w:sz="4" w:color="FFFFFF"/>
              <w:insideV w:val="single" w:sz="4" w:color="FFFFFF"/>
            </w:tcBorders>
          </w:tcPr>
          <w:p>
            <w:pPr>
              <w:spacing w:after="0"/>
            </w:pPr>
            <w:r>
              <w:rPr>
                <w:rFonts w:ascii="Aptos" w:hAnsi="Aptos"/>
                <w:b/>
                <w:color w:val="FFFFFF"/>
                <w:sz w:val="16"/>
              </w:rPr>
              <w:t>Attrition rate</w:t>
            </w:r>
          </w:p>
        </w:tc>
        <w:tc>
          <w:tcPr>
            <w:tcW w:type="dxa" w:w="3389"/>
            <w:shd w:fill="1F4E78"/>
            <w:vAlign w:val="center"/>
            <w:tcBorders>
              <w:top w:val="single" w:sz="4" w:color="FFFFFF"/>
              <w:left w:val="single" w:sz="4" w:color="FFFFFF"/>
              <w:bottom w:val="single" w:sz="4" w:color="FFFFFF"/>
              <w:right w:val="single" w:sz="4" w:color="FFFFFF"/>
              <w:insideH w:val="single" w:sz="4" w:color="FFFFFF"/>
              <w:insideV w:val="single" w:sz="4" w:color="FFFFFF"/>
            </w:tcBorders>
          </w:tcPr>
          <w:p>
            <w:pPr>
              <w:spacing w:after="0"/>
            </w:pPr>
            <w:r>
              <w:rPr>
                <w:rFonts w:ascii="Aptos" w:hAnsi="Aptos"/>
                <w:b/>
                <w:color w:val="FFFFFF"/>
                <w:sz w:val="16"/>
              </w:rPr>
              <w:t>Leavers / employees</w:t>
            </w:r>
          </w:p>
        </w:tc>
      </w:tr>
      <w:tr>
        <w:trPr>
          <w:cantSplit/>
        </w:trPr>
        <w:tc>
          <w:tcPr>
            <w:tcW w:type="dxa" w:w="3168"/>
            <w:vAlign w:val="center"/>
            <w:tcBorders>
              <w:top w:val="single" w:sz="5" w:color="D6E0E8"/>
              <w:left w:val="single" w:sz="5" w:color="D6E0E8"/>
              <w:bottom w:val="single" w:sz="5" w:color="D6E0E8"/>
              <w:right w:val="single" w:sz="5" w:color="D6E0E8"/>
              <w:insideH w:val="single" w:sz="5" w:color="D6E0E8"/>
              <w:insideV w:val="single" w:sz="5" w:color="D6E0E8"/>
            </w:tcBorders>
          </w:tcPr>
          <w:p>
            <w:pPr>
              <w:spacing w:after="0" w:before="0"/>
            </w:pPr>
            <w:r>
              <w:rPr>
                <w:rFonts w:ascii="Aptos" w:hAnsi="Aptos"/>
                <w:sz w:val="16"/>
              </w:rPr>
              <w:t>0–4</w:t>
            </w:r>
          </w:p>
        </w:tc>
        <w:tc>
          <w:tcPr>
            <w:tcW w:type="dxa" w:w="3024"/>
            <w:vAlign w:val="center"/>
            <w:tcBorders>
              <w:top w:val="single" w:sz="5" w:color="D6E0E8"/>
              <w:left w:val="single" w:sz="5" w:color="D6E0E8"/>
              <w:bottom w:val="single" w:sz="5" w:color="D6E0E8"/>
              <w:right w:val="single" w:sz="5" w:color="D6E0E8"/>
              <w:insideH w:val="single" w:sz="5" w:color="D6E0E8"/>
              <w:insideV w:val="single" w:sz="5" w:color="D6E0E8"/>
            </w:tcBorders>
          </w:tcPr>
          <w:p>
            <w:pPr>
              <w:spacing w:after="0" w:before="0"/>
            </w:pPr>
            <w:r>
              <w:rPr>
                <w:rFonts w:ascii="Aptos" w:hAnsi="Aptos"/>
                <w:sz w:val="16"/>
              </w:rPr>
              <w:t>24.31%</w:t>
            </w:r>
          </w:p>
        </w:tc>
        <w:tc>
          <w:tcPr>
            <w:tcW w:type="dxa" w:w="3600"/>
            <w:vAlign w:val="center"/>
            <w:tcBorders>
              <w:top w:val="single" w:sz="5" w:color="D6E0E8"/>
              <w:left w:val="single" w:sz="5" w:color="D6E0E8"/>
              <w:bottom w:val="single" w:sz="5" w:color="D6E0E8"/>
              <w:right w:val="single" w:sz="5" w:color="D6E0E8"/>
              <w:insideH w:val="single" w:sz="5" w:color="D6E0E8"/>
              <w:insideV w:val="single" w:sz="5" w:color="D6E0E8"/>
            </w:tcBorders>
          </w:tcPr>
          <w:p>
            <w:pPr>
              <w:spacing w:after="0" w:before="0"/>
            </w:pPr>
            <w:r>
              <w:rPr>
                <w:rFonts w:ascii="Aptos" w:hAnsi="Aptos"/>
                <w:sz w:val="16"/>
              </w:rPr>
              <w:t>141 / 580</w:t>
            </w:r>
          </w:p>
        </w:tc>
      </w:tr>
      <w:tr>
        <w:trPr>
          <w:cantSplit/>
        </w:trPr>
        <w:tc>
          <w:tcPr>
            <w:tcW w:type="dxa" w:w="3168"/>
            <w:vAlign w:val="center"/>
            <w:shd w:fill="F2F6FA"/>
            <w:tcBorders>
              <w:top w:val="single" w:sz="5" w:color="D6E0E8"/>
              <w:left w:val="single" w:sz="5" w:color="D6E0E8"/>
              <w:bottom w:val="single" w:sz="5" w:color="D6E0E8"/>
              <w:right w:val="single" w:sz="5" w:color="D6E0E8"/>
              <w:insideH w:val="single" w:sz="5" w:color="D6E0E8"/>
              <w:insideV w:val="single" w:sz="5" w:color="D6E0E8"/>
            </w:tcBorders>
          </w:tcPr>
          <w:p>
            <w:pPr>
              <w:spacing w:after="0" w:before="0"/>
            </w:pPr>
            <w:r>
              <w:rPr>
                <w:rFonts w:ascii="Aptos" w:hAnsi="Aptos"/>
                <w:sz w:val="16"/>
              </w:rPr>
              <w:t>5–9</w:t>
            </w:r>
          </w:p>
        </w:tc>
        <w:tc>
          <w:tcPr>
            <w:tcW w:type="dxa" w:w="3024"/>
            <w:vAlign w:val="center"/>
            <w:shd w:fill="F2F6FA"/>
            <w:tcBorders>
              <w:top w:val="single" w:sz="5" w:color="D6E0E8"/>
              <w:left w:val="single" w:sz="5" w:color="D6E0E8"/>
              <w:bottom w:val="single" w:sz="5" w:color="D6E0E8"/>
              <w:right w:val="single" w:sz="5" w:color="D6E0E8"/>
              <w:insideH w:val="single" w:sz="5" w:color="D6E0E8"/>
              <w:insideV w:val="single" w:sz="5" w:color="D6E0E8"/>
            </w:tcBorders>
          </w:tcPr>
          <w:p>
            <w:pPr>
              <w:spacing w:after="0" w:before="0"/>
            </w:pPr>
            <w:r>
              <w:rPr>
                <w:rFonts w:ascii="Aptos" w:hAnsi="Aptos"/>
                <w:sz w:val="16"/>
              </w:rPr>
              <w:t>11.07%</w:t>
            </w:r>
          </w:p>
        </w:tc>
        <w:tc>
          <w:tcPr>
            <w:tcW w:type="dxa" w:w="3600"/>
            <w:vAlign w:val="center"/>
            <w:shd w:fill="F2F6FA"/>
            <w:tcBorders>
              <w:top w:val="single" w:sz="5" w:color="D6E0E8"/>
              <w:left w:val="single" w:sz="5" w:color="D6E0E8"/>
              <w:bottom w:val="single" w:sz="5" w:color="D6E0E8"/>
              <w:right w:val="single" w:sz="5" w:color="D6E0E8"/>
              <w:insideH w:val="single" w:sz="5" w:color="D6E0E8"/>
              <w:insideV w:val="single" w:sz="5" w:color="D6E0E8"/>
            </w:tcBorders>
          </w:tcPr>
          <w:p>
            <w:pPr>
              <w:spacing w:after="0" w:before="0"/>
            </w:pPr>
            <w:r>
              <w:rPr>
                <w:rFonts w:ascii="Aptos" w:hAnsi="Aptos"/>
                <w:sz w:val="16"/>
              </w:rPr>
              <w:t>58 / 524</w:t>
            </w:r>
          </w:p>
        </w:tc>
      </w:tr>
      <w:tr>
        <w:trPr>
          <w:cantSplit/>
        </w:trPr>
        <w:tc>
          <w:tcPr>
            <w:tcW w:type="dxa" w:w="3168"/>
            <w:vAlign w:val="center"/>
            <w:tcBorders>
              <w:top w:val="single" w:sz="5" w:color="D6E0E8"/>
              <w:left w:val="single" w:sz="5" w:color="D6E0E8"/>
              <w:bottom w:val="single" w:sz="5" w:color="D6E0E8"/>
              <w:right w:val="single" w:sz="5" w:color="D6E0E8"/>
              <w:insideH w:val="single" w:sz="5" w:color="D6E0E8"/>
              <w:insideV w:val="single" w:sz="5" w:color="D6E0E8"/>
            </w:tcBorders>
          </w:tcPr>
          <w:p>
            <w:pPr>
              <w:spacing w:after="0" w:before="0"/>
            </w:pPr>
            <w:r>
              <w:rPr>
                <w:rFonts w:ascii="Aptos" w:hAnsi="Aptos"/>
                <w:sz w:val="16"/>
              </w:rPr>
              <w:t>10–14</w:t>
            </w:r>
          </w:p>
        </w:tc>
        <w:tc>
          <w:tcPr>
            <w:tcW w:type="dxa" w:w="3024"/>
            <w:vAlign w:val="center"/>
            <w:tcBorders>
              <w:top w:val="single" w:sz="5" w:color="D6E0E8"/>
              <w:left w:val="single" w:sz="5" w:color="D6E0E8"/>
              <w:bottom w:val="single" w:sz="5" w:color="D6E0E8"/>
              <w:right w:val="single" w:sz="5" w:color="D6E0E8"/>
              <w:insideH w:val="single" w:sz="5" w:color="D6E0E8"/>
              <w:insideV w:val="single" w:sz="5" w:color="D6E0E8"/>
            </w:tcBorders>
          </w:tcPr>
          <w:p>
            <w:pPr>
              <w:spacing w:after="0" w:before="0"/>
            </w:pPr>
            <w:r>
              <w:rPr>
                <w:rFonts w:ascii="Aptos" w:hAnsi="Aptos"/>
                <w:sz w:val="16"/>
              </w:rPr>
              <w:t>11.54%</w:t>
            </w:r>
          </w:p>
        </w:tc>
        <w:tc>
          <w:tcPr>
            <w:tcW w:type="dxa" w:w="3600"/>
            <w:vAlign w:val="center"/>
            <w:tcBorders>
              <w:top w:val="single" w:sz="5" w:color="D6E0E8"/>
              <w:left w:val="single" w:sz="5" w:color="D6E0E8"/>
              <w:bottom w:val="single" w:sz="5" w:color="D6E0E8"/>
              <w:right w:val="single" w:sz="5" w:color="D6E0E8"/>
              <w:insideH w:val="single" w:sz="5" w:color="D6E0E8"/>
              <w:insideV w:val="single" w:sz="5" w:color="D6E0E8"/>
            </w:tcBorders>
          </w:tcPr>
          <w:p>
            <w:pPr>
              <w:spacing w:after="0" w:before="0"/>
            </w:pPr>
            <w:r>
              <w:rPr>
                <w:rFonts w:ascii="Aptos" w:hAnsi="Aptos"/>
                <w:sz w:val="16"/>
              </w:rPr>
              <w:t>24 / 208</w:t>
            </w:r>
          </w:p>
        </w:tc>
      </w:tr>
      <w:tr>
        <w:trPr>
          <w:cantSplit/>
        </w:trPr>
        <w:tc>
          <w:tcPr>
            <w:tcW w:type="dxa" w:w="3168"/>
            <w:vAlign w:val="center"/>
            <w:shd w:fill="F2F6FA"/>
            <w:tcBorders>
              <w:top w:val="single" w:sz="5" w:color="D6E0E8"/>
              <w:left w:val="single" w:sz="5" w:color="D6E0E8"/>
              <w:bottom w:val="single" w:sz="5" w:color="D6E0E8"/>
              <w:right w:val="single" w:sz="5" w:color="D6E0E8"/>
              <w:insideH w:val="single" w:sz="5" w:color="D6E0E8"/>
              <w:insideV w:val="single" w:sz="5" w:color="D6E0E8"/>
            </w:tcBorders>
          </w:tcPr>
          <w:p>
            <w:pPr>
              <w:spacing w:after="0" w:before="0"/>
            </w:pPr>
            <w:r>
              <w:rPr>
                <w:rFonts w:ascii="Aptos" w:hAnsi="Aptos"/>
                <w:sz w:val="16"/>
              </w:rPr>
              <w:t>15–19</w:t>
            </w:r>
          </w:p>
        </w:tc>
        <w:tc>
          <w:tcPr>
            <w:tcW w:type="dxa" w:w="3024"/>
            <w:vAlign w:val="center"/>
            <w:shd w:fill="F2F6FA"/>
            <w:tcBorders>
              <w:top w:val="single" w:sz="5" w:color="D6E0E8"/>
              <w:left w:val="single" w:sz="5" w:color="D6E0E8"/>
              <w:bottom w:val="single" w:sz="5" w:color="D6E0E8"/>
              <w:right w:val="single" w:sz="5" w:color="D6E0E8"/>
              <w:insideH w:val="single" w:sz="5" w:color="D6E0E8"/>
              <w:insideV w:val="single" w:sz="5" w:color="D6E0E8"/>
            </w:tcBorders>
          </w:tcPr>
          <w:p>
            <w:pPr>
              <w:spacing w:after="0" w:before="0"/>
            </w:pPr>
            <w:r>
              <w:rPr>
                <w:rFonts w:ascii="Aptos" w:hAnsi="Aptos"/>
                <w:sz w:val="16"/>
              </w:rPr>
              <w:t>7.69%</w:t>
            </w:r>
          </w:p>
        </w:tc>
        <w:tc>
          <w:tcPr>
            <w:tcW w:type="dxa" w:w="3600"/>
            <w:vAlign w:val="center"/>
            <w:shd w:fill="F2F6FA"/>
            <w:tcBorders>
              <w:top w:val="single" w:sz="5" w:color="D6E0E8"/>
              <w:left w:val="single" w:sz="5" w:color="D6E0E8"/>
              <w:bottom w:val="single" w:sz="5" w:color="D6E0E8"/>
              <w:right w:val="single" w:sz="5" w:color="D6E0E8"/>
              <w:insideH w:val="single" w:sz="5" w:color="D6E0E8"/>
              <w:insideV w:val="single" w:sz="5" w:color="D6E0E8"/>
            </w:tcBorders>
          </w:tcPr>
          <w:p>
            <w:pPr>
              <w:spacing w:after="0" w:before="0"/>
            </w:pPr>
            <w:r>
              <w:rPr>
                <w:rFonts w:ascii="Aptos" w:hAnsi="Aptos"/>
                <w:sz w:val="16"/>
              </w:rPr>
              <w:t>5 / 65</w:t>
            </w:r>
          </w:p>
        </w:tc>
      </w:tr>
      <w:tr>
        <w:trPr>
          <w:cantSplit/>
        </w:trPr>
        <w:tc>
          <w:tcPr>
            <w:tcW w:type="dxa" w:w="3168"/>
            <w:vAlign w:val="center"/>
            <w:tcBorders>
              <w:top w:val="single" w:sz="5" w:color="D6E0E8"/>
              <w:left w:val="single" w:sz="5" w:color="D6E0E8"/>
              <w:bottom w:val="single" w:sz="5" w:color="D6E0E8"/>
              <w:right w:val="single" w:sz="5" w:color="D6E0E8"/>
              <w:insideH w:val="single" w:sz="5" w:color="D6E0E8"/>
              <w:insideV w:val="single" w:sz="5" w:color="D6E0E8"/>
            </w:tcBorders>
          </w:tcPr>
          <w:p>
            <w:pPr>
              <w:spacing w:after="0" w:before="0"/>
            </w:pPr>
            <w:r>
              <w:rPr>
                <w:rFonts w:ascii="Aptos" w:hAnsi="Aptos"/>
                <w:sz w:val="16"/>
              </w:rPr>
              <w:t>20–24</w:t>
            </w:r>
          </w:p>
        </w:tc>
        <w:tc>
          <w:tcPr>
            <w:tcW w:type="dxa" w:w="3024"/>
            <w:vAlign w:val="center"/>
            <w:tcBorders>
              <w:top w:val="single" w:sz="5" w:color="D6E0E8"/>
              <w:left w:val="single" w:sz="5" w:color="D6E0E8"/>
              <w:bottom w:val="single" w:sz="5" w:color="D6E0E8"/>
              <w:right w:val="single" w:sz="5" w:color="D6E0E8"/>
              <w:insideH w:val="single" w:sz="5" w:color="D6E0E8"/>
              <w:insideV w:val="single" w:sz="5" w:color="D6E0E8"/>
            </w:tcBorders>
          </w:tcPr>
          <w:p>
            <w:pPr>
              <w:spacing w:after="0" w:before="0"/>
            </w:pPr>
            <w:r>
              <w:rPr>
                <w:rFonts w:ascii="Aptos" w:hAnsi="Aptos"/>
                <w:sz w:val="16"/>
              </w:rPr>
              <w:t>7.81%</w:t>
            </w:r>
          </w:p>
        </w:tc>
        <w:tc>
          <w:tcPr>
            <w:tcW w:type="dxa" w:w="3600"/>
            <w:vAlign w:val="center"/>
            <w:tcBorders>
              <w:top w:val="single" w:sz="5" w:color="D6E0E8"/>
              <w:left w:val="single" w:sz="5" w:color="D6E0E8"/>
              <w:bottom w:val="single" w:sz="5" w:color="D6E0E8"/>
              <w:right w:val="single" w:sz="5" w:color="D6E0E8"/>
              <w:insideH w:val="single" w:sz="5" w:color="D6E0E8"/>
              <w:insideV w:val="single" w:sz="5" w:color="D6E0E8"/>
            </w:tcBorders>
          </w:tcPr>
          <w:p>
            <w:pPr>
              <w:spacing w:after="0" w:before="0"/>
            </w:pPr>
            <w:r>
              <w:rPr>
                <w:rFonts w:ascii="Aptos" w:hAnsi="Aptos"/>
                <w:sz w:val="16"/>
              </w:rPr>
              <w:t>5 / 64</w:t>
            </w:r>
          </w:p>
        </w:tc>
      </w:tr>
      <w:tr>
        <w:trPr>
          <w:cantSplit/>
        </w:trPr>
        <w:tc>
          <w:tcPr>
            <w:tcW w:type="dxa" w:w="3168"/>
            <w:vAlign w:val="center"/>
            <w:shd w:fill="F2F6FA"/>
            <w:tcBorders>
              <w:top w:val="single" w:sz="5" w:color="D6E0E8"/>
              <w:left w:val="single" w:sz="5" w:color="D6E0E8"/>
              <w:bottom w:val="single" w:sz="5" w:color="D6E0E8"/>
              <w:right w:val="single" w:sz="5" w:color="D6E0E8"/>
              <w:insideH w:val="single" w:sz="5" w:color="D6E0E8"/>
              <w:insideV w:val="single" w:sz="5" w:color="D6E0E8"/>
            </w:tcBorders>
          </w:tcPr>
          <w:p>
            <w:pPr>
              <w:spacing w:after="0" w:before="0"/>
            </w:pPr>
            <w:r>
              <w:rPr>
                <w:rFonts w:ascii="Aptos" w:hAnsi="Aptos"/>
                <w:sz w:val="16"/>
              </w:rPr>
              <w:t>25–29</w:t>
            </w:r>
          </w:p>
        </w:tc>
        <w:tc>
          <w:tcPr>
            <w:tcW w:type="dxa" w:w="3024"/>
            <w:vAlign w:val="center"/>
            <w:shd w:fill="F2F6FA"/>
            <w:tcBorders>
              <w:top w:val="single" w:sz="5" w:color="D6E0E8"/>
              <w:left w:val="single" w:sz="5" w:color="D6E0E8"/>
              <w:bottom w:val="single" w:sz="5" w:color="D6E0E8"/>
              <w:right w:val="single" w:sz="5" w:color="D6E0E8"/>
              <w:insideH w:val="single" w:sz="5" w:color="D6E0E8"/>
              <w:insideV w:val="single" w:sz="5" w:color="D6E0E8"/>
            </w:tcBorders>
          </w:tcPr>
          <w:p>
            <w:pPr>
              <w:spacing w:after="0" w:before="0"/>
            </w:pPr>
            <w:r>
              <w:rPr>
                <w:rFonts w:ascii="Aptos" w:hAnsi="Aptos"/>
                <w:sz w:val="16"/>
              </w:rPr>
              <w:t>0.00%</w:t>
            </w:r>
          </w:p>
        </w:tc>
        <w:tc>
          <w:tcPr>
            <w:tcW w:type="dxa" w:w="3600"/>
            <w:vAlign w:val="center"/>
            <w:shd w:fill="F2F6FA"/>
            <w:tcBorders>
              <w:top w:val="single" w:sz="5" w:color="D6E0E8"/>
              <w:left w:val="single" w:sz="5" w:color="D6E0E8"/>
              <w:bottom w:val="single" w:sz="5" w:color="D6E0E8"/>
              <w:right w:val="single" w:sz="5" w:color="D6E0E8"/>
              <w:insideH w:val="single" w:sz="5" w:color="D6E0E8"/>
              <w:insideV w:val="single" w:sz="5" w:color="D6E0E8"/>
            </w:tcBorders>
          </w:tcPr>
          <w:p>
            <w:pPr>
              <w:spacing w:after="0" w:before="0"/>
            </w:pPr>
            <w:r>
              <w:rPr>
                <w:rFonts w:ascii="Aptos" w:hAnsi="Aptos"/>
                <w:sz w:val="16"/>
              </w:rPr>
              <w:t>0 / 12</w:t>
            </w:r>
          </w:p>
        </w:tc>
      </w:tr>
      <w:tr>
        <w:trPr>
          <w:cantSplit/>
        </w:trPr>
        <w:tc>
          <w:tcPr>
            <w:tcW w:type="dxa" w:w="3168"/>
            <w:vAlign w:val="center"/>
            <w:tcBorders>
              <w:top w:val="single" w:sz="5" w:color="D6E0E8"/>
              <w:left w:val="single" w:sz="5" w:color="D6E0E8"/>
              <w:bottom w:val="single" w:sz="5" w:color="D6E0E8"/>
              <w:right w:val="single" w:sz="5" w:color="D6E0E8"/>
              <w:insideH w:val="single" w:sz="5" w:color="D6E0E8"/>
              <w:insideV w:val="single" w:sz="5" w:color="D6E0E8"/>
            </w:tcBorders>
          </w:tcPr>
          <w:p>
            <w:pPr>
              <w:spacing w:after="0" w:before="0"/>
            </w:pPr>
            <w:r>
              <w:rPr>
                <w:rFonts w:ascii="Aptos" w:hAnsi="Aptos"/>
                <w:sz w:val="16"/>
              </w:rPr>
              <w:t>30–34</w:t>
            </w:r>
          </w:p>
        </w:tc>
        <w:tc>
          <w:tcPr>
            <w:tcW w:type="dxa" w:w="3024"/>
            <w:vAlign w:val="center"/>
            <w:tcBorders>
              <w:top w:val="single" w:sz="5" w:color="D6E0E8"/>
              <w:left w:val="single" w:sz="5" w:color="D6E0E8"/>
              <w:bottom w:val="single" w:sz="5" w:color="D6E0E8"/>
              <w:right w:val="single" w:sz="5" w:color="D6E0E8"/>
              <w:insideH w:val="single" w:sz="5" w:color="D6E0E8"/>
              <w:insideV w:val="single" w:sz="5" w:color="D6E0E8"/>
            </w:tcBorders>
          </w:tcPr>
          <w:p>
            <w:pPr>
              <w:spacing w:after="0" w:before="0"/>
            </w:pPr>
            <w:r>
              <w:rPr>
                <w:rFonts w:ascii="Aptos" w:hAnsi="Aptos"/>
                <w:sz w:val="16"/>
              </w:rPr>
              <w:t>23.08%</w:t>
            </w:r>
          </w:p>
        </w:tc>
        <w:tc>
          <w:tcPr>
            <w:tcW w:type="dxa" w:w="3600"/>
            <w:vAlign w:val="center"/>
            <w:tcBorders>
              <w:top w:val="single" w:sz="5" w:color="D6E0E8"/>
              <w:left w:val="single" w:sz="5" w:color="D6E0E8"/>
              <w:bottom w:val="single" w:sz="5" w:color="D6E0E8"/>
              <w:right w:val="single" w:sz="5" w:color="D6E0E8"/>
              <w:insideH w:val="single" w:sz="5" w:color="D6E0E8"/>
              <w:insideV w:val="single" w:sz="5" w:color="D6E0E8"/>
            </w:tcBorders>
          </w:tcPr>
          <w:p>
            <w:pPr>
              <w:spacing w:after="0" w:before="0"/>
            </w:pPr>
            <w:r>
              <w:rPr>
                <w:rFonts w:ascii="Aptos" w:hAnsi="Aptos"/>
                <w:sz w:val="16"/>
              </w:rPr>
              <w:t>3 / 13</w:t>
            </w:r>
          </w:p>
        </w:tc>
      </w:tr>
      <w:tr>
        <w:trPr>
          <w:cantSplit/>
        </w:trPr>
        <w:tc>
          <w:tcPr>
            <w:tcW w:type="dxa" w:w="3168"/>
            <w:vAlign w:val="center"/>
            <w:shd w:fill="F2F6FA"/>
            <w:tcBorders>
              <w:top w:val="single" w:sz="5" w:color="D6E0E8"/>
              <w:left w:val="single" w:sz="5" w:color="D6E0E8"/>
              <w:bottom w:val="single" w:sz="5" w:color="D6E0E8"/>
              <w:right w:val="single" w:sz="5" w:color="D6E0E8"/>
              <w:insideH w:val="single" w:sz="5" w:color="D6E0E8"/>
              <w:insideV w:val="single" w:sz="5" w:color="D6E0E8"/>
            </w:tcBorders>
          </w:tcPr>
          <w:p>
            <w:pPr>
              <w:spacing w:after="0" w:before="0"/>
            </w:pPr>
            <w:r>
              <w:rPr>
                <w:rFonts w:ascii="Aptos" w:hAnsi="Aptos"/>
                <w:sz w:val="16"/>
              </w:rPr>
              <w:t>35–40</w:t>
            </w:r>
          </w:p>
        </w:tc>
        <w:tc>
          <w:tcPr>
            <w:tcW w:type="dxa" w:w="3024"/>
            <w:vAlign w:val="center"/>
            <w:shd w:fill="F2F6FA"/>
            <w:tcBorders>
              <w:top w:val="single" w:sz="5" w:color="D6E0E8"/>
              <w:left w:val="single" w:sz="5" w:color="D6E0E8"/>
              <w:bottom w:val="single" w:sz="5" w:color="D6E0E8"/>
              <w:right w:val="single" w:sz="5" w:color="D6E0E8"/>
              <w:insideH w:val="single" w:sz="5" w:color="D6E0E8"/>
              <w:insideV w:val="single" w:sz="5" w:color="D6E0E8"/>
            </w:tcBorders>
          </w:tcPr>
          <w:p>
            <w:pPr>
              <w:spacing w:after="0" w:before="0"/>
            </w:pPr>
            <w:r>
              <w:rPr>
                <w:rFonts w:ascii="Aptos" w:hAnsi="Aptos"/>
                <w:sz w:val="16"/>
              </w:rPr>
              <w:t>25.00%</w:t>
            </w:r>
          </w:p>
        </w:tc>
        <w:tc>
          <w:tcPr>
            <w:tcW w:type="dxa" w:w="3600"/>
            <w:vAlign w:val="center"/>
            <w:shd w:fill="F2F6FA"/>
            <w:tcBorders>
              <w:top w:val="single" w:sz="5" w:color="D6E0E8"/>
              <w:left w:val="single" w:sz="5" w:color="D6E0E8"/>
              <w:bottom w:val="single" w:sz="5" w:color="D6E0E8"/>
              <w:right w:val="single" w:sz="5" w:color="D6E0E8"/>
              <w:insideH w:val="single" w:sz="5" w:color="D6E0E8"/>
              <w:insideV w:val="single" w:sz="5" w:color="D6E0E8"/>
            </w:tcBorders>
          </w:tcPr>
          <w:p>
            <w:pPr>
              <w:spacing w:after="0" w:before="0"/>
            </w:pPr>
            <w:r>
              <w:rPr>
                <w:rFonts w:ascii="Aptos" w:hAnsi="Aptos"/>
                <w:sz w:val="16"/>
              </w:rPr>
              <w:t>1 / 4</w:t>
            </w:r>
          </w:p>
        </w:tc>
      </w:tr>
    </w:tbl>
    <w:p>
      <w:pPr>
        <w:spacing w:after="0"/>
      </w:pPr>
    </w:p>
    <w:p>
      <w:r>
        <w:t>The first four years have a comparatively high rate and the largest leaver count. Rates fluctuate in longer-tenure bands, but groups of 12 or fewer employees at 25+ years make those percentages unstable; do not treat them as reliable signals.</w:t>
      </w:r>
    </w:p>
    <w:p>
      <w:r>
        <w:br w:type="page"/>
      </w:r>
    </w:p>
    <w:p>
      <w:pPr>
        <w:spacing w:after="40"/>
      </w:pPr>
      <w:r>
        <w:rPr>
          <w:b/>
          <w:color w:val="0F6B78"/>
          <w:sz w:val="16"/>
        </w:rPr>
        <w:t>03  |  ASSOCIATION &amp; ENGAGEMENT</w:t>
      </w:r>
    </w:p>
    <w:p>
      <w:pPr>
        <w:pStyle w:val="Heading1"/>
      </w:pPr>
      <w:r>
        <w:t>What the numeric comparisons suggest</w:t>
      </w:r>
    </w:p>
    <w:p>
      <w:pPr>
        <w:spacing w:after="180"/>
      </w:pPr>
      <w:r>
        <w:rPr>
          <w:i/>
          <w:color w:val="64748B"/>
        </w:rPr>
        <w:t>Small correlation coefficients indicate weak linear relationships in this dataset.</w:t>
      </w:r>
    </w:p>
    <w:p>
      <w:pPr>
        <w:pStyle w:val="Heading2"/>
      </w:pPr>
      <w:r>
        <w:t>Correlation with the attrition flag</w:t>
      </w:r>
    </w:p>
    <w:p>
      <w:r>
        <w:t>All selected correlations are weak in magnitude. The largest absolute coefficient is −0.171 for TotalWorkingYears. This does not identify a strong numeric reason for attrition. A negative coefficient means higher values tend to coincide with a lower 0/1 attrition flag in this dataset; it does not show cause or individual risk.</w:t>
      </w:r>
    </w:p>
    <w:tbl>
      <w:tblPr>
        <w:tblW w:type="auto" w:w="0"/>
        <w:jc w:val="center"/>
        <w:tblLayout w:type="fixed"/>
        <w:tblLook w:firstColumn="1" w:firstRow="1" w:lastColumn="0" w:lastRow="0" w:noHBand="0" w:noVBand="1" w:val="04A0"/>
      </w:tblPr>
      <w:tblGrid>
        <w:gridCol w:w="6480"/>
        <w:gridCol w:w="3312"/>
      </w:tblGrid>
      <w:tr>
        <w:trPr>
          <w:tblHeader w:val="true"/>
          <w:cantSplit/>
        </w:trPr>
        <w:tc>
          <w:tcPr>
            <w:tcW w:type="dxa" w:w="5083"/>
            <w:shd w:fill="1F4E78"/>
            <w:vAlign w:val="center"/>
            <w:tcBorders>
              <w:top w:val="single" w:sz="4" w:color="FFFFFF"/>
              <w:left w:val="single" w:sz="4" w:color="FFFFFF"/>
              <w:bottom w:val="single" w:sz="4" w:color="FFFFFF"/>
              <w:right w:val="single" w:sz="4" w:color="FFFFFF"/>
              <w:insideH w:val="single" w:sz="4" w:color="FFFFFF"/>
              <w:insideV w:val="single" w:sz="4" w:color="FFFFFF"/>
            </w:tcBorders>
          </w:tcPr>
          <w:p>
            <w:pPr>
              <w:spacing w:after="0"/>
            </w:pPr>
            <w:r>
              <w:rPr>
                <w:rFonts w:ascii="Aptos" w:hAnsi="Aptos"/>
                <w:b/>
                <w:color w:val="FFFFFF"/>
                <w:sz w:val="17"/>
              </w:rPr>
              <w:t>Selected numeric measure</w:t>
            </w:r>
          </w:p>
        </w:tc>
        <w:tc>
          <w:tcPr>
            <w:tcW w:type="dxa" w:w="5083"/>
            <w:shd w:fill="1F4E78"/>
            <w:vAlign w:val="center"/>
            <w:tcBorders>
              <w:top w:val="single" w:sz="4" w:color="FFFFFF"/>
              <w:left w:val="single" w:sz="4" w:color="FFFFFF"/>
              <w:bottom w:val="single" w:sz="4" w:color="FFFFFF"/>
              <w:right w:val="single" w:sz="4" w:color="FFFFFF"/>
              <w:insideH w:val="single" w:sz="4" w:color="FFFFFF"/>
              <w:insideV w:val="single" w:sz="4" w:color="FFFFFF"/>
            </w:tcBorders>
          </w:tcPr>
          <w:p>
            <w:pPr>
              <w:spacing w:after="0"/>
            </w:pPr>
            <w:r>
              <w:rPr>
                <w:rFonts w:ascii="Aptos" w:hAnsi="Aptos"/>
                <w:b/>
                <w:color w:val="FFFFFF"/>
                <w:sz w:val="17"/>
              </w:rPr>
              <w:t>Correlation</w:t>
            </w:r>
          </w:p>
        </w:tc>
      </w:tr>
      <w:tr>
        <w:trPr>
          <w:cantSplit/>
        </w:trPr>
        <w:tc>
          <w:tcPr>
            <w:tcW w:type="dxa" w:w="6480"/>
            <w:vAlign w:val="center"/>
            <w:tcBorders>
              <w:top w:val="single" w:sz="5" w:color="D6E0E8"/>
              <w:left w:val="single" w:sz="5" w:color="D6E0E8"/>
              <w:bottom w:val="single" w:sz="5" w:color="D6E0E8"/>
              <w:right w:val="single" w:sz="5" w:color="D6E0E8"/>
              <w:insideH w:val="single" w:sz="5" w:color="D6E0E8"/>
              <w:insideV w:val="single" w:sz="5" w:color="D6E0E8"/>
            </w:tcBorders>
          </w:tcPr>
          <w:p>
            <w:pPr>
              <w:spacing w:after="0" w:before="0"/>
            </w:pPr>
            <w:r>
              <w:rPr>
                <w:rFonts w:ascii="Aptos" w:hAnsi="Aptos"/>
                <w:sz w:val="17"/>
              </w:rPr>
              <w:t>TotalWorkingYears</w:t>
            </w:r>
          </w:p>
        </w:tc>
        <w:tc>
          <w:tcPr>
            <w:tcW w:type="dxa" w:w="3312"/>
            <w:vAlign w:val="center"/>
            <w:tcBorders>
              <w:top w:val="single" w:sz="5" w:color="D6E0E8"/>
              <w:left w:val="single" w:sz="5" w:color="D6E0E8"/>
              <w:bottom w:val="single" w:sz="5" w:color="D6E0E8"/>
              <w:right w:val="single" w:sz="5" w:color="D6E0E8"/>
              <w:insideH w:val="single" w:sz="5" w:color="D6E0E8"/>
              <w:insideV w:val="single" w:sz="5" w:color="D6E0E8"/>
            </w:tcBorders>
          </w:tcPr>
          <w:p>
            <w:pPr>
              <w:spacing w:after="0" w:before="0"/>
            </w:pPr>
            <w:r>
              <w:rPr>
                <w:rFonts w:ascii="Aptos" w:hAnsi="Aptos"/>
                <w:sz w:val="17"/>
              </w:rPr>
              <w:t>−0.171</w:t>
            </w:r>
          </w:p>
        </w:tc>
      </w:tr>
      <w:tr>
        <w:trPr>
          <w:cantSplit/>
        </w:trPr>
        <w:tc>
          <w:tcPr>
            <w:tcW w:type="dxa" w:w="6480"/>
            <w:vAlign w:val="center"/>
            <w:shd w:fill="F2F6FA"/>
            <w:tcBorders>
              <w:top w:val="single" w:sz="5" w:color="D6E0E8"/>
              <w:left w:val="single" w:sz="5" w:color="D6E0E8"/>
              <w:bottom w:val="single" w:sz="5" w:color="D6E0E8"/>
              <w:right w:val="single" w:sz="5" w:color="D6E0E8"/>
              <w:insideH w:val="single" w:sz="5" w:color="D6E0E8"/>
              <w:insideV w:val="single" w:sz="5" w:color="D6E0E8"/>
            </w:tcBorders>
          </w:tcPr>
          <w:p>
            <w:pPr>
              <w:spacing w:after="0" w:before="0"/>
            </w:pPr>
            <w:r>
              <w:rPr>
                <w:rFonts w:ascii="Aptos" w:hAnsi="Aptos"/>
                <w:sz w:val="17"/>
              </w:rPr>
              <w:t>JobLevel</w:t>
            </w:r>
          </w:p>
        </w:tc>
        <w:tc>
          <w:tcPr>
            <w:tcW w:type="dxa" w:w="3312"/>
            <w:vAlign w:val="center"/>
            <w:shd w:fill="F2F6FA"/>
            <w:tcBorders>
              <w:top w:val="single" w:sz="5" w:color="D6E0E8"/>
              <w:left w:val="single" w:sz="5" w:color="D6E0E8"/>
              <w:bottom w:val="single" w:sz="5" w:color="D6E0E8"/>
              <w:right w:val="single" w:sz="5" w:color="D6E0E8"/>
              <w:insideH w:val="single" w:sz="5" w:color="D6E0E8"/>
              <w:insideV w:val="single" w:sz="5" w:color="D6E0E8"/>
            </w:tcBorders>
          </w:tcPr>
          <w:p>
            <w:pPr>
              <w:spacing w:after="0" w:before="0"/>
            </w:pPr>
            <w:r>
              <w:rPr>
                <w:rFonts w:ascii="Aptos" w:hAnsi="Aptos"/>
                <w:sz w:val="17"/>
              </w:rPr>
              <w:t>−0.169</w:t>
            </w:r>
          </w:p>
        </w:tc>
      </w:tr>
      <w:tr>
        <w:trPr>
          <w:cantSplit/>
        </w:trPr>
        <w:tc>
          <w:tcPr>
            <w:tcW w:type="dxa" w:w="6480"/>
            <w:vAlign w:val="center"/>
            <w:tcBorders>
              <w:top w:val="single" w:sz="5" w:color="D6E0E8"/>
              <w:left w:val="single" w:sz="5" w:color="D6E0E8"/>
              <w:bottom w:val="single" w:sz="5" w:color="D6E0E8"/>
              <w:right w:val="single" w:sz="5" w:color="D6E0E8"/>
              <w:insideH w:val="single" w:sz="5" w:color="D6E0E8"/>
              <w:insideV w:val="single" w:sz="5" w:color="D6E0E8"/>
            </w:tcBorders>
          </w:tcPr>
          <w:p>
            <w:pPr>
              <w:spacing w:after="0" w:before="0"/>
            </w:pPr>
            <w:r>
              <w:rPr>
                <w:rFonts w:ascii="Aptos" w:hAnsi="Aptos"/>
                <w:sz w:val="17"/>
              </w:rPr>
              <w:t>YearsInCurrentRole</w:t>
            </w:r>
          </w:p>
        </w:tc>
        <w:tc>
          <w:tcPr>
            <w:tcW w:type="dxa" w:w="3312"/>
            <w:vAlign w:val="center"/>
            <w:tcBorders>
              <w:top w:val="single" w:sz="5" w:color="D6E0E8"/>
              <w:left w:val="single" w:sz="5" w:color="D6E0E8"/>
              <w:bottom w:val="single" w:sz="5" w:color="D6E0E8"/>
              <w:right w:val="single" w:sz="5" w:color="D6E0E8"/>
              <w:insideH w:val="single" w:sz="5" w:color="D6E0E8"/>
              <w:insideV w:val="single" w:sz="5" w:color="D6E0E8"/>
            </w:tcBorders>
          </w:tcPr>
          <w:p>
            <w:pPr>
              <w:spacing w:after="0" w:before="0"/>
            </w:pPr>
            <w:r>
              <w:rPr>
                <w:rFonts w:ascii="Aptos" w:hAnsi="Aptos"/>
                <w:sz w:val="17"/>
              </w:rPr>
              <w:t>−0.161</w:t>
            </w:r>
          </w:p>
        </w:tc>
      </w:tr>
      <w:tr>
        <w:trPr>
          <w:cantSplit/>
        </w:trPr>
        <w:tc>
          <w:tcPr>
            <w:tcW w:type="dxa" w:w="6480"/>
            <w:vAlign w:val="center"/>
            <w:shd w:fill="F2F6FA"/>
            <w:tcBorders>
              <w:top w:val="single" w:sz="5" w:color="D6E0E8"/>
              <w:left w:val="single" w:sz="5" w:color="D6E0E8"/>
              <w:bottom w:val="single" w:sz="5" w:color="D6E0E8"/>
              <w:right w:val="single" w:sz="5" w:color="D6E0E8"/>
              <w:insideH w:val="single" w:sz="5" w:color="D6E0E8"/>
              <w:insideV w:val="single" w:sz="5" w:color="D6E0E8"/>
            </w:tcBorders>
          </w:tcPr>
          <w:p>
            <w:pPr>
              <w:spacing w:after="0" w:before="0"/>
            </w:pPr>
            <w:r>
              <w:rPr>
                <w:rFonts w:ascii="Aptos" w:hAnsi="Aptos"/>
                <w:sz w:val="17"/>
              </w:rPr>
              <w:t>MonthlyIncome</w:t>
            </w:r>
          </w:p>
        </w:tc>
        <w:tc>
          <w:tcPr>
            <w:tcW w:type="dxa" w:w="3312"/>
            <w:vAlign w:val="center"/>
            <w:shd w:fill="F2F6FA"/>
            <w:tcBorders>
              <w:top w:val="single" w:sz="5" w:color="D6E0E8"/>
              <w:left w:val="single" w:sz="5" w:color="D6E0E8"/>
              <w:bottom w:val="single" w:sz="5" w:color="D6E0E8"/>
              <w:right w:val="single" w:sz="5" w:color="D6E0E8"/>
              <w:insideH w:val="single" w:sz="5" w:color="D6E0E8"/>
              <w:insideV w:val="single" w:sz="5" w:color="D6E0E8"/>
            </w:tcBorders>
          </w:tcPr>
          <w:p>
            <w:pPr>
              <w:spacing w:after="0" w:before="0"/>
            </w:pPr>
            <w:r>
              <w:rPr>
                <w:rFonts w:ascii="Aptos" w:hAnsi="Aptos"/>
                <w:sz w:val="17"/>
              </w:rPr>
              <w:t>−0.160</w:t>
            </w:r>
          </w:p>
        </w:tc>
      </w:tr>
      <w:tr>
        <w:trPr>
          <w:cantSplit/>
        </w:trPr>
        <w:tc>
          <w:tcPr>
            <w:tcW w:type="dxa" w:w="6480"/>
            <w:vAlign w:val="center"/>
            <w:tcBorders>
              <w:top w:val="single" w:sz="5" w:color="D6E0E8"/>
              <w:left w:val="single" w:sz="5" w:color="D6E0E8"/>
              <w:bottom w:val="single" w:sz="5" w:color="D6E0E8"/>
              <w:right w:val="single" w:sz="5" w:color="D6E0E8"/>
              <w:insideH w:val="single" w:sz="5" w:color="D6E0E8"/>
              <w:insideV w:val="single" w:sz="5" w:color="D6E0E8"/>
            </w:tcBorders>
          </w:tcPr>
          <w:p>
            <w:pPr>
              <w:spacing w:after="0" w:before="0"/>
            </w:pPr>
            <w:r>
              <w:rPr>
                <w:rFonts w:ascii="Aptos" w:hAnsi="Aptos"/>
                <w:sz w:val="17"/>
              </w:rPr>
              <w:t>Age</w:t>
            </w:r>
          </w:p>
        </w:tc>
        <w:tc>
          <w:tcPr>
            <w:tcW w:type="dxa" w:w="3312"/>
            <w:vAlign w:val="center"/>
            <w:tcBorders>
              <w:top w:val="single" w:sz="5" w:color="D6E0E8"/>
              <w:left w:val="single" w:sz="5" w:color="D6E0E8"/>
              <w:bottom w:val="single" w:sz="5" w:color="D6E0E8"/>
              <w:right w:val="single" w:sz="5" w:color="D6E0E8"/>
              <w:insideH w:val="single" w:sz="5" w:color="D6E0E8"/>
              <w:insideV w:val="single" w:sz="5" w:color="D6E0E8"/>
            </w:tcBorders>
          </w:tcPr>
          <w:p>
            <w:pPr>
              <w:spacing w:after="0" w:before="0"/>
            </w:pPr>
            <w:r>
              <w:rPr>
                <w:rFonts w:ascii="Aptos" w:hAnsi="Aptos"/>
                <w:sz w:val="17"/>
              </w:rPr>
              <w:t>−0.159</w:t>
            </w:r>
          </w:p>
        </w:tc>
      </w:tr>
      <w:tr>
        <w:trPr>
          <w:cantSplit/>
        </w:trPr>
        <w:tc>
          <w:tcPr>
            <w:tcW w:type="dxa" w:w="6480"/>
            <w:vAlign w:val="center"/>
            <w:shd w:fill="F2F6FA"/>
            <w:tcBorders>
              <w:top w:val="single" w:sz="5" w:color="D6E0E8"/>
              <w:left w:val="single" w:sz="5" w:color="D6E0E8"/>
              <w:bottom w:val="single" w:sz="5" w:color="D6E0E8"/>
              <w:right w:val="single" w:sz="5" w:color="D6E0E8"/>
              <w:insideH w:val="single" w:sz="5" w:color="D6E0E8"/>
              <w:insideV w:val="single" w:sz="5" w:color="D6E0E8"/>
            </w:tcBorders>
          </w:tcPr>
          <w:p>
            <w:pPr>
              <w:spacing w:after="0" w:before="0"/>
            </w:pPr>
            <w:r>
              <w:rPr>
                <w:rFonts w:ascii="Aptos" w:hAnsi="Aptos"/>
                <w:sz w:val="17"/>
              </w:rPr>
              <w:t>YearsWithCurrManager</w:t>
            </w:r>
          </w:p>
        </w:tc>
        <w:tc>
          <w:tcPr>
            <w:tcW w:type="dxa" w:w="3312"/>
            <w:vAlign w:val="center"/>
            <w:shd w:fill="F2F6FA"/>
            <w:tcBorders>
              <w:top w:val="single" w:sz="5" w:color="D6E0E8"/>
              <w:left w:val="single" w:sz="5" w:color="D6E0E8"/>
              <w:bottom w:val="single" w:sz="5" w:color="D6E0E8"/>
              <w:right w:val="single" w:sz="5" w:color="D6E0E8"/>
              <w:insideH w:val="single" w:sz="5" w:color="D6E0E8"/>
              <w:insideV w:val="single" w:sz="5" w:color="D6E0E8"/>
            </w:tcBorders>
          </w:tcPr>
          <w:p>
            <w:pPr>
              <w:spacing w:after="0" w:before="0"/>
            </w:pPr>
            <w:r>
              <w:rPr>
                <w:rFonts w:ascii="Aptos" w:hAnsi="Aptos"/>
                <w:sz w:val="17"/>
              </w:rPr>
              <w:t>−0.156</w:t>
            </w:r>
          </w:p>
        </w:tc>
      </w:tr>
      <w:tr>
        <w:trPr>
          <w:cantSplit/>
        </w:trPr>
        <w:tc>
          <w:tcPr>
            <w:tcW w:type="dxa" w:w="6480"/>
            <w:vAlign w:val="center"/>
            <w:tcBorders>
              <w:top w:val="single" w:sz="5" w:color="D6E0E8"/>
              <w:left w:val="single" w:sz="5" w:color="D6E0E8"/>
              <w:bottom w:val="single" w:sz="5" w:color="D6E0E8"/>
              <w:right w:val="single" w:sz="5" w:color="D6E0E8"/>
              <w:insideH w:val="single" w:sz="5" w:color="D6E0E8"/>
              <w:insideV w:val="single" w:sz="5" w:color="D6E0E8"/>
            </w:tcBorders>
          </w:tcPr>
          <w:p>
            <w:pPr>
              <w:spacing w:after="0" w:before="0"/>
            </w:pPr>
            <w:r>
              <w:rPr>
                <w:rFonts w:ascii="Aptos" w:hAnsi="Aptos"/>
                <w:sz w:val="17"/>
              </w:rPr>
              <w:t>YearsAtCompany</w:t>
            </w:r>
          </w:p>
        </w:tc>
        <w:tc>
          <w:tcPr>
            <w:tcW w:type="dxa" w:w="3312"/>
            <w:vAlign w:val="center"/>
            <w:tcBorders>
              <w:top w:val="single" w:sz="5" w:color="D6E0E8"/>
              <w:left w:val="single" w:sz="5" w:color="D6E0E8"/>
              <w:bottom w:val="single" w:sz="5" w:color="D6E0E8"/>
              <w:right w:val="single" w:sz="5" w:color="D6E0E8"/>
              <w:insideH w:val="single" w:sz="5" w:color="D6E0E8"/>
              <w:insideV w:val="single" w:sz="5" w:color="D6E0E8"/>
            </w:tcBorders>
          </w:tcPr>
          <w:p>
            <w:pPr>
              <w:spacing w:after="0" w:before="0"/>
            </w:pPr>
            <w:r>
              <w:rPr>
                <w:rFonts w:ascii="Aptos" w:hAnsi="Aptos"/>
                <w:sz w:val="17"/>
              </w:rPr>
              <w:t>−0.134</w:t>
            </w:r>
          </w:p>
        </w:tc>
      </w:tr>
      <w:tr>
        <w:trPr>
          <w:cantSplit/>
        </w:trPr>
        <w:tc>
          <w:tcPr>
            <w:tcW w:type="dxa" w:w="6480"/>
            <w:vAlign w:val="center"/>
            <w:shd w:fill="F2F6FA"/>
            <w:tcBorders>
              <w:top w:val="single" w:sz="5" w:color="D6E0E8"/>
              <w:left w:val="single" w:sz="5" w:color="D6E0E8"/>
              <w:bottom w:val="single" w:sz="5" w:color="D6E0E8"/>
              <w:right w:val="single" w:sz="5" w:color="D6E0E8"/>
              <w:insideH w:val="single" w:sz="5" w:color="D6E0E8"/>
              <w:insideV w:val="single" w:sz="5" w:color="D6E0E8"/>
            </w:tcBorders>
          </w:tcPr>
          <w:p>
            <w:pPr>
              <w:spacing w:after="0" w:before="0"/>
            </w:pPr>
            <w:r>
              <w:rPr>
                <w:rFonts w:ascii="Aptos" w:hAnsi="Aptos"/>
                <w:sz w:val="17"/>
              </w:rPr>
              <w:t>JobSatisfaction</w:t>
            </w:r>
          </w:p>
        </w:tc>
        <w:tc>
          <w:tcPr>
            <w:tcW w:type="dxa" w:w="3312"/>
            <w:vAlign w:val="center"/>
            <w:shd w:fill="F2F6FA"/>
            <w:tcBorders>
              <w:top w:val="single" w:sz="5" w:color="D6E0E8"/>
              <w:left w:val="single" w:sz="5" w:color="D6E0E8"/>
              <w:bottom w:val="single" w:sz="5" w:color="D6E0E8"/>
              <w:right w:val="single" w:sz="5" w:color="D6E0E8"/>
              <w:insideH w:val="single" w:sz="5" w:color="D6E0E8"/>
              <w:insideV w:val="single" w:sz="5" w:color="D6E0E8"/>
            </w:tcBorders>
          </w:tcPr>
          <w:p>
            <w:pPr>
              <w:spacing w:after="0" w:before="0"/>
            </w:pPr>
            <w:r>
              <w:rPr>
                <w:rFonts w:ascii="Aptos" w:hAnsi="Aptos"/>
                <w:sz w:val="17"/>
              </w:rPr>
              <w:t>−0.103</w:t>
            </w:r>
          </w:p>
        </w:tc>
      </w:tr>
      <w:tr>
        <w:trPr>
          <w:cantSplit/>
        </w:trPr>
        <w:tc>
          <w:tcPr>
            <w:tcW w:type="dxa" w:w="6480"/>
            <w:vAlign w:val="center"/>
            <w:tcBorders>
              <w:top w:val="single" w:sz="5" w:color="D6E0E8"/>
              <w:left w:val="single" w:sz="5" w:color="D6E0E8"/>
              <w:bottom w:val="single" w:sz="5" w:color="D6E0E8"/>
              <w:right w:val="single" w:sz="5" w:color="D6E0E8"/>
              <w:insideH w:val="single" w:sz="5" w:color="D6E0E8"/>
              <w:insideV w:val="single" w:sz="5" w:color="D6E0E8"/>
            </w:tcBorders>
          </w:tcPr>
          <w:p>
            <w:pPr>
              <w:spacing w:after="0" w:before="0"/>
            </w:pPr>
            <w:r>
              <w:rPr>
                <w:rFonts w:ascii="Aptos" w:hAnsi="Aptos"/>
                <w:sz w:val="17"/>
              </w:rPr>
              <w:t>WorkLifeBalance</w:t>
            </w:r>
          </w:p>
        </w:tc>
        <w:tc>
          <w:tcPr>
            <w:tcW w:type="dxa" w:w="3312"/>
            <w:vAlign w:val="center"/>
            <w:tcBorders>
              <w:top w:val="single" w:sz="5" w:color="D6E0E8"/>
              <w:left w:val="single" w:sz="5" w:color="D6E0E8"/>
              <w:bottom w:val="single" w:sz="5" w:color="D6E0E8"/>
              <w:right w:val="single" w:sz="5" w:color="D6E0E8"/>
              <w:insideH w:val="single" w:sz="5" w:color="D6E0E8"/>
              <w:insideV w:val="single" w:sz="5" w:color="D6E0E8"/>
            </w:tcBorders>
          </w:tcPr>
          <w:p>
            <w:pPr>
              <w:spacing w:after="0" w:before="0"/>
            </w:pPr>
            <w:r>
              <w:rPr>
                <w:rFonts w:ascii="Aptos" w:hAnsi="Aptos"/>
                <w:sz w:val="17"/>
              </w:rPr>
              <w:t>−0.064</w:t>
            </w:r>
          </w:p>
        </w:tc>
      </w:tr>
      <w:tr>
        <w:trPr>
          <w:cantSplit/>
        </w:trPr>
        <w:tc>
          <w:tcPr>
            <w:tcW w:type="dxa" w:w="6480"/>
            <w:vAlign w:val="center"/>
            <w:shd w:fill="F2F6FA"/>
            <w:tcBorders>
              <w:top w:val="single" w:sz="5" w:color="D6E0E8"/>
              <w:left w:val="single" w:sz="5" w:color="D6E0E8"/>
              <w:bottom w:val="single" w:sz="5" w:color="D6E0E8"/>
              <w:right w:val="single" w:sz="5" w:color="D6E0E8"/>
              <w:insideH w:val="single" w:sz="5" w:color="D6E0E8"/>
              <w:insideV w:val="single" w:sz="5" w:color="D6E0E8"/>
            </w:tcBorders>
          </w:tcPr>
          <w:p>
            <w:pPr>
              <w:spacing w:after="0" w:before="0"/>
            </w:pPr>
            <w:r>
              <w:rPr>
                <w:rFonts w:ascii="Aptos" w:hAnsi="Aptos"/>
                <w:sz w:val="17"/>
              </w:rPr>
              <w:t>DistanceFromHome</w:t>
            </w:r>
          </w:p>
        </w:tc>
        <w:tc>
          <w:tcPr>
            <w:tcW w:type="dxa" w:w="3312"/>
            <w:vAlign w:val="center"/>
            <w:shd w:fill="F2F6FA"/>
            <w:tcBorders>
              <w:top w:val="single" w:sz="5" w:color="D6E0E8"/>
              <w:left w:val="single" w:sz="5" w:color="D6E0E8"/>
              <w:bottom w:val="single" w:sz="5" w:color="D6E0E8"/>
              <w:right w:val="single" w:sz="5" w:color="D6E0E8"/>
              <w:insideH w:val="single" w:sz="5" w:color="D6E0E8"/>
              <w:insideV w:val="single" w:sz="5" w:color="D6E0E8"/>
            </w:tcBorders>
          </w:tcPr>
          <w:p>
            <w:pPr>
              <w:spacing w:after="0" w:before="0"/>
            </w:pPr>
            <w:r>
              <w:rPr>
                <w:rFonts w:ascii="Aptos" w:hAnsi="Aptos"/>
                <w:sz w:val="17"/>
              </w:rPr>
              <w:t>+0.078</w:t>
            </w:r>
          </w:p>
        </w:tc>
      </w:tr>
      <w:tr>
        <w:trPr>
          <w:cantSplit/>
        </w:trPr>
        <w:tc>
          <w:tcPr>
            <w:tcW w:type="dxa" w:w="6480"/>
            <w:vAlign w:val="center"/>
            <w:tcBorders>
              <w:top w:val="single" w:sz="5" w:color="D6E0E8"/>
              <w:left w:val="single" w:sz="5" w:color="D6E0E8"/>
              <w:bottom w:val="single" w:sz="5" w:color="D6E0E8"/>
              <w:right w:val="single" w:sz="5" w:color="D6E0E8"/>
              <w:insideH w:val="single" w:sz="5" w:color="D6E0E8"/>
              <w:insideV w:val="single" w:sz="5" w:color="D6E0E8"/>
            </w:tcBorders>
          </w:tcPr>
          <w:p>
            <w:pPr>
              <w:spacing w:after="0" w:before="0"/>
            </w:pPr>
            <w:r>
              <w:rPr>
                <w:rFonts w:ascii="Aptos" w:hAnsi="Aptos"/>
                <w:sz w:val="17"/>
              </w:rPr>
              <w:t>NumCompaniesWorked</w:t>
            </w:r>
          </w:p>
        </w:tc>
        <w:tc>
          <w:tcPr>
            <w:tcW w:type="dxa" w:w="3312"/>
            <w:vAlign w:val="center"/>
            <w:tcBorders>
              <w:top w:val="single" w:sz="5" w:color="D6E0E8"/>
              <w:left w:val="single" w:sz="5" w:color="D6E0E8"/>
              <w:bottom w:val="single" w:sz="5" w:color="D6E0E8"/>
              <w:right w:val="single" w:sz="5" w:color="D6E0E8"/>
              <w:insideH w:val="single" w:sz="5" w:color="D6E0E8"/>
              <w:insideV w:val="single" w:sz="5" w:color="D6E0E8"/>
            </w:tcBorders>
          </w:tcPr>
          <w:p>
            <w:pPr>
              <w:spacing w:after="0" w:before="0"/>
            </w:pPr>
            <w:r>
              <w:rPr>
                <w:rFonts w:ascii="Aptos" w:hAnsi="Aptos"/>
                <w:sz w:val="17"/>
              </w:rPr>
              <w:t>+0.043</w:t>
            </w:r>
          </w:p>
        </w:tc>
      </w:tr>
      <w:tr>
        <w:trPr>
          <w:cantSplit/>
        </w:trPr>
        <w:tc>
          <w:tcPr>
            <w:tcW w:type="dxa" w:w="6480"/>
            <w:vAlign w:val="center"/>
            <w:shd w:fill="F2F6FA"/>
            <w:tcBorders>
              <w:top w:val="single" w:sz="5" w:color="D6E0E8"/>
              <w:left w:val="single" w:sz="5" w:color="D6E0E8"/>
              <w:bottom w:val="single" w:sz="5" w:color="D6E0E8"/>
              <w:right w:val="single" w:sz="5" w:color="D6E0E8"/>
              <w:insideH w:val="single" w:sz="5" w:color="D6E0E8"/>
              <w:insideV w:val="single" w:sz="5" w:color="D6E0E8"/>
            </w:tcBorders>
          </w:tcPr>
          <w:p>
            <w:pPr>
              <w:spacing w:after="0" w:before="0"/>
            </w:pPr>
            <w:r>
              <w:rPr>
                <w:rFonts w:ascii="Aptos" w:hAnsi="Aptos"/>
                <w:sz w:val="17"/>
              </w:rPr>
              <w:t>PerformanceRating</w:t>
            </w:r>
          </w:p>
        </w:tc>
        <w:tc>
          <w:tcPr>
            <w:tcW w:type="dxa" w:w="3312"/>
            <w:vAlign w:val="center"/>
            <w:shd w:fill="F2F6FA"/>
            <w:tcBorders>
              <w:top w:val="single" w:sz="5" w:color="D6E0E8"/>
              <w:left w:val="single" w:sz="5" w:color="D6E0E8"/>
              <w:bottom w:val="single" w:sz="5" w:color="D6E0E8"/>
              <w:right w:val="single" w:sz="5" w:color="D6E0E8"/>
              <w:insideH w:val="single" w:sz="5" w:color="D6E0E8"/>
              <w:insideV w:val="single" w:sz="5" w:color="D6E0E8"/>
            </w:tcBorders>
          </w:tcPr>
          <w:p>
            <w:pPr>
              <w:spacing w:after="0" w:before="0"/>
            </w:pPr>
            <w:r>
              <w:rPr>
                <w:rFonts w:ascii="Aptos" w:hAnsi="Aptos"/>
                <w:sz w:val="17"/>
              </w:rPr>
              <w:t>+0.003</w:t>
            </w:r>
          </w:p>
        </w:tc>
      </w:tr>
    </w:tbl>
    <w:p>
      <w:pPr>
        <w:spacing w:after="0"/>
      </w:pPr>
    </w:p>
    <w:p>
      <w:r>
        <w:t>Because many workforce measures overlap (for example, age, tenure, job level, and income), pairwise correlations should not be read as independent effects. Correlation also captures only a linear relationship and may miss more complex patterns.</w:t>
      </w:r>
    </w:p>
    <w:p>
      <w:pPr>
        <w:pStyle w:val="Heading2"/>
      </w:pPr>
      <w:r>
        <w:t>Job satisfaction and work-life balance</w:t>
      </w:r>
    </w:p>
    <w:tbl>
      <w:tblPr>
        <w:tblW w:type="auto" w:w="0"/>
        <w:jc w:val="center"/>
        <w:tblLayout w:type="fixed"/>
        <w:tblLook w:firstColumn="1" w:firstRow="1" w:lastColumn="0" w:lastRow="0" w:noHBand="0" w:noVBand="1" w:val="04A0"/>
      </w:tblPr>
      <w:tblGrid>
        <w:gridCol w:w="3960"/>
        <w:gridCol w:w="1944"/>
        <w:gridCol w:w="1944"/>
        <w:gridCol w:w="1944"/>
      </w:tblGrid>
      <w:tr>
        <w:trPr>
          <w:tblHeader w:val="true"/>
          <w:cantSplit/>
        </w:trPr>
        <w:tc>
          <w:tcPr>
            <w:tcW w:type="dxa" w:w="2541"/>
            <w:shd w:fill="1F4E78"/>
            <w:vAlign w:val="center"/>
            <w:tcBorders>
              <w:top w:val="single" w:sz="4" w:color="FFFFFF"/>
              <w:left w:val="single" w:sz="4" w:color="FFFFFF"/>
              <w:bottom w:val="single" w:sz="4" w:color="FFFFFF"/>
              <w:right w:val="single" w:sz="4" w:color="FFFFFF"/>
              <w:insideH w:val="single" w:sz="4" w:color="FFFFFF"/>
              <w:insideV w:val="single" w:sz="4" w:color="FFFFFF"/>
            </w:tcBorders>
          </w:tcPr>
          <w:p>
            <w:pPr>
              <w:spacing w:after="0"/>
            </w:pPr>
            <w:r>
              <w:rPr>
                <w:rFonts w:ascii="Aptos" w:hAnsi="Aptos"/>
                <w:b/>
                <w:color w:val="FFFFFF"/>
                <w:sz w:val="16"/>
              </w:rPr>
              <w:t>Measure</w:t>
            </w:r>
          </w:p>
        </w:tc>
        <w:tc>
          <w:tcPr>
            <w:tcW w:type="dxa" w:w="2541"/>
            <w:shd w:fill="1F4E78"/>
            <w:vAlign w:val="center"/>
            <w:tcBorders>
              <w:top w:val="single" w:sz="4" w:color="FFFFFF"/>
              <w:left w:val="single" w:sz="4" w:color="FFFFFF"/>
              <w:bottom w:val="single" w:sz="4" w:color="FFFFFF"/>
              <w:right w:val="single" w:sz="4" w:color="FFFFFF"/>
              <w:insideH w:val="single" w:sz="4" w:color="FFFFFF"/>
              <w:insideV w:val="single" w:sz="4" w:color="FFFFFF"/>
            </w:tcBorders>
          </w:tcPr>
          <w:p>
            <w:pPr>
              <w:spacing w:after="0"/>
            </w:pPr>
            <w:r>
              <w:rPr>
                <w:rFonts w:ascii="Aptos" w:hAnsi="Aptos"/>
                <w:b/>
                <w:color w:val="FFFFFF"/>
                <w:sz w:val="16"/>
              </w:rPr>
              <w:t>Employees who stayed</w:t>
            </w:r>
          </w:p>
        </w:tc>
        <w:tc>
          <w:tcPr>
            <w:tcW w:type="dxa" w:w="2541"/>
            <w:shd w:fill="1F4E78"/>
            <w:vAlign w:val="center"/>
            <w:tcBorders>
              <w:top w:val="single" w:sz="4" w:color="FFFFFF"/>
              <w:left w:val="single" w:sz="4" w:color="FFFFFF"/>
              <w:bottom w:val="single" w:sz="4" w:color="FFFFFF"/>
              <w:right w:val="single" w:sz="4" w:color="FFFFFF"/>
              <w:insideH w:val="single" w:sz="4" w:color="FFFFFF"/>
              <w:insideV w:val="single" w:sz="4" w:color="FFFFFF"/>
            </w:tcBorders>
          </w:tcPr>
          <w:p>
            <w:pPr>
              <w:spacing w:after="0"/>
            </w:pPr>
            <w:r>
              <w:rPr>
                <w:rFonts w:ascii="Aptos" w:hAnsi="Aptos"/>
                <w:b/>
                <w:color w:val="FFFFFF"/>
                <w:sz w:val="16"/>
              </w:rPr>
              <w:t>Employees who left</w:t>
            </w:r>
          </w:p>
        </w:tc>
        <w:tc>
          <w:tcPr>
            <w:tcW w:type="dxa" w:w="2541"/>
            <w:shd w:fill="1F4E78"/>
            <w:vAlign w:val="center"/>
            <w:tcBorders>
              <w:top w:val="single" w:sz="4" w:color="FFFFFF"/>
              <w:left w:val="single" w:sz="4" w:color="FFFFFF"/>
              <w:bottom w:val="single" w:sz="4" w:color="FFFFFF"/>
              <w:right w:val="single" w:sz="4" w:color="FFFFFF"/>
              <w:insideH w:val="single" w:sz="4" w:color="FFFFFF"/>
              <w:insideV w:val="single" w:sz="4" w:color="FFFFFF"/>
            </w:tcBorders>
          </w:tcPr>
          <w:p>
            <w:pPr>
              <w:spacing w:after="0"/>
            </w:pPr>
            <w:r>
              <w:rPr>
                <w:rFonts w:ascii="Aptos" w:hAnsi="Aptos"/>
                <w:b/>
                <w:color w:val="FFFFFF"/>
                <w:sz w:val="16"/>
              </w:rPr>
              <w:t>Overall</w:t>
            </w:r>
          </w:p>
        </w:tc>
      </w:tr>
      <w:tr>
        <w:trPr>
          <w:cantSplit/>
        </w:trPr>
        <w:tc>
          <w:tcPr>
            <w:tcW w:type="dxa" w:w="3960"/>
            <w:vAlign w:val="center"/>
            <w:tcBorders>
              <w:top w:val="single" w:sz="5" w:color="D6E0E8"/>
              <w:left w:val="single" w:sz="5" w:color="D6E0E8"/>
              <w:bottom w:val="single" w:sz="5" w:color="D6E0E8"/>
              <w:right w:val="single" w:sz="5" w:color="D6E0E8"/>
              <w:insideH w:val="single" w:sz="5" w:color="D6E0E8"/>
              <w:insideV w:val="single" w:sz="5" w:color="D6E0E8"/>
            </w:tcBorders>
          </w:tcPr>
          <w:p>
            <w:pPr>
              <w:spacing w:after="0" w:before="0"/>
            </w:pPr>
            <w:r>
              <w:rPr>
                <w:rFonts w:ascii="Aptos" w:hAnsi="Aptos"/>
                <w:sz w:val="16"/>
              </w:rPr>
              <w:t>Average job satisfaction (1–4)</w:t>
            </w:r>
          </w:p>
        </w:tc>
        <w:tc>
          <w:tcPr>
            <w:tcW w:type="dxa" w:w="1944"/>
            <w:vAlign w:val="center"/>
            <w:tcBorders>
              <w:top w:val="single" w:sz="5" w:color="D6E0E8"/>
              <w:left w:val="single" w:sz="5" w:color="D6E0E8"/>
              <w:bottom w:val="single" w:sz="5" w:color="D6E0E8"/>
              <w:right w:val="single" w:sz="5" w:color="D6E0E8"/>
              <w:insideH w:val="single" w:sz="5" w:color="D6E0E8"/>
              <w:insideV w:val="single" w:sz="5" w:color="D6E0E8"/>
            </w:tcBorders>
          </w:tcPr>
          <w:p>
            <w:pPr>
              <w:spacing w:after="0" w:before="0"/>
            </w:pPr>
            <w:r>
              <w:rPr>
                <w:rFonts w:ascii="Aptos" w:hAnsi="Aptos"/>
                <w:sz w:val="16"/>
              </w:rPr>
              <w:t>2.78</w:t>
            </w:r>
          </w:p>
        </w:tc>
        <w:tc>
          <w:tcPr>
            <w:tcW w:type="dxa" w:w="1944"/>
            <w:vAlign w:val="center"/>
            <w:tcBorders>
              <w:top w:val="single" w:sz="5" w:color="D6E0E8"/>
              <w:left w:val="single" w:sz="5" w:color="D6E0E8"/>
              <w:bottom w:val="single" w:sz="5" w:color="D6E0E8"/>
              <w:right w:val="single" w:sz="5" w:color="D6E0E8"/>
              <w:insideH w:val="single" w:sz="5" w:color="D6E0E8"/>
              <w:insideV w:val="single" w:sz="5" w:color="D6E0E8"/>
            </w:tcBorders>
          </w:tcPr>
          <w:p>
            <w:pPr>
              <w:spacing w:after="0" w:before="0"/>
            </w:pPr>
            <w:r>
              <w:rPr>
                <w:rFonts w:ascii="Aptos" w:hAnsi="Aptos"/>
                <w:sz w:val="16"/>
              </w:rPr>
              <w:t>2.47</w:t>
            </w:r>
          </w:p>
        </w:tc>
        <w:tc>
          <w:tcPr>
            <w:tcW w:type="dxa" w:w="1944"/>
            <w:vAlign w:val="center"/>
            <w:tcBorders>
              <w:top w:val="single" w:sz="5" w:color="D6E0E8"/>
              <w:left w:val="single" w:sz="5" w:color="D6E0E8"/>
              <w:bottom w:val="single" w:sz="5" w:color="D6E0E8"/>
              <w:right w:val="single" w:sz="5" w:color="D6E0E8"/>
              <w:insideH w:val="single" w:sz="5" w:color="D6E0E8"/>
              <w:insideV w:val="single" w:sz="5" w:color="D6E0E8"/>
            </w:tcBorders>
          </w:tcPr>
          <w:p>
            <w:pPr>
              <w:spacing w:after="0" w:before="0"/>
            </w:pPr>
            <w:r>
              <w:rPr>
                <w:rFonts w:ascii="Aptos" w:hAnsi="Aptos"/>
                <w:sz w:val="16"/>
              </w:rPr>
              <w:t>2.73</w:t>
            </w:r>
          </w:p>
        </w:tc>
      </w:tr>
      <w:tr>
        <w:trPr>
          <w:cantSplit/>
        </w:trPr>
        <w:tc>
          <w:tcPr>
            <w:tcW w:type="dxa" w:w="3960"/>
            <w:vAlign w:val="center"/>
            <w:shd w:fill="F2F6FA"/>
            <w:tcBorders>
              <w:top w:val="single" w:sz="5" w:color="D6E0E8"/>
              <w:left w:val="single" w:sz="5" w:color="D6E0E8"/>
              <w:bottom w:val="single" w:sz="5" w:color="D6E0E8"/>
              <w:right w:val="single" w:sz="5" w:color="D6E0E8"/>
              <w:insideH w:val="single" w:sz="5" w:color="D6E0E8"/>
              <w:insideV w:val="single" w:sz="5" w:color="D6E0E8"/>
            </w:tcBorders>
          </w:tcPr>
          <w:p>
            <w:pPr>
              <w:spacing w:after="0" w:before="0"/>
            </w:pPr>
            <w:r>
              <w:rPr>
                <w:rFonts w:ascii="Aptos" w:hAnsi="Aptos"/>
                <w:sz w:val="16"/>
              </w:rPr>
              <w:t>Average work-life balance (1–4)</w:t>
            </w:r>
          </w:p>
        </w:tc>
        <w:tc>
          <w:tcPr>
            <w:tcW w:type="dxa" w:w="1944"/>
            <w:vAlign w:val="center"/>
            <w:shd w:fill="F2F6FA"/>
            <w:tcBorders>
              <w:top w:val="single" w:sz="5" w:color="D6E0E8"/>
              <w:left w:val="single" w:sz="5" w:color="D6E0E8"/>
              <w:bottom w:val="single" w:sz="5" w:color="D6E0E8"/>
              <w:right w:val="single" w:sz="5" w:color="D6E0E8"/>
              <w:insideH w:val="single" w:sz="5" w:color="D6E0E8"/>
              <w:insideV w:val="single" w:sz="5" w:color="D6E0E8"/>
            </w:tcBorders>
          </w:tcPr>
          <w:p>
            <w:pPr>
              <w:spacing w:after="0" w:before="0"/>
            </w:pPr>
            <w:r>
              <w:rPr>
                <w:rFonts w:ascii="Aptos" w:hAnsi="Aptos"/>
                <w:sz w:val="16"/>
              </w:rPr>
              <w:t>2.78</w:t>
            </w:r>
          </w:p>
        </w:tc>
        <w:tc>
          <w:tcPr>
            <w:tcW w:type="dxa" w:w="1944"/>
            <w:vAlign w:val="center"/>
            <w:shd w:fill="F2F6FA"/>
            <w:tcBorders>
              <w:top w:val="single" w:sz="5" w:color="D6E0E8"/>
              <w:left w:val="single" w:sz="5" w:color="D6E0E8"/>
              <w:bottom w:val="single" w:sz="5" w:color="D6E0E8"/>
              <w:right w:val="single" w:sz="5" w:color="D6E0E8"/>
              <w:insideH w:val="single" w:sz="5" w:color="D6E0E8"/>
              <w:insideV w:val="single" w:sz="5" w:color="D6E0E8"/>
            </w:tcBorders>
          </w:tcPr>
          <w:p>
            <w:pPr>
              <w:spacing w:after="0" w:before="0"/>
            </w:pPr>
            <w:r>
              <w:rPr>
                <w:rFonts w:ascii="Aptos" w:hAnsi="Aptos"/>
                <w:sz w:val="16"/>
              </w:rPr>
              <w:t>2.66</w:t>
            </w:r>
          </w:p>
        </w:tc>
        <w:tc>
          <w:tcPr>
            <w:tcW w:type="dxa" w:w="1944"/>
            <w:vAlign w:val="center"/>
            <w:shd w:fill="F2F6FA"/>
            <w:tcBorders>
              <w:top w:val="single" w:sz="5" w:color="D6E0E8"/>
              <w:left w:val="single" w:sz="5" w:color="D6E0E8"/>
              <w:bottom w:val="single" w:sz="5" w:color="D6E0E8"/>
              <w:right w:val="single" w:sz="5" w:color="D6E0E8"/>
              <w:insideH w:val="single" w:sz="5" w:color="D6E0E8"/>
              <w:insideV w:val="single" w:sz="5" w:color="D6E0E8"/>
            </w:tcBorders>
          </w:tcPr>
          <w:p>
            <w:pPr>
              <w:spacing w:after="0" w:before="0"/>
            </w:pPr>
            <w:r>
              <w:rPr>
                <w:rFonts w:ascii="Aptos" w:hAnsi="Aptos"/>
                <w:sz w:val="16"/>
              </w:rPr>
              <w:t>2.76</w:t>
            </w:r>
          </w:p>
        </w:tc>
      </w:tr>
      <w:tr>
        <w:trPr>
          <w:cantSplit/>
        </w:trPr>
        <w:tc>
          <w:tcPr>
            <w:tcW w:type="dxa" w:w="3960"/>
            <w:vAlign w:val="center"/>
            <w:tcBorders>
              <w:top w:val="single" w:sz="5" w:color="D6E0E8"/>
              <w:left w:val="single" w:sz="5" w:color="D6E0E8"/>
              <w:bottom w:val="single" w:sz="5" w:color="D6E0E8"/>
              <w:right w:val="single" w:sz="5" w:color="D6E0E8"/>
              <w:insideH w:val="single" w:sz="5" w:color="D6E0E8"/>
              <w:insideV w:val="single" w:sz="5" w:color="D6E0E8"/>
            </w:tcBorders>
          </w:tcPr>
          <w:p>
            <w:pPr>
              <w:spacing w:after="0" w:before="0"/>
            </w:pPr>
            <w:r>
              <w:rPr>
                <w:rFonts w:ascii="Aptos" w:hAnsi="Aptos"/>
                <w:sz w:val="16"/>
              </w:rPr>
              <w:t>Average performance rating</w:t>
            </w:r>
          </w:p>
        </w:tc>
        <w:tc>
          <w:tcPr>
            <w:tcW w:type="dxa" w:w="1944"/>
            <w:vAlign w:val="center"/>
            <w:tcBorders>
              <w:top w:val="single" w:sz="5" w:color="D6E0E8"/>
              <w:left w:val="single" w:sz="5" w:color="D6E0E8"/>
              <w:bottom w:val="single" w:sz="5" w:color="D6E0E8"/>
              <w:right w:val="single" w:sz="5" w:color="D6E0E8"/>
              <w:insideH w:val="single" w:sz="5" w:color="D6E0E8"/>
              <w:insideV w:val="single" w:sz="5" w:color="D6E0E8"/>
            </w:tcBorders>
          </w:tcPr>
          <w:p>
            <w:pPr>
              <w:spacing w:after="0" w:before="0"/>
            </w:pPr>
            <w:r>
              <w:rPr>
                <w:rFonts w:ascii="Aptos" w:hAnsi="Aptos"/>
                <w:sz w:val="16"/>
              </w:rPr>
              <w:t>3.15</w:t>
            </w:r>
          </w:p>
        </w:tc>
        <w:tc>
          <w:tcPr>
            <w:tcW w:type="dxa" w:w="1944"/>
            <w:vAlign w:val="center"/>
            <w:tcBorders>
              <w:top w:val="single" w:sz="5" w:color="D6E0E8"/>
              <w:left w:val="single" w:sz="5" w:color="D6E0E8"/>
              <w:bottom w:val="single" w:sz="5" w:color="D6E0E8"/>
              <w:right w:val="single" w:sz="5" w:color="D6E0E8"/>
              <w:insideH w:val="single" w:sz="5" w:color="D6E0E8"/>
              <w:insideV w:val="single" w:sz="5" w:color="D6E0E8"/>
            </w:tcBorders>
          </w:tcPr>
          <w:p>
            <w:pPr>
              <w:spacing w:after="0" w:before="0"/>
            </w:pPr>
            <w:r>
              <w:rPr>
                <w:rFonts w:ascii="Aptos" w:hAnsi="Aptos"/>
                <w:sz w:val="16"/>
              </w:rPr>
              <w:t>3.16</w:t>
            </w:r>
          </w:p>
        </w:tc>
        <w:tc>
          <w:tcPr>
            <w:tcW w:type="dxa" w:w="1944"/>
            <w:vAlign w:val="center"/>
            <w:tcBorders>
              <w:top w:val="single" w:sz="5" w:color="D6E0E8"/>
              <w:left w:val="single" w:sz="5" w:color="D6E0E8"/>
              <w:bottom w:val="single" w:sz="5" w:color="D6E0E8"/>
              <w:right w:val="single" w:sz="5" w:color="D6E0E8"/>
              <w:insideH w:val="single" w:sz="5" w:color="D6E0E8"/>
              <w:insideV w:val="single" w:sz="5" w:color="D6E0E8"/>
            </w:tcBorders>
          </w:tcPr>
          <w:p>
            <w:pPr>
              <w:spacing w:after="0" w:before="0"/>
            </w:pPr>
            <w:r>
              <w:rPr>
                <w:rFonts w:ascii="Aptos" w:hAnsi="Aptos"/>
                <w:sz w:val="16"/>
              </w:rPr>
              <w:t>3.15</w:t>
            </w:r>
          </w:p>
        </w:tc>
      </w:tr>
    </w:tbl>
    <w:p>
      <w:pPr>
        <w:spacing w:after="0"/>
      </w:pPr>
    </w:p>
    <w:p>
      <w:r>
        <w:t>Leavers report a lower average job-satisfaction score than employees who stayed (2.47 vs 2.78). The work-life-balance difference is smaller (2.66 vs 2.78), while average performance ratings are nearly the same. These are group averages and do not establish why individuals left.</w:t>
      </w:r>
    </w:p>
    <w:p>
      <w:pPr>
        <w:pStyle w:val="Heading2"/>
      </w:pPr>
      <w:r>
        <w:t>Job satisfaction by role</w:t>
      </w:r>
    </w:p>
    <w:p>
      <w:r>
        <w:t>The dashboard ranges from 2.56 for Human Resources to 2.79 for Healthcare Representative, with an overall average of 2.73 on the 1–4 scale. The role differences are modest. Role-level headcounts and distributions should be considered alongside averages, especially for smaller roles.</w:t>
      </w:r>
    </w:p>
    <w:p>
      <w:r>
        <w:br w:type="page"/>
      </w:r>
    </w:p>
    <w:p>
      <w:pPr>
        <w:spacing w:after="40"/>
      </w:pPr>
      <w:r>
        <w:rPr>
          <w:b/>
          <w:color w:val="0F6B78"/>
          <w:sz w:val="16"/>
        </w:rPr>
        <w:t>04  |  PRACTICAL RESPONSE</w:t>
      </w:r>
    </w:p>
    <w:p>
      <w:pPr>
        <w:pStyle w:val="Heading1"/>
      </w:pPr>
      <w:r>
        <w:t>Evidence-led next steps</w:t>
      </w:r>
    </w:p>
    <w:p>
      <w:pPr>
        <w:spacing w:after="180"/>
      </w:pPr>
      <w:r>
        <w:rPr>
          <w:i/>
          <w:color w:val="64748B"/>
        </w:rPr>
        <w:t>Use the analysis to focus further investigation, then evaluate changes with better operational data.</w:t>
      </w:r>
    </w:p>
    <w:p>
      <w:pPr>
        <w:pStyle w:val="Heading2"/>
      </w:pPr>
      <w:r>
        <w:t>Recommended areas to investigate</w:t>
      </w:r>
    </w:p>
    <w:p>
      <w:pPr>
        <w:pStyle w:val="ListBullet"/>
        <w:spacing w:after="120"/>
        <w:ind w:left="317" w:hanging="202"/>
      </w:pPr>
      <w:r>
        <w:rPr>
          <w:b/>
        </w:rPr>
        <w:t xml:space="preserve">Review overtime workload. </w:t>
      </w:r>
      <w:r>
        <w:t>Compare overtime frequency and hours with role, shift, staffing levels, tenure, and satisfaction. Ask employees about scheduling and recovery time before changing policy.</w:t>
      </w:r>
    </w:p>
    <w:p>
      <w:pPr>
        <w:pStyle w:val="ListBullet"/>
        <w:spacing w:after="120"/>
        <w:ind w:left="317" w:hanging="202"/>
      </w:pPr>
      <w:r>
        <w:rPr>
          <w:b/>
        </w:rPr>
        <w:t xml:space="preserve">Examine early-tenure experience. </w:t>
      </w:r>
      <w:r>
        <w:t>Review onboarding, manager check-ins, role clarity, and expectations during the first four years, where the supplied data shows a relatively high attrition share.</w:t>
      </w:r>
    </w:p>
    <w:p>
      <w:pPr>
        <w:pStyle w:val="ListBullet"/>
        <w:spacing w:after="120"/>
        <w:ind w:left="317" w:hanging="202"/>
      </w:pPr>
      <w:r>
        <w:rPr>
          <w:b/>
        </w:rPr>
        <w:t xml:space="preserve">Explore department differences. </w:t>
      </w:r>
      <w:r>
        <w:t>Start with Sales and Human Resources because their observed rates are higher than Research &amp; Development. Validate the pattern against team sizes, job mix, and work arrangements.</w:t>
      </w:r>
    </w:p>
    <w:p>
      <w:pPr>
        <w:pStyle w:val="ListBullet"/>
        <w:spacing w:after="120"/>
        <w:ind w:left="317" w:hanging="202"/>
      </w:pPr>
      <w:r>
        <w:rPr>
          <w:b/>
        </w:rPr>
        <w:t xml:space="preserve">Listen to employees. </w:t>
      </w:r>
      <w:r>
        <w:t>Use confidential engagement feedback and recorded exit reasons if available. The current dataset has no departure-reason field, so the analysis cannot explain employees’ stated motivations.</w:t>
      </w:r>
    </w:p>
    <w:p>
      <w:pPr>
        <w:pStyle w:val="ListBullet"/>
        <w:spacing w:after="120"/>
        <w:ind w:left="317" w:hanging="202"/>
      </w:pPr>
      <w:r>
        <w:rPr>
          <w:b/>
        </w:rPr>
        <w:t xml:space="preserve">Track outcomes over time. </w:t>
      </w:r>
      <w:r>
        <w:t>Add consistent snapshot dates and define a standard attrition-rate denominator. This would enable period-to-period monitoring and evaluation of retention actions.</w:t>
      </w:r>
    </w:p>
    <w:p>
      <w:pPr>
        <w:pStyle w:val="Heading2"/>
      </w:pPr>
      <w:r>
        <w:t>Responsible use</w:t>
      </w:r>
    </w:p>
    <w:p>
      <w:pPr>
        <w:pStyle w:val="ListBullet"/>
        <w:spacing w:after="60"/>
        <w:ind w:left="317" w:hanging="202"/>
      </w:pPr>
      <w:r>
        <w:t>Use these group-level patterns to guide questions and support programs, not to label or rank individual employees.</w:t>
      </w:r>
    </w:p>
    <w:p>
      <w:pPr>
        <w:pStyle w:val="ListBullet"/>
        <w:spacing w:after="60"/>
        <w:ind w:left="317" w:hanging="202"/>
      </w:pPr>
      <w:r>
        <w:t>Avoid discriminatory recommendations based on demographic attributes. Review any proposed action for fairness and applicable policy.</w:t>
      </w:r>
    </w:p>
    <w:p>
      <w:pPr>
        <w:pStyle w:val="ListBullet"/>
        <w:spacing w:after="60"/>
        <w:ind w:left="317" w:hanging="202"/>
      </w:pPr>
      <w:r>
        <w:t>Validate findings with employees and managers and consider operational context before making decisions.</w:t>
      </w:r>
    </w:p>
    <w:p>
      <w:pPr>
        <w:pStyle w:val="Heading2"/>
      </w:pPr>
      <w:r>
        <w:t>Limitations</w:t>
      </w:r>
    </w:p>
    <w:tbl>
      <w:tblPr>
        <w:tblW w:type="auto" w:w="0"/>
        <w:jc w:val="center"/>
        <w:tblLayout w:type="fixed"/>
        <w:tblLook w:firstColumn="1" w:firstRow="1" w:lastColumn="0" w:lastRow="0" w:noHBand="0" w:noVBand="1" w:val="04A0"/>
      </w:tblPr>
      <w:tblGrid>
        <w:gridCol w:w="3744"/>
        <w:gridCol w:w="6048"/>
      </w:tblGrid>
      <w:tr>
        <w:trPr>
          <w:tblHeader w:val="true"/>
          <w:cantSplit/>
        </w:trPr>
        <w:tc>
          <w:tcPr>
            <w:tcW w:type="dxa" w:w="5083"/>
            <w:shd w:fill="1F4E78"/>
            <w:vAlign w:val="center"/>
            <w:tcBorders>
              <w:top w:val="single" w:sz="4" w:color="FFFFFF"/>
              <w:left w:val="single" w:sz="4" w:color="FFFFFF"/>
              <w:bottom w:val="single" w:sz="4" w:color="FFFFFF"/>
              <w:right w:val="single" w:sz="4" w:color="FFFFFF"/>
              <w:insideH w:val="single" w:sz="4" w:color="FFFFFF"/>
              <w:insideV w:val="single" w:sz="4" w:color="FFFFFF"/>
            </w:tcBorders>
          </w:tcPr>
          <w:p>
            <w:pPr>
              <w:spacing w:after="0"/>
            </w:pPr>
            <w:r>
              <w:rPr>
                <w:rFonts w:ascii="Aptos" w:hAnsi="Aptos"/>
                <w:b/>
                <w:color w:val="FFFFFF"/>
                <w:sz w:val="17"/>
              </w:rPr>
              <w:t>Limitation</w:t>
            </w:r>
          </w:p>
        </w:tc>
        <w:tc>
          <w:tcPr>
            <w:tcW w:type="dxa" w:w="5083"/>
            <w:shd w:fill="1F4E78"/>
            <w:vAlign w:val="center"/>
            <w:tcBorders>
              <w:top w:val="single" w:sz="4" w:color="FFFFFF"/>
              <w:left w:val="single" w:sz="4" w:color="FFFFFF"/>
              <w:bottom w:val="single" w:sz="4" w:color="FFFFFF"/>
              <w:right w:val="single" w:sz="4" w:color="FFFFFF"/>
              <w:insideH w:val="single" w:sz="4" w:color="FFFFFF"/>
              <w:insideV w:val="single" w:sz="4" w:color="FFFFFF"/>
            </w:tcBorders>
          </w:tcPr>
          <w:p>
            <w:pPr>
              <w:spacing w:after="0"/>
            </w:pPr>
            <w:r>
              <w:rPr>
                <w:rFonts w:ascii="Aptos" w:hAnsi="Aptos"/>
                <w:b/>
                <w:color w:val="FFFFFF"/>
                <w:sz w:val="17"/>
              </w:rPr>
              <w:t>Implication</w:t>
            </w:r>
          </w:p>
        </w:tc>
      </w:tr>
      <w:tr>
        <w:trPr>
          <w:cantSplit/>
        </w:trPr>
        <w:tc>
          <w:tcPr>
            <w:tcW w:type="dxa" w:w="3744"/>
            <w:vAlign w:val="center"/>
            <w:tcBorders>
              <w:top w:val="single" w:sz="5" w:color="D6E0E8"/>
              <w:left w:val="single" w:sz="5" w:color="D6E0E8"/>
              <w:bottom w:val="single" w:sz="5" w:color="D6E0E8"/>
              <w:right w:val="single" w:sz="5" w:color="D6E0E8"/>
              <w:insideH w:val="single" w:sz="5" w:color="D6E0E8"/>
              <w:insideV w:val="single" w:sz="5" w:color="D6E0E8"/>
            </w:tcBorders>
          </w:tcPr>
          <w:p>
            <w:pPr>
              <w:spacing w:after="0" w:before="0"/>
            </w:pPr>
            <w:r>
              <w:rPr>
                <w:rFonts w:ascii="Aptos" w:hAnsi="Aptos"/>
                <w:sz w:val="17"/>
              </w:rPr>
              <w:t>No reporting period or date field</w:t>
            </w:r>
          </w:p>
        </w:tc>
        <w:tc>
          <w:tcPr>
            <w:tcW w:type="dxa" w:w="6048"/>
            <w:vAlign w:val="center"/>
            <w:tcBorders>
              <w:top w:val="single" w:sz="5" w:color="D6E0E8"/>
              <w:left w:val="single" w:sz="5" w:color="D6E0E8"/>
              <w:bottom w:val="single" w:sz="5" w:color="D6E0E8"/>
              <w:right w:val="single" w:sz="5" w:color="D6E0E8"/>
              <w:insideH w:val="single" w:sz="5" w:color="D6E0E8"/>
              <w:insideV w:val="single" w:sz="5" w:color="D6E0E8"/>
            </w:tcBorders>
          </w:tcPr>
          <w:p>
            <w:pPr>
              <w:spacing w:after="0" w:before="0"/>
            </w:pPr>
            <w:r>
              <w:rPr>
                <w:rFonts w:ascii="Aptos" w:hAnsi="Aptos"/>
                <w:sz w:val="17"/>
              </w:rPr>
              <w:t>Cannot calculate annual attrition or trends over time.</w:t>
            </w:r>
          </w:p>
        </w:tc>
      </w:tr>
      <w:tr>
        <w:trPr>
          <w:cantSplit/>
        </w:trPr>
        <w:tc>
          <w:tcPr>
            <w:tcW w:type="dxa" w:w="3744"/>
            <w:vAlign w:val="center"/>
            <w:shd w:fill="F2F6FA"/>
            <w:tcBorders>
              <w:top w:val="single" w:sz="5" w:color="D6E0E8"/>
              <w:left w:val="single" w:sz="5" w:color="D6E0E8"/>
              <w:bottom w:val="single" w:sz="5" w:color="D6E0E8"/>
              <w:right w:val="single" w:sz="5" w:color="D6E0E8"/>
              <w:insideH w:val="single" w:sz="5" w:color="D6E0E8"/>
              <w:insideV w:val="single" w:sz="5" w:color="D6E0E8"/>
            </w:tcBorders>
          </w:tcPr>
          <w:p>
            <w:pPr>
              <w:spacing w:after="0" w:before="0"/>
            </w:pPr>
            <w:r>
              <w:rPr>
                <w:rFonts w:ascii="Aptos" w:hAnsi="Aptos"/>
                <w:sz w:val="17"/>
              </w:rPr>
              <w:t>No departure-reason field</w:t>
            </w:r>
          </w:p>
        </w:tc>
        <w:tc>
          <w:tcPr>
            <w:tcW w:type="dxa" w:w="6048"/>
            <w:vAlign w:val="center"/>
            <w:shd w:fill="F2F6FA"/>
            <w:tcBorders>
              <w:top w:val="single" w:sz="5" w:color="D6E0E8"/>
              <w:left w:val="single" w:sz="5" w:color="D6E0E8"/>
              <w:bottom w:val="single" w:sz="5" w:color="D6E0E8"/>
              <w:right w:val="single" w:sz="5" w:color="D6E0E8"/>
              <w:insideH w:val="single" w:sz="5" w:color="D6E0E8"/>
              <w:insideV w:val="single" w:sz="5" w:color="D6E0E8"/>
            </w:tcBorders>
          </w:tcPr>
          <w:p>
            <w:pPr>
              <w:spacing w:after="0" w:before="0"/>
            </w:pPr>
            <w:r>
              <w:rPr>
                <w:rFonts w:ascii="Aptos" w:hAnsi="Aptos"/>
                <w:sz w:val="17"/>
              </w:rPr>
              <w:t>Cannot infer employees’ stated reasons for leaving.</w:t>
            </w:r>
          </w:p>
        </w:tc>
      </w:tr>
      <w:tr>
        <w:trPr>
          <w:cantSplit/>
        </w:trPr>
        <w:tc>
          <w:tcPr>
            <w:tcW w:type="dxa" w:w="3744"/>
            <w:vAlign w:val="center"/>
            <w:tcBorders>
              <w:top w:val="single" w:sz="5" w:color="D6E0E8"/>
              <w:left w:val="single" w:sz="5" w:color="D6E0E8"/>
              <w:bottom w:val="single" w:sz="5" w:color="D6E0E8"/>
              <w:right w:val="single" w:sz="5" w:color="D6E0E8"/>
              <w:insideH w:val="single" w:sz="5" w:color="D6E0E8"/>
              <w:insideV w:val="single" w:sz="5" w:color="D6E0E8"/>
            </w:tcBorders>
          </w:tcPr>
          <w:p>
            <w:pPr>
              <w:spacing w:after="0" w:before="0"/>
            </w:pPr>
            <w:r>
              <w:rPr>
                <w:rFonts w:ascii="Aptos" w:hAnsi="Aptos"/>
                <w:sz w:val="17"/>
              </w:rPr>
              <w:t>One supplied case-study dataset</w:t>
            </w:r>
          </w:p>
        </w:tc>
        <w:tc>
          <w:tcPr>
            <w:tcW w:type="dxa" w:w="6048"/>
            <w:vAlign w:val="center"/>
            <w:tcBorders>
              <w:top w:val="single" w:sz="5" w:color="D6E0E8"/>
              <w:left w:val="single" w:sz="5" w:color="D6E0E8"/>
              <w:bottom w:val="single" w:sz="5" w:color="D6E0E8"/>
              <w:right w:val="single" w:sz="5" w:color="D6E0E8"/>
              <w:insideH w:val="single" w:sz="5" w:color="D6E0E8"/>
              <w:insideV w:val="single" w:sz="5" w:color="D6E0E8"/>
            </w:tcBorders>
          </w:tcPr>
          <w:p>
            <w:pPr>
              <w:spacing w:after="0" w:before="0"/>
            </w:pPr>
            <w:r>
              <w:rPr>
                <w:rFonts w:ascii="Aptos" w:hAnsi="Aptos"/>
                <w:sz w:val="17"/>
              </w:rPr>
              <w:t>Findings may not generalize to another organization, time, or workforce.</w:t>
            </w:r>
          </w:p>
        </w:tc>
      </w:tr>
      <w:tr>
        <w:trPr>
          <w:cantSplit/>
        </w:trPr>
        <w:tc>
          <w:tcPr>
            <w:tcW w:type="dxa" w:w="3744"/>
            <w:vAlign w:val="center"/>
            <w:shd w:fill="F2F6FA"/>
            <w:tcBorders>
              <w:top w:val="single" w:sz="5" w:color="D6E0E8"/>
              <w:left w:val="single" w:sz="5" w:color="D6E0E8"/>
              <w:bottom w:val="single" w:sz="5" w:color="D6E0E8"/>
              <w:right w:val="single" w:sz="5" w:color="D6E0E8"/>
              <w:insideH w:val="single" w:sz="5" w:color="D6E0E8"/>
              <w:insideV w:val="single" w:sz="5" w:color="D6E0E8"/>
            </w:tcBorders>
          </w:tcPr>
          <w:p>
            <w:pPr>
              <w:spacing w:after="0" w:before="0"/>
            </w:pPr>
            <w:r>
              <w:rPr>
                <w:rFonts w:ascii="Aptos" w:hAnsi="Aptos"/>
                <w:sz w:val="17"/>
              </w:rPr>
              <w:t>Descriptive comparisons and simple correlations</w:t>
            </w:r>
          </w:p>
        </w:tc>
        <w:tc>
          <w:tcPr>
            <w:tcW w:type="dxa" w:w="6048"/>
            <w:vAlign w:val="center"/>
            <w:shd w:fill="F2F6FA"/>
            <w:tcBorders>
              <w:top w:val="single" w:sz="5" w:color="D6E0E8"/>
              <w:left w:val="single" w:sz="5" w:color="D6E0E8"/>
              <w:bottom w:val="single" w:sz="5" w:color="D6E0E8"/>
              <w:right w:val="single" w:sz="5" w:color="D6E0E8"/>
              <w:insideH w:val="single" w:sz="5" w:color="D6E0E8"/>
              <w:insideV w:val="single" w:sz="5" w:color="D6E0E8"/>
            </w:tcBorders>
          </w:tcPr>
          <w:p>
            <w:pPr>
              <w:spacing w:after="0" w:before="0"/>
            </w:pPr>
            <w:r>
              <w:rPr>
                <w:rFonts w:ascii="Aptos" w:hAnsi="Aptos"/>
                <w:sz w:val="17"/>
              </w:rPr>
              <w:t>No causal conclusion or strong “reason” is established.</w:t>
            </w:r>
          </w:p>
        </w:tc>
      </w:tr>
      <w:tr>
        <w:trPr>
          <w:cantSplit/>
        </w:trPr>
        <w:tc>
          <w:tcPr>
            <w:tcW w:type="dxa" w:w="3744"/>
            <w:vAlign w:val="center"/>
            <w:tcBorders>
              <w:top w:val="single" w:sz="5" w:color="D6E0E8"/>
              <w:left w:val="single" w:sz="5" w:color="D6E0E8"/>
              <w:bottom w:val="single" w:sz="5" w:color="D6E0E8"/>
              <w:right w:val="single" w:sz="5" w:color="D6E0E8"/>
              <w:insideH w:val="single" w:sz="5" w:color="D6E0E8"/>
              <w:insideV w:val="single" w:sz="5" w:color="D6E0E8"/>
            </w:tcBorders>
          </w:tcPr>
          <w:p>
            <w:pPr>
              <w:spacing w:after="0" w:before="0"/>
            </w:pPr>
            <w:r>
              <w:rPr>
                <w:rFonts w:ascii="Aptos" w:hAnsi="Aptos"/>
                <w:sz w:val="17"/>
              </w:rPr>
              <w:t>Small counts in some groups</w:t>
            </w:r>
          </w:p>
        </w:tc>
        <w:tc>
          <w:tcPr>
            <w:tcW w:type="dxa" w:w="6048"/>
            <w:vAlign w:val="center"/>
            <w:tcBorders>
              <w:top w:val="single" w:sz="5" w:color="D6E0E8"/>
              <w:left w:val="single" w:sz="5" w:color="D6E0E8"/>
              <w:bottom w:val="single" w:sz="5" w:color="D6E0E8"/>
              <w:right w:val="single" w:sz="5" w:color="D6E0E8"/>
              <w:insideH w:val="single" w:sz="5" w:color="D6E0E8"/>
              <w:insideV w:val="single" w:sz="5" w:color="D6E0E8"/>
            </w:tcBorders>
          </w:tcPr>
          <w:p>
            <w:pPr>
              <w:spacing w:after="0" w:before="0"/>
            </w:pPr>
            <w:r>
              <w:rPr>
                <w:rFonts w:ascii="Aptos" w:hAnsi="Aptos"/>
                <w:sz w:val="17"/>
              </w:rPr>
              <w:t>Percentages in small groups can change sharply with one or two employees.</w:t>
            </w:r>
          </w:p>
        </w:tc>
      </w:tr>
    </w:tbl>
    <w:p>
      <w:pPr>
        <w:spacing w:after="0"/>
      </w:pPr>
    </w:p>
    <w:p>
      <w:r>
        <w:br w:type="page"/>
      </w:r>
    </w:p>
    <w:p>
      <w:pPr>
        <w:spacing w:after="40"/>
      </w:pPr>
      <w:r>
        <w:rPr>
          <w:b/>
          <w:color w:val="0F6B78"/>
          <w:sz w:val="16"/>
        </w:rPr>
        <w:t>05  |  DASHBOARD &amp; CLOSE</w:t>
      </w:r>
    </w:p>
    <w:p>
      <w:pPr>
        <w:pStyle w:val="Heading1"/>
      </w:pPr>
      <w:r>
        <w:t>The finished dashboard</w:t>
      </w:r>
    </w:p>
    <w:p>
      <w:pPr>
        <w:spacing w:after="180"/>
      </w:pPr>
      <w:r>
        <w:rPr>
          <w:i/>
          <w:color w:val="64748B"/>
        </w:rPr>
        <w:t>A quick visual summary of the completed workbook analysis.</w:t>
      </w:r>
    </w:p>
    <w:p>
      <w:pPr>
        <w:spacing w:after="40"/>
        <w:jc w:val="center"/>
      </w:pPr>
      <w:r>
        <w:drawing>
          <wp:inline xmlns:a="http://schemas.openxmlformats.org/drawingml/2006/main" xmlns:pic="http://schemas.openxmlformats.org/drawingml/2006/picture">
            <wp:extent cx="6309360" cy="2439449"/>
            <wp:docPr id="1" name="Picture 1"/>
            <wp:cNvGraphicFramePr>
              <a:graphicFrameLocks noChangeAspect="1"/>
            </wp:cNvGraphicFramePr>
            <a:graphic>
              <a:graphicData uri="http://schemas.openxmlformats.org/drawingml/2006/picture">
                <pic:pic>
                  <pic:nvPicPr>
                    <pic:cNvPr id="0" name="codex-clipboard-3e3a4600-b46d-403f-a169-adb22913e55b.png"/>
                    <pic:cNvPicPr/>
                  </pic:nvPicPr>
                  <pic:blipFill>
                    <a:blip r:embed="rId11"/>
                    <a:stretch>
                      <a:fillRect/>
                    </a:stretch>
                  </pic:blipFill>
                  <pic:spPr>
                    <a:xfrm>
                      <a:off x="0" y="0"/>
                      <a:ext cx="6309360" cy="2439449"/>
                    </a:xfrm>
                    <a:prstGeom prst="rect"/>
                  </pic:spPr>
                </pic:pic>
              </a:graphicData>
            </a:graphic>
          </wp:inline>
        </w:drawing>
      </w:r>
    </w:p>
    <w:p>
      <w:pPr>
        <w:spacing w:after="160"/>
        <w:jc w:val="center"/>
      </w:pPr>
      <w:r>
        <w:rPr>
          <w:i/>
          <w:color w:val="64748B"/>
          <w:sz w:val="16"/>
        </w:rPr>
        <w:t>Figure 1. Final interactive HR attrition dashboard shared for this project.</w:t>
      </w:r>
    </w:p>
    <w:p>
      <w:pPr>
        <w:pStyle w:val="Heading2"/>
      </w:pPr>
      <w:r>
        <w:t>Dashboard contents</w:t>
      </w:r>
    </w:p>
    <w:tbl>
      <w:tblPr>
        <w:tblW w:type="auto" w:w="0"/>
        <w:jc w:val="center"/>
        <w:tblLayout w:type="fixed"/>
        <w:tblLook w:firstColumn="1" w:firstRow="1" w:lastColumn="0" w:lastRow="0" w:noHBand="0" w:noVBand="1" w:val="04A0"/>
      </w:tblPr>
      <w:tblGrid>
        <w:gridCol w:w="2448"/>
        <w:gridCol w:w="7344"/>
      </w:tblGrid>
      <w:tr>
        <w:trPr>
          <w:tblHeader w:val="true"/>
          <w:cantSplit/>
        </w:trPr>
        <w:tc>
          <w:tcPr>
            <w:tcW w:type="dxa" w:w="5083"/>
            <w:shd w:fill="1F4E78"/>
            <w:vAlign w:val="center"/>
            <w:tcBorders>
              <w:top w:val="single" w:sz="4" w:color="FFFFFF"/>
              <w:left w:val="single" w:sz="4" w:color="FFFFFF"/>
              <w:bottom w:val="single" w:sz="4" w:color="FFFFFF"/>
              <w:right w:val="single" w:sz="4" w:color="FFFFFF"/>
              <w:insideH w:val="single" w:sz="4" w:color="FFFFFF"/>
              <w:insideV w:val="single" w:sz="4" w:color="FFFFFF"/>
            </w:tcBorders>
          </w:tcPr>
          <w:p>
            <w:pPr>
              <w:spacing w:after="0"/>
            </w:pPr>
            <w:r>
              <w:rPr>
                <w:rFonts w:ascii="Aptos" w:hAnsi="Aptos"/>
                <w:b/>
                <w:color w:val="FFFFFF"/>
                <w:sz w:val="17"/>
              </w:rPr>
              <w:t>Element</w:t>
            </w:r>
          </w:p>
        </w:tc>
        <w:tc>
          <w:tcPr>
            <w:tcW w:type="dxa" w:w="5083"/>
            <w:shd w:fill="1F4E78"/>
            <w:vAlign w:val="center"/>
            <w:tcBorders>
              <w:top w:val="single" w:sz="4" w:color="FFFFFF"/>
              <w:left w:val="single" w:sz="4" w:color="FFFFFF"/>
              <w:bottom w:val="single" w:sz="4" w:color="FFFFFF"/>
              <w:right w:val="single" w:sz="4" w:color="FFFFFF"/>
              <w:insideH w:val="single" w:sz="4" w:color="FFFFFF"/>
              <w:insideV w:val="single" w:sz="4" w:color="FFFFFF"/>
            </w:tcBorders>
          </w:tcPr>
          <w:p>
            <w:pPr>
              <w:spacing w:after="0"/>
            </w:pPr>
            <w:r>
              <w:rPr>
                <w:rFonts w:ascii="Aptos" w:hAnsi="Aptos"/>
                <w:b/>
                <w:color w:val="FFFFFF"/>
                <w:sz w:val="17"/>
              </w:rPr>
              <w:t>What it shows</w:t>
            </w:r>
          </w:p>
        </w:tc>
      </w:tr>
      <w:tr>
        <w:trPr>
          <w:cantSplit/>
        </w:trPr>
        <w:tc>
          <w:tcPr>
            <w:tcW w:type="dxa" w:w="2448"/>
            <w:vAlign w:val="center"/>
            <w:tcBorders>
              <w:top w:val="single" w:sz="5" w:color="D6E0E8"/>
              <w:left w:val="single" w:sz="5" w:color="D6E0E8"/>
              <w:bottom w:val="single" w:sz="5" w:color="D6E0E8"/>
              <w:right w:val="single" w:sz="5" w:color="D6E0E8"/>
              <w:insideH w:val="single" w:sz="5" w:color="D6E0E8"/>
              <w:insideV w:val="single" w:sz="5" w:color="D6E0E8"/>
            </w:tcBorders>
          </w:tcPr>
          <w:p>
            <w:pPr>
              <w:spacing w:after="0" w:before="0"/>
            </w:pPr>
            <w:r>
              <w:rPr>
                <w:rFonts w:ascii="Aptos" w:hAnsi="Aptos"/>
                <w:sz w:val="17"/>
              </w:rPr>
              <w:t>Five KPI cards</w:t>
            </w:r>
          </w:p>
        </w:tc>
        <w:tc>
          <w:tcPr>
            <w:tcW w:type="dxa" w:w="7344"/>
            <w:vAlign w:val="center"/>
            <w:tcBorders>
              <w:top w:val="single" w:sz="5" w:color="D6E0E8"/>
              <w:left w:val="single" w:sz="5" w:color="D6E0E8"/>
              <w:bottom w:val="single" w:sz="5" w:color="D6E0E8"/>
              <w:right w:val="single" w:sz="5" w:color="D6E0E8"/>
              <w:insideH w:val="single" w:sz="5" w:color="D6E0E8"/>
              <w:insideV w:val="single" w:sz="5" w:color="D6E0E8"/>
            </w:tcBorders>
          </w:tcPr>
          <w:p>
            <w:pPr>
              <w:spacing w:after="0" w:before="0"/>
            </w:pPr>
            <w:r>
              <w:rPr>
                <w:rFonts w:ascii="Aptos" w:hAnsi="Aptos"/>
                <w:sz w:val="17"/>
              </w:rPr>
              <w:t>Employee count, leaver count, overall attrition share, leaver average job satisfaction, and leaver average tenure.</w:t>
            </w:r>
          </w:p>
        </w:tc>
      </w:tr>
      <w:tr>
        <w:trPr>
          <w:cantSplit/>
        </w:trPr>
        <w:tc>
          <w:tcPr>
            <w:tcW w:type="dxa" w:w="2448"/>
            <w:vAlign w:val="center"/>
            <w:shd w:fill="F2F6FA"/>
            <w:tcBorders>
              <w:top w:val="single" w:sz="5" w:color="D6E0E8"/>
              <w:left w:val="single" w:sz="5" w:color="D6E0E8"/>
              <w:bottom w:val="single" w:sz="5" w:color="D6E0E8"/>
              <w:right w:val="single" w:sz="5" w:color="D6E0E8"/>
              <w:insideH w:val="single" w:sz="5" w:color="D6E0E8"/>
              <w:insideV w:val="single" w:sz="5" w:color="D6E0E8"/>
            </w:tcBorders>
          </w:tcPr>
          <w:p>
            <w:pPr>
              <w:spacing w:after="0" w:before="0"/>
            </w:pPr>
            <w:r>
              <w:rPr>
                <w:rFonts w:ascii="Aptos" w:hAnsi="Aptos"/>
                <w:sz w:val="17"/>
              </w:rPr>
              <w:t>Six charts</w:t>
            </w:r>
          </w:p>
        </w:tc>
        <w:tc>
          <w:tcPr>
            <w:tcW w:type="dxa" w:w="7344"/>
            <w:vAlign w:val="center"/>
            <w:shd w:fill="F2F6FA"/>
            <w:tcBorders>
              <w:top w:val="single" w:sz="5" w:color="D6E0E8"/>
              <w:left w:val="single" w:sz="5" w:color="D6E0E8"/>
              <w:bottom w:val="single" w:sz="5" w:color="D6E0E8"/>
              <w:right w:val="single" w:sz="5" w:color="D6E0E8"/>
              <w:insideH w:val="single" w:sz="5" w:color="D6E0E8"/>
              <w:insideV w:val="single" w:sz="5" w:color="D6E0E8"/>
            </w:tcBorders>
          </w:tcPr>
          <w:p>
            <w:pPr>
              <w:spacing w:after="0" w:before="0"/>
            </w:pPr>
            <w:r>
              <w:rPr>
                <w:rFonts w:ascii="Aptos" w:hAnsi="Aptos"/>
                <w:sz w:val="17"/>
              </w:rPr>
              <w:t>Attrition split; attrition by overtime, job level, department, and tenure band; average job satisfaction by job role.</w:t>
            </w:r>
          </w:p>
        </w:tc>
      </w:tr>
      <w:tr>
        <w:trPr>
          <w:cantSplit/>
        </w:trPr>
        <w:tc>
          <w:tcPr>
            <w:tcW w:type="dxa" w:w="2448"/>
            <w:vAlign w:val="center"/>
            <w:tcBorders>
              <w:top w:val="single" w:sz="5" w:color="D6E0E8"/>
              <w:left w:val="single" w:sz="5" w:color="D6E0E8"/>
              <w:bottom w:val="single" w:sz="5" w:color="D6E0E8"/>
              <w:right w:val="single" w:sz="5" w:color="D6E0E8"/>
              <w:insideH w:val="single" w:sz="5" w:color="D6E0E8"/>
              <w:insideV w:val="single" w:sz="5" w:color="D6E0E8"/>
            </w:tcBorders>
          </w:tcPr>
          <w:p>
            <w:pPr>
              <w:spacing w:after="0" w:before="0"/>
            </w:pPr>
            <w:r>
              <w:rPr>
                <w:rFonts w:ascii="Aptos" w:hAnsi="Aptos"/>
                <w:sz w:val="17"/>
              </w:rPr>
              <w:t>Four slicers</w:t>
            </w:r>
          </w:p>
        </w:tc>
        <w:tc>
          <w:tcPr>
            <w:tcW w:type="dxa" w:w="7344"/>
            <w:vAlign w:val="center"/>
            <w:tcBorders>
              <w:top w:val="single" w:sz="5" w:color="D6E0E8"/>
              <w:left w:val="single" w:sz="5" w:color="D6E0E8"/>
              <w:bottom w:val="single" w:sz="5" w:color="D6E0E8"/>
              <w:right w:val="single" w:sz="5" w:color="D6E0E8"/>
              <w:insideH w:val="single" w:sz="5" w:color="D6E0E8"/>
              <w:insideV w:val="single" w:sz="5" w:color="D6E0E8"/>
            </w:tcBorders>
          </w:tcPr>
          <w:p>
            <w:pPr>
              <w:spacing w:after="0" w:before="0"/>
            </w:pPr>
            <w:r>
              <w:rPr>
                <w:rFonts w:ascii="Aptos" w:hAnsi="Aptos"/>
                <w:sz w:val="17"/>
              </w:rPr>
              <w:t>Department, OverTime, Gender, and JobLevel. Use slicers to filter connected PivotTables/charts and KPI values where connections are configured.</w:t>
            </w:r>
          </w:p>
        </w:tc>
      </w:tr>
    </w:tbl>
    <w:p>
      <w:pPr>
        <w:spacing w:after="0"/>
      </w:pPr>
    </w:p>
    <w:p>
      <w:r>
        <w:t>Before presenting, select “All” on slicers if you want the cards and charts to show the full dataset. When a slicer is active, interpret the displayed KPI values as applying to the filtered selection, provided the corresponding PivotTables are connected to that slicer.</w:t>
      </w:r>
    </w:p>
    <w:p>
      <w:pPr>
        <w:pStyle w:val="Heading2"/>
      </w:pPr>
      <w:r>
        <w:t>Conclusion</w:t>
      </w:r>
    </w:p>
    <w:p>
      <w:r>
        <w:t>The workbook is complete as a descriptive HR analytics case study. Its strongest practical signal is the higher observed attrition rate in the overtime group, alongside higher attrition in the earliest tenure band and selected department differences. Numeric correlations remain weak, and the dataset does not establish a cause of attrition. A useful next step for the organization would be to validate these patterns with employee feedback and time-based HR data.</w:t>
      </w:r>
    </w:p>
    <w:p>
      <w:pPr>
        <w:pStyle w:val="Heading2"/>
      </w:pPr>
      <w:r>
        <w:t>Source and calculation notes</w:t>
      </w:r>
    </w:p>
    <w:p>
      <w:r>
        <w:t>Source: user-provided WA_Fn-UseC_-HR-Employee-Attrition.csv and the DACS12 – Adecco HR Analytics project brief. Attrition rate is the number of records marked Attrition = Yes divided by all employee records in the comparison group. Correlations use the binary flag Yes = 1 and No = 0. Scores shown as averages use the dataset’s original rating scales.</w:t>
      </w:r>
    </w:p>
    <w:sectPr w:rsidR="00FC693F" w:rsidRPr="0006063C" w:rsidSect="00034616">
      <w:headerReference w:type="default" r:id="rId9"/>
      <w:footerReference w:type="default" r:id="rId10"/>
      <w:pgSz w:w="12240" w:h="15840"/>
      <w:pgMar w:top="893"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6"/>
      </w:rPr>
      <w:t xml:space="preserve">Project documentation  •  Descriptive analysis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4748B"/>
        <w:sz w:val="16"/>
      </w:rPr>
      <w:t>ADECCO HR ANALYTICS  |  EMPLOYEE ATTRITION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eastAsia="Aptos"/>
      <w:color w:val="253746"/>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ptos Display" w:hAnsi="Aptos Display" w:eastAsia="Aptos Display"/>
      <w:b/>
      <w:bCs/>
      <w:color w:val="1F4E78"/>
      <w:sz w:val="40"/>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ptos" w:hAnsi="Aptos" w:eastAsia="Aptos"/>
      <w:b/>
      <w:bCs/>
      <w:color w:val="2F75B5"/>
      <w:sz w:val="24"/>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ptos" w:hAnsi="Aptos" w:eastAsia="Aptos"/>
      <w:b/>
      <w:bCs/>
      <w:color w:val="0F6B78"/>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eastAsia="Aptos Display"/>
      <w:b/>
      <w:color w:val="1F4E78"/>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