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Brain Mets Overall Progression</w:t>
            </w:r>
            <w:r>
              <w:rPr>
                <w:rFonts w:ascii="Calibri" w:hAnsi="Calibri"/>
                <w:sz w:val="20"/>
              </w:rPr>
              <w:t xml:space="preserve"> : Saliva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BrM_primary_category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(54, 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(55, 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BrM_prior_treatment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prev_xrt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prev_targeted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LMD_at_last_followup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ECM_at_last_followup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BrM_total_follow_up.days.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 (49, 722)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(204, 624)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 (2.60,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(2.25, 3.90)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2025-05-16T03:15:51Z</dcterms:created>
  <dcterms:modified xsi:type="dcterms:W3CDTF">2025-05-16T03:15:51Z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