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Brain Mets Overall Progression</w:t>
            </w:r>
            <w:r>
              <w:rPr>
                <w:rFonts w:ascii="Calibri" w:hAnsi="Calibri"/>
                <w:sz w:val="20"/>
              </w:rPr>
              <w:t xml:space="preserve"> : Stool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BrM_primary_category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LuCa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(54, 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(55, 69)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steroids_at_surgery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shotgun_seq_batch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BrM_prior_treatment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prev_xrt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prev_it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prev_targeted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LMD_at_last_followup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ECM_at_last_followup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controlled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uncontrolled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BrM_total_follow_up.days.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568 (325, 836)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534 (302, 632)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Tumor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2.70 (2.60, 3.70)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2.85 (2.25, 3.90)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Median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 with simulated p-value (based on 2000 replicates)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Wilcoxon rank sum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2025-05-16T03:15:49Z</dcterms:created>
  <dcterms:modified xsi:type="dcterms:W3CDTF">2025-05-16T03:15:49Z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