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<w:tblPr>
        <w:tblCellMar>
          <w:top w:w="0" w:type="dxa"/>
          <w:bottom w:w="0" w:type="dxa"/>
          <w:start w:w="60" w:type="dxa"/>
          <w:end w:w="60" w:type="dxa"/>
        </w:tblCellMar>
        <w:tblW w:type="auto" w:w="0"/>
        <w:tblLook w:firstRow="0" w:lastRow="0" w:firstColumn="0" w:lastColumn="0" w:noHBand="0" w:noVBand="0"/>
        <w:jc w:val="center"/>
      </w:tblPr>
      <w:tr>
        <w:trPr>
          <w:cantSplit/>
          <w:tblHeader/>
        </w:trPr>
        <w:tc>
          <w:tcPr>
            <w:tcBorders>
              <w:top w:val="single" w:sz="16" w:space="0" w:color="D3D3D3"/>
              <w:start w:val="single" w:space="0" w:color="D3D3D3"/>
            </w:tcBorders>
          </w:tcPr>
          <w:p>
            <w:pPr>
              <w:spacing w:before="0" w:after="60"/>
              <w:keepNext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  <w:gridSpan w:val="2"/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Glioma Progression overall</w:t>
            </w:r>
            <w:r>
              <w:rPr>
                <w:rFonts w:ascii="Calibri" w:hAnsi="Calibri"/>
                <w:sz w:val="20"/>
              </w:rPr>
              <w:t xml:space="preserve"> : Saliva</w:t>
            </w:r>
          </w:p>
        </w:tc>
        <w:tc>
          <w:tcPr>
            <w:tcBorders>
              <w:top w:val="single" w:sz="16" w:space="0" w:color="D3D3D3"/>
              <w:end w:val="single" w:space="0" w:color="D3D3D3"/>
            </w:tcBorders>
          </w:tcPr>
          <w:p>
            <w:pPr>
              <w:spacing w:before="0" w:after="60"/>
              <w:keepNext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  <w:tblHeader/>
        </w:trPr>
        <w:tc>
          <w:tcPr>
            <w:tcBorders>
              <w:bottom w:val="single" w:sz="16" w:space="0" w:color="D3D3D3"/>
              <w:start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b w:val="true"/>
                <w:rFonts w:ascii="Calibri" w:hAnsi="Calibri"/>
                <w:sz w:val="20"/>
              </w:rPr>
              <w:t xml:space="preserve">Characteristic</w:t>
            </w:r>
          </w:p>
        </w:tc>
        <w:tc>
          <w:tcPr>
            <w:tcBorders>
              <w:bottom w:val="single" w:sz="16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N</w:t>
            </w:r>
            <w:r>
              <w:rPr>
                <w:rFonts w:ascii="Calibri" w:hAnsi="Calibri"/>
                <w:sz w:val="20"/>
              </w:rPr>
              <w:t xml:space="preserve"/>
            </w:r>
            <w:r xmlns:w="http://schemas.openxmlformats.org/wordprocessingml/2006/main">
              <w:rPr>
                <w:rFonts w:ascii="Calibri" w:hAnsi="Calibri"/>
                <w:sz w:val="20"/>
              </w:rPr>
              <w:t xml:space="preserve"> </w:t>
            </w:r>
            <w:r>
              <w:rPr>
                <w:rFonts w:ascii="Calibri" w:hAnsi="Calibri"/>
                <w:sz w:val="20"/>
              </w:rPr>
              <w:t xml:space="preserve">N = 43</w:t>
            </w:r>
            <w:r>
              <w:rPr>
                <w:vertAlign w:val="superscript"/>
                <w:i/>
                <w:rFonts w:ascii="Calibri" w:hAnsi="Calibri"/>
                <w:sz w:val="20"/>
              </w:rPr>
              <w:t xml:space="default">1</w:t>
            </w:r>
          </w:p>
        </w:tc>
        <w:tc>
          <w:tcPr>
            <w:tcBorders>
              <w:bottom w:val="single" w:sz="16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Y</w:t>
            </w:r>
            <w:r>
              <w:rPr>
                <w:rFonts w:ascii="Calibri" w:hAnsi="Calibri"/>
                <w:sz w:val="20"/>
              </w:rPr>
              <w:t xml:space="preserve"/>
            </w:r>
            <w:r xmlns:w="http://schemas.openxmlformats.org/wordprocessingml/2006/main">
              <w:rPr>
                <w:rFonts w:ascii="Calibri" w:hAnsi="Calibri"/>
                <w:sz w:val="20"/>
              </w:rPr>
              <w:t xml:space="preserve"> </w:t>
            </w:r>
            <w:r>
              <w:rPr>
                <w:rFonts w:ascii="Calibri" w:hAnsi="Calibri"/>
                <w:sz w:val="20"/>
              </w:rPr>
              <w:t xml:space="preserve">N = 46</w:t>
            </w:r>
            <w:r>
              <w:rPr>
                <w:vertAlign w:val="superscript"/>
                <w:i/>
                <w:rFonts w:ascii="Calibri" w:hAnsi="Calibri"/>
                <w:sz w:val="20"/>
              </w:rPr>
              <w:t xml:space="default">1</w:t>
            </w:r>
          </w:p>
        </w:tc>
        <w:tc>
          <w:tcPr>
            <w:tcBorders>
              <w:bottom w:val="single" w:sz="16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p-value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sex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0.2</w:t>
            </w:r>
            <w:r>
              <w:rPr>
                <w:vertAlign w:val="superscript"/>
                <w:i/>
                <w:rFonts w:ascii="Calibri" w:hAnsi="Calibri"/>
                <w:sz w:val="20"/>
              </w:rPr>
              <w:t xml:space="default">2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F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20 (47%)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15 (33%)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23 (53%)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31 (67%)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age_at_surgery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42 (36, 56)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56 (44, 66)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0.006</w:t>
            </w:r>
            <w:r>
              <w:rPr>
                <w:vertAlign w:val="superscript"/>
                <w:i/>
                <w:rFonts w:ascii="Calibri" w:hAnsi="Calibri"/>
                <w:sz w:val="20"/>
              </w:rPr>
              <w:t xml:space="default">3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race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0.7</w:t>
            </w:r>
            <w:r>
              <w:rPr>
                <w:vertAlign w:val="superscript"/>
                <w:i/>
                <w:rFonts w:ascii="Calibri" w:hAnsi="Calibri"/>
                <w:sz w:val="20"/>
              </w:rPr>
              <w:t xml:space="default">2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Asian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 (2.3%)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 (4.3%)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Black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 (2.3%)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 (4.3%)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Hispanic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4 (9.3%)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6 (13%)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Other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 (2.3%)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 (6.5%)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White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36 (84%)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33 (72%)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steroids_at_surgery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0.2</w:t>
            </w:r>
            <w:r>
              <w:rPr>
                <w:vertAlign w:val="superscript"/>
                <w:i/>
                <w:rFonts w:ascii="Calibri" w:hAnsi="Calibri"/>
                <w:sz w:val="20"/>
              </w:rPr>
              <w:t xml:space="default">2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N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20 (47%)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14 (30%)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Unknown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 (4.7%)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 (2.2%)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Y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21 (49%)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31 (67%)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grade_category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&lt;0.001</w:t>
            </w:r>
            <w:r>
              <w:rPr>
                <w:vertAlign w:val="superscript"/>
                <w:i/>
                <w:rFonts w:ascii="Calibri" w:hAnsi="Calibri"/>
                <w:sz w:val="20"/>
              </w:rPr>
              <w:t xml:space="default">2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High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24 (56%)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44 (96%)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Low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19 (44%)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 (4.3%)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shotgun_seq_batch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0.8</w:t>
            </w:r>
            <w:r>
              <w:rPr>
                <w:vertAlign w:val="superscript"/>
                <w:i/>
                <w:rFonts w:ascii="Calibri" w:hAnsi="Calibri"/>
                <w:sz w:val="20"/>
              </w:rPr>
              <w:t xml:space="default">2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Batch 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4 (9.3%)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 (4.3%)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Batch 10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25 (58%)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28 (61%)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Batch 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6 (14%)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10 (22%)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Batch 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7 (16%)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 (11%)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Batch 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 (2.3%)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 (2.2%)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glioma_idh_mutation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&lt;0.001</w:t>
            </w:r>
            <w:r>
              <w:rPr>
                <w:vertAlign w:val="superscript"/>
                <w:i/>
                <w:rFonts w:ascii="Calibri" w:hAnsi="Calibri"/>
                <w:sz w:val="20"/>
              </w:rPr>
              <w:t xml:space="default">2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Mutant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26 (60%)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6 (13%)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Wild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17 (40%)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40 (87%)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glioma_fu_time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241 (119, 618)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223 (148, 386)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0.6</w:t>
            </w:r>
            <w:r>
              <w:rPr>
                <w:vertAlign w:val="superscript"/>
                <w:i/>
                <w:rFonts w:ascii="Calibri" w:hAnsi="Calibri"/>
                <w:sz w:val="20"/>
              </w:rPr>
              <w:t xml:space="default">3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glioma_recurrent_status_at_surg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0.5</w:t>
            </w:r>
            <w:r>
              <w:rPr>
                <w:vertAlign w:val="superscript"/>
                <w:i/>
                <w:rFonts w:ascii="Calibri" w:hAnsi="Calibri"/>
                <w:sz w:val="20"/>
              </w:rPr>
              <w:t xml:space="default">2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N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34 (79%)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33 (72%)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Y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9 (21%)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13 (28%)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Tumor size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4.70 (3.70, 5.40)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4.90 (3.00, 6.70)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0.6</w:t>
            </w:r>
            <w:r>
              <w:rPr>
                <w:vertAlign w:val="superscript"/>
                <w:i/>
                <w:rFonts w:ascii="Calibri" w:hAnsi="Calibri"/>
                <w:sz w:val="20"/>
              </w:rPr>
              <w:t xml:space="default">3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Unknown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gridSpan w:val="4"/>
          </w:tcPr>
          <w:p>
            <w:pPr>
              <w:spacing w:before="0" w:after="60"/>
              <w:keepNext/>
            </w:pPr>
            <w:r>
              <w:rPr>
                <w:vertAlign w:val="superscript"/>
                <w:i/>
                <w:rFonts w:ascii="Calibri" w:hAnsi="Calibri"/>
                <w:sz w:val="20"/>
              </w:rPr>
              <w:t xml:space="default">1</w:t>
            </w:r>
            <w:r>
              <w:rPr>
                <w:rFonts w:ascii="Calibri" w:hAnsi="Calibri"/>
                <w:sz w:val="20"/>
              </w:rPr>
              <w:t xml:space="default">n (%); Median (Q1, Q3)</w:t>
            </w:r>
          </w:p>
        </w:tc>
      </w:tr>
      <w:tr>
        <w:trPr>
          <w:cantSplit/>
        </w:trPr>
        <w:tc>
          <w:tcPr>
            <w:gridSpan w:val="4"/>
          </w:tcPr>
          <w:p>
            <w:pPr>
              <w:spacing w:before="0" w:after="60"/>
              <w:keepNext/>
            </w:pPr>
            <w:r>
              <w:rPr>
                <w:vertAlign w:val="superscript"/>
                <w:i/>
                <w:rFonts w:ascii="Calibri" w:hAnsi="Calibri"/>
                <w:sz w:val="20"/>
              </w:rPr>
              <w:t xml:space="default">2</w:t>
            </w:r>
            <w:r>
              <w:rPr>
                <w:rFonts w:ascii="Calibri" w:hAnsi="Calibri"/>
                <w:sz w:val="20"/>
              </w:rPr>
              <w:t xml:space="default">Pearson's Chi-squared test with simulated p-value (based on 2000 replicates)</w:t>
            </w:r>
          </w:p>
        </w:tc>
      </w:tr>
      <w:tr>
        <w:trPr>
          <w:cantSplit/>
        </w:trPr>
        <w:tc>
          <w:tcPr>
            <w:gridSpan w:val="4"/>
          </w:tcPr>
          <w:p>
            <w:pPr>
              <w:spacing w:before="0" w:after="60"/>
              <w:keepNext/>
            </w:pPr>
            <w:r>
              <w:rPr>
                <w:vertAlign w:val="superscript"/>
                <w:i/>
                <w:rFonts w:ascii="Calibri" w:hAnsi="Calibri"/>
                <w:sz w:val="20"/>
              </w:rPr>
              <w:t xml:space="default">3</w:t>
            </w:r>
            <w:r>
              <w:rPr>
                <w:rFonts w:ascii="Calibri" w:hAnsi="Calibri"/>
                <w:sz w:val="20"/>
              </w:rPr>
              <w:t xml:space="default">Wilcoxon rank sum test</w:t>
            </w:r>
          </w:p>
        </w:tc>
      </w:tr>
    </w:tbl>
    <w:p>
      <w:pPr>
        <w:pStyle w:val="FirstParagraph"/>
      </w:pPr>
    </w:p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2025-05-16T03:19:58Z</dcterms:created>
  <dcterms:modified xsi:type="dcterms:W3CDTF">2025-05-16T03:19:58Z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