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Brain Mets Overall Progression</w:t>
            </w:r>
            <w:r>
              <w:rPr>
                <w:rFonts w:ascii="Calibri" w:hAnsi="Calibri"/>
                <w:sz w:val="20"/>
              </w:rPr>
              <w:t xml:space="preserve"> : Oral swab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BrM_primary_category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(54, 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(55, 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BrM_prior_treatment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prev_xrt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prev_targeted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LMD_at_last_followup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ECM_at_last_followup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BrM_total_follow_up.days.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 (30, 674)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(204, 624)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(2.60,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(2.25, 3.90)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2025-05-23T03:32:52Z</dcterms:created>
  <dcterms:modified xsi:type="dcterms:W3CDTF">2025-05-23T03:32:52Z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