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Glioma Progression overall</w:t>
            </w:r>
            <w:r>
              <w:rPr>
                <w:rFonts w:ascii="Calibri" w:hAnsi="Calibri"/>
                <w:sz w:val="20"/>
              </w:rPr>
              <w:t xml:space="preserve"> : Oral swab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Y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 (68%)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age_at_surgery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(36, 56)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(44, 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race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steroids_at_surgery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(6.7%)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grade_category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High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Low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shotgun_seq_batch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(4.3%)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(62%)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Batch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glioma_idh_mutation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Mutant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Wild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 (42%)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 (87%)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glioma_fu_time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241 (110, 563)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228 (148, 386)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glioma_recurrent_status_at_surg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(82%)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(70%)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Tumor size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4.70 (3.70, 5.40)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4.90 (3.00, 6.70)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(%); Median (Q1, Q3)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rFonts w:ascii="Calibri" w:hAnsi="Calibri"/>
                <w:sz w:val="20"/>
              </w:rPr>
              <w:t xml:space="default">Pearson's Chi-squared test with simulated p-value (based on 2000 replicates)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rFonts w:ascii="Calibri" w:hAnsi="Calibri"/>
                <w:sz w:val="20"/>
              </w:rPr>
              <w:t xml:space="default">Wilcoxon rank sum test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2025-07-15T14:18:08Z</dcterms:created>
  <dcterms:modified xsi:type="dcterms:W3CDTF">2025-07-15T14:18:08Z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