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00433" w14:textId="77777777" w:rsidR="00B7534C" w:rsidRPr="00B7534C" w:rsidRDefault="00B7534C" w:rsidP="00B7534C">
      <w:pPr>
        <w:pStyle w:val="Title"/>
        <w:jc w:val="center"/>
      </w:pPr>
      <w:r w:rsidRPr="00B7534C">
        <w:t>QR Table Interaction Platform for Hospitality</w:t>
      </w:r>
    </w:p>
    <w:p w14:paraId="28C5E74C" w14:textId="77777777" w:rsidR="00B7534C" w:rsidRPr="00B7534C" w:rsidRDefault="00B7534C" w:rsidP="00B7534C"/>
    <w:p w14:paraId="3848FE86" w14:textId="5F6E5934" w:rsidR="00B7534C" w:rsidRPr="00B7534C" w:rsidRDefault="00B7534C" w:rsidP="00B7534C">
      <w:pPr>
        <w:pStyle w:val="Subtitle"/>
        <w:jc w:val="center"/>
      </w:pPr>
      <w:r w:rsidRPr="00B7534C">
        <w:t>Business Plan</w:t>
      </w:r>
    </w:p>
    <w:p w14:paraId="17658ADB" w14:textId="77777777" w:rsidR="00B7534C" w:rsidRPr="00B7534C" w:rsidRDefault="00B7534C" w:rsidP="00B7534C"/>
    <w:p w14:paraId="1B3EB5C3" w14:textId="5325C461" w:rsidR="00C80F16" w:rsidRPr="00C80F16" w:rsidRDefault="00B7534C" w:rsidP="00C80F16">
      <w:pPr>
        <w:pStyle w:val="Heading1"/>
        <w:numPr>
          <w:ilvl w:val="0"/>
          <w:numId w:val="12"/>
        </w:numPr>
        <w:rPr>
          <w:color w:val="auto"/>
        </w:rPr>
      </w:pPr>
      <w:r w:rsidRPr="00C80F16">
        <w:rPr>
          <w:color w:val="auto"/>
        </w:rPr>
        <w:t>Problem</w:t>
      </w:r>
    </w:p>
    <w:p w14:paraId="11B733DD" w14:textId="73EE6251" w:rsidR="00B7534C" w:rsidRPr="00B7534C" w:rsidRDefault="00B7534C" w:rsidP="00C80F16">
      <w:pPr>
        <w:jc w:val="both"/>
      </w:pPr>
      <w:r w:rsidRPr="00B7534C">
        <w:br/>
        <w:t>In the fast-paced hospitality industry, restaurants, cafes, and bars face constant challenges around service efficiency, staff shortages, and digital customer expectations. Long wait times for service, delayed orders, and limited insight into real-time table activity hurt both customer satisfaction and venue revenue.</w:t>
      </w:r>
    </w:p>
    <w:p w14:paraId="3C4D62CD" w14:textId="77777777" w:rsidR="00B7534C" w:rsidRPr="00B7534C" w:rsidRDefault="00B7534C" w:rsidP="00C80F16">
      <w:pPr>
        <w:jc w:val="both"/>
      </w:pPr>
      <w:r w:rsidRPr="00B7534C">
        <w:t>From the perspective of our customers – hospitality business owners – the lack of streamlined, modern solutions creates everyday friction. For instance, a mid-sized restaurant in Zagreb struggles during peak hours. Waitstaff are overwhelmed, guests raise hands for assistance, and orders often get delayed or lost in communication. This results in decreased table turnover, lower tips, and poor reviews. In tourist-heavy areas, the lack of multilingual menus further frustrates guests, hurting repeat business.</w:t>
      </w:r>
    </w:p>
    <w:p w14:paraId="7FD4312E" w14:textId="77777777" w:rsidR="00B7534C" w:rsidRPr="00B7534C" w:rsidRDefault="00B7534C" w:rsidP="00C80F16">
      <w:pPr>
        <w:jc w:val="both"/>
      </w:pPr>
      <w:r w:rsidRPr="00B7534C">
        <w:t>According to Statista, the Croatian restaurant industry is forecasted to surpass $1.34 billion by 2025, with increased digitalization noted as a core trend post-COVID. Restaurants are expected to integrate more self-service technologies to reduce pressure on staff and meet modern customer expectations.</w:t>
      </w:r>
    </w:p>
    <w:p w14:paraId="0A6FA255" w14:textId="75B239BD" w:rsidR="00B7534C" w:rsidRPr="00B7534C" w:rsidRDefault="00B7534C" w:rsidP="00C80F16">
      <w:pPr>
        <w:jc w:val="both"/>
      </w:pPr>
    </w:p>
    <w:p w14:paraId="4159B797" w14:textId="29E4E4C3" w:rsidR="00C80F16" w:rsidRPr="00C80F16" w:rsidRDefault="00B7534C" w:rsidP="00C80F16">
      <w:pPr>
        <w:pStyle w:val="ListParagraph"/>
        <w:numPr>
          <w:ilvl w:val="0"/>
          <w:numId w:val="12"/>
        </w:numPr>
        <w:jc w:val="both"/>
        <w:rPr>
          <w:rFonts w:asciiTheme="majorHAnsi" w:eastAsiaTheme="majorEastAsia" w:hAnsiTheme="majorHAnsi" w:cstheme="majorBidi"/>
          <w:sz w:val="40"/>
          <w:szCs w:val="40"/>
        </w:rPr>
      </w:pPr>
      <w:r w:rsidRPr="00C80F16">
        <w:rPr>
          <w:rFonts w:asciiTheme="majorHAnsi" w:eastAsiaTheme="majorEastAsia" w:hAnsiTheme="majorHAnsi" w:cstheme="majorBidi"/>
          <w:sz w:val="40"/>
          <w:szCs w:val="40"/>
        </w:rPr>
        <w:t>Solution</w:t>
      </w:r>
    </w:p>
    <w:p w14:paraId="77B34AA7" w14:textId="1D22F80E" w:rsidR="00B7534C" w:rsidRPr="00B7534C" w:rsidRDefault="00B7534C" w:rsidP="00C80F16">
      <w:pPr>
        <w:jc w:val="both"/>
      </w:pPr>
      <w:r w:rsidRPr="00C80F16">
        <w:br/>
      </w:r>
      <w:r w:rsidRPr="00B7534C">
        <w:t>Our platform offers a web-based, multi-tenant application tailored for hospitality venues. Each table has a unique QR code. When scanned, it opens a menu with options to:</w:t>
      </w:r>
    </w:p>
    <w:p w14:paraId="3443D637" w14:textId="77777777" w:rsidR="00B7534C" w:rsidRPr="00B7534C" w:rsidRDefault="00B7534C" w:rsidP="00C80F16">
      <w:pPr>
        <w:numPr>
          <w:ilvl w:val="0"/>
          <w:numId w:val="1"/>
        </w:numPr>
        <w:jc w:val="both"/>
      </w:pPr>
      <w:r w:rsidRPr="00B7534C">
        <w:t>Browse food &amp; drinks (multi-language)</w:t>
      </w:r>
    </w:p>
    <w:p w14:paraId="297DC50A" w14:textId="77777777" w:rsidR="00B7534C" w:rsidRPr="00B7534C" w:rsidRDefault="00B7534C" w:rsidP="00C80F16">
      <w:pPr>
        <w:numPr>
          <w:ilvl w:val="0"/>
          <w:numId w:val="1"/>
        </w:numPr>
        <w:jc w:val="both"/>
      </w:pPr>
      <w:r w:rsidRPr="00B7534C">
        <w:t>Call a staff member</w:t>
      </w:r>
    </w:p>
    <w:p w14:paraId="58FCC7EE" w14:textId="77777777" w:rsidR="00B7534C" w:rsidRPr="00B7534C" w:rsidRDefault="00B7534C" w:rsidP="00C80F16">
      <w:pPr>
        <w:numPr>
          <w:ilvl w:val="0"/>
          <w:numId w:val="1"/>
        </w:numPr>
        <w:jc w:val="both"/>
      </w:pPr>
      <w:r w:rsidRPr="00B7534C">
        <w:t>Place an order directly from the phone</w:t>
      </w:r>
    </w:p>
    <w:p w14:paraId="748ED13F" w14:textId="77777777" w:rsidR="00B7534C" w:rsidRPr="00B7534C" w:rsidRDefault="00B7534C" w:rsidP="00C80F16">
      <w:pPr>
        <w:numPr>
          <w:ilvl w:val="0"/>
          <w:numId w:val="1"/>
        </w:numPr>
        <w:jc w:val="both"/>
      </w:pPr>
      <w:r w:rsidRPr="00B7534C">
        <w:t>Request the bill, specifying payment type (cash/card)</w:t>
      </w:r>
    </w:p>
    <w:p w14:paraId="25FE4B49" w14:textId="77777777" w:rsidR="00B7534C" w:rsidRPr="00B7534C" w:rsidRDefault="00B7534C" w:rsidP="00C80F16">
      <w:pPr>
        <w:jc w:val="both"/>
      </w:pPr>
      <w:r w:rsidRPr="00B7534C">
        <w:t>For staff, we provide a live dashboard:</w:t>
      </w:r>
    </w:p>
    <w:p w14:paraId="279AEA7D" w14:textId="77777777" w:rsidR="00B7534C" w:rsidRPr="00B7534C" w:rsidRDefault="00B7534C" w:rsidP="00C80F16">
      <w:pPr>
        <w:numPr>
          <w:ilvl w:val="0"/>
          <w:numId w:val="2"/>
        </w:numPr>
        <w:jc w:val="both"/>
      </w:pPr>
      <w:r w:rsidRPr="00B7534C">
        <w:t>Real-time table view with order statuses</w:t>
      </w:r>
    </w:p>
    <w:p w14:paraId="7D22955F" w14:textId="77777777" w:rsidR="00B7534C" w:rsidRPr="00B7534C" w:rsidRDefault="00B7534C" w:rsidP="00C80F16">
      <w:pPr>
        <w:numPr>
          <w:ilvl w:val="0"/>
          <w:numId w:val="2"/>
        </w:numPr>
        <w:jc w:val="both"/>
      </w:pPr>
      <w:r w:rsidRPr="00B7534C">
        <w:t>Notifications for assistance requests</w:t>
      </w:r>
    </w:p>
    <w:p w14:paraId="32C96728" w14:textId="77777777" w:rsidR="00B7534C" w:rsidRPr="00B7534C" w:rsidRDefault="00B7534C" w:rsidP="00C80F16">
      <w:pPr>
        <w:numPr>
          <w:ilvl w:val="0"/>
          <w:numId w:val="2"/>
        </w:numPr>
        <w:jc w:val="both"/>
      </w:pPr>
      <w:r w:rsidRPr="00B7534C">
        <w:lastRenderedPageBreak/>
        <w:t>Simplified order tracking &amp; preparation</w:t>
      </w:r>
    </w:p>
    <w:p w14:paraId="738736EE" w14:textId="77777777" w:rsidR="00B7534C" w:rsidRPr="00B7534C" w:rsidRDefault="00B7534C" w:rsidP="00C80F16">
      <w:pPr>
        <w:numPr>
          <w:ilvl w:val="0"/>
          <w:numId w:val="2"/>
        </w:numPr>
        <w:jc w:val="both"/>
      </w:pPr>
      <w:r w:rsidRPr="00B7534C">
        <w:t>Analytics on peak hours, table usage, item popularity</w:t>
      </w:r>
    </w:p>
    <w:p w14:paraId="25533AA7" w14:textId="77777777" w:rsidR="00B7534C" w:rsidRPr="00B7534C" w:rsidRDefault="00B7534C" w:rsidP="00C80F16">
      <w:pPr>
        <w:jc w:val="both"/>
      </w:pPr>
      <w:r w:rsidRPr="00B7534C">
        <w:rPr>
          <w:b/>
          <w:bCs/>
        </w:rPr>
        <w:t>[Include screenshots of table dashboard, mobile menu, and analytics panel in .pptx]</w:t>
      </w:r>
    </w:p>
    <w:p w14:paraId="04FDEB9E" w14:textId="7C8E58F9" w:rsidR="00B7534C" w:rsidRPr="00B7534C" w:rsidRDefault="00B7534C" w:rsidP="00C80F16">
      <w:pPr>
        <w:jc w:val="both"/>
      </w:pPr>
    </w:p>
    <w:p w14:paraId="1E35887C" w14:textId="06C1BDA4" w:rsidR="00C80F16" w:rsidRPr="00C80F16" w:rsidRDefault="00B7534C" w:rsidP="00C80F16">
      <w:pPr>
        <w:pStyle w:val="ListParagraph"/>
        <w:numPr>
          <w:ilvl w:val="0"/>
          <w:numId w:val="12"/>
        </w:numPr>
        <w:jc w:val="both"/>
        <w:rPr>
          <w:rFonts w:asciiTheme="majorHAnsi" w:eastAsiaTheme="majorEastAsia" w:hAnsiTheme="majorHAnsi" w:cstheme="majorBidi"/>
          <w:sz w:val="40"/>
          <w:szCs w:val="40"/>
        </w:rPr>
      </w:pPr>
      <w:r w:rsidRPr="00C80F16">
        <w:rPr>
          <w:rFonts w:asciiTheme="majorHAnsi" w:eastAsiaTheme="majorEastAsia" w:hAnsiTheme="majorHAnsi" w:cstheme="majorBidi"/>
          <w:sz w:val="40"/>
          <w:szCs w:val="40"/>
        </w:rPr>
        <w:t>Market Opportunity</w:t>
      </w:r>
    </w:p>
    <w:p w14:paraId="1C44C2CD" w14:textId="36E5320F" w:rsidR="00B7534C" w:rsidRPr="00B7534C" w:rsidRDefault="00B7534C" w:rsidP="00C80F16">
      <w:pPr>
        <w:jc w:val="both"/>
      </w:pPr>
      <w:r w:rsidRPr="00B7534C">
        <w:br/>
        <w:t>The Croatian hospitality industry is growing steadily, projected to reach €6.3B by 2028. Post-pandemic, over 60% of European restaurants adopted QR menus, yet many still lack true interaction features like ordering or calling staff. Our system fills that gap.</w:t>
      </w:r>
    </w:p>
    <w:p w14:paraId="14F1E102" w14:textId="77777777" w:rsidR="00B7534C" w:rsidRPr="00B7534C" w:rsidRDefault="00B7534C" w:rsidP="00C80F16">
      <w:pPr>
        <w:jc w:val="both"/>
      </w:pPr>
      <w:r w:rsidRPr="00B7534C">
        <w:t>Global competitors like Menu Tiger and Mr Yum focus on ordering and payment. However, their focus on complex integrations, commission fees, or foreign markets leaves local, small-to-medium venues underserved.</w:t>
      </w:r>
    </w:p>
    <w:p w14:paraId="1E51B57D" w14:textId="77777777" w:rsidR="00B7534C" w:rsidRPr="00B7534C" w:rsidRDefault="00B7534C" w:rsidP="00C80F16">
      <w:pPr>
        <w:jc w:val="both"/>
      </w:pPr>
      <w:r w:rsidRPr="00B7534C">
        <w:t>We focus on central and eastern Europe initially, with multi-language support, low-barrier onboarding, and a strong emphasis on human-assisted automation (not full replacement).</w:t>
      </w:r>
    </w:p>
    <w:p w14:paraId="3FAC32E2" w14:textId="4D2A6103" w:rsidR="00B7534C" w:rsidRPr="00B7534C" w:rsidRDefault="00B7534C" w:rsidP="00C80F16">
      <w:pPr>
        <w:jc w:val="both"/>
      </w:pPr>
    </w:p>
    <w:p w14:paraId="7D5C007B" w14:textId="4D8B7CAC" w:rsidR="00C80F16" w:rsidRPr="00C80F16" w:rsidRDefault="00B7534C" w:rsidP="00C80F16">
      <w:pPr>
        <w:pStyle w:val="ListParagraph"/>
        <w:numPr>
          <w:ilvl w:val="0"/>
          <w:numId w:val="12"/>
        </w:numPr>
        <w:jc w:val="both"/>
        <w:rPr>
          <w:rFonts w:asciiTheme="majorHAnsi" w:eastAsiaTheme="majorEastAsia" w:hAnsiTheme="majorHAnsi" w:cstheme="majorBidi"/>
          <w:sz w:val="40"/>
          <w:szCs w:val="40"/>
        </w:rPr>
      </w:pPr>
      <w:r w:rsidRPr="00C80F16">
        <w:rPr>
          <w:rFonts w:asciiTheme="majorHAnsi" w:eastAsiaTheme="majorEastAsia" w:hAnsiTheme="majorHAnsi" w:cstheme="majorBidi"/>
          <w:sz w:val="40"/>
          <w:szCs w:val="40"/>
        </w:rPr>
        <w:t>Value Proposition</w:t>
      </w:r>
    </w:p>
    <w:p w14:paraId="4C28E3F7" w14:textId="7BF83D7E" w:rsidR="00B7534C" w:rsidRPr="00B7534C" w:rsidRDefault="00B7534C" w:rsidP="00C80F16">
      <w:pPr>
        <w:jc w:val="both"/>
      </w:pPr>
      <w:r w:rsidRPr="00B7534C">
        <w:br/>
        <w:t>For restaurant/bar/cafe owners:</w:t>
      </w:r>
    </w:p>
    <w:p w14:paraId="57BE48BB" w14:textId="77777777" w:rsidR="00B7534C" w:rsidRPr="00B7534C" w:rsidRDefault="00B7534C" w:rsidP="00C80F16">
      <w:pPr>
        <w:numPr>
          <w:ilvl w:val="0"/>
          <w:numId w:val="3"/>
        </w:numPr>
        <w:jc w:val="both"/>
      </w:pPr>
      <w:r w:rsidRPr="00B7534C">
        <w:t>Reduce staff workload without removing human touch</w:t>
      </w:r>
    </w:p>
    <w:p w14:paraId="39F90B25" w14:textId="77777777" w:rsidR="00B7534C" w:rsidRPr="00B7534C" w:rsidRDefault="00B7534C" w:rsidP="00C80F16">
      <w:pPr>
        <w:numPr>
          <w:ilvl w:val="0"/>
          <w:numId w:val="3"/>
        </w:numPr>
        <w:jc w:val="both"/>
      </w:pPr>
      <w:r w:rsidRPr="00B7534C">
        <w:t>Serve more tables with the same number of staff</w:t>
      </w:r>
    </w:p>
    <w:p w14:paraId="222D62C9" w14:textId="77777777" w:rsidR="00B7534C" w:rsidRPr="00B7534C" w:rsidRDefault="00B7534C" w:rsidP="00C80F16">
      <w:pPr>
        <w:numPr>
          <w:ilvl w:val="0"/>
          <w:numId w:val="3"/>
        </w:numPr>
        <w:jc w:val="both"/>
      </w:pPr>
      <w:r w:rsidRPr="00B7534C">
        <w:t>Increase table turnover and customer satisfaction</w:t>
      </w:r>
    </w:p>
    <w:p w14:paraId="4233726A" w14:textId="77777777" w:rsidR="00B7534C" w:rsidRPr="00B7534C" w:rsidRDefault="00B7534C" w:rsidP="00C80F16">
      <w:pPr>
        <w:numPr>
          <w:ilvl w:val="0"/>
          <w:numId w:val="3"/>
        </w:numPr>
        <w:jc w:val="both"/>
      </w:pPr>
      <w:r w:rsidRPr="00B7534C">
        <w:t>Get real-time insights to improve operations</w:t>
      </w:r>
    </w:p>
    <w:p w14:paraId="4AB92B97" w14:textId="77777777" w:rsidR="00B7534C" w:rsidRPr="00B7534C" w:rsidRDefault="00B7534C" w:rsidP="00C80F16">
      <w:pPr>
        <w:jc w:val="both"/>
      </w:pPr>
      <w:r w:rsidRPr="00B7534C">
        <w:t>For customers:</w:t>
      </w:r>
    </w:p>
    <w:p w14:paraId="3CCA2CF4" w14:textId="77777777" w:rsidR="00B7534C" w:rsidRPr="00B7534C" w:rsidRDefault="00B7534C" w:rsidP="00C80F16">
      <w:pPr>
        <w:numPr>
          <w:ilvl w:val="0"/>
          <w:numId w:val="4"/>
        </w:numPr>
        <w:jc w:val="both"/>
      </w:pPr>
      <w:r w:rsidRPr="00B7534C">
        <w:t>No app download, instant web access</w:t>
      </w:r>
    </w:p>
    <w:p w14:paraId="332B521A" w14:textId="77777777" w:rsidR="00B7534C" w:rsidRPr="00B7534C" w:rsidRDefault="00B7534C" w:rsidP="00C80F16">
      <w:pPr>
        <w:numPr>
          <w:ilvl w:val="0"/>
          <w:numId w:val="4"/>
        </w:numPr>
        <w:jc w:val="both"/>
      </w:pPr>
      <w:r w:rsidRPr="00B7534C">
        <w:t>Clear menu browsing (with photos &amp; translations)</w:t>
      </w:r>
    </w:p>
    <w:p w14:paraId="1FF97189" w14:textId="77777777" w:rsidR="00B7534C" w:rsidRPr="00B7534C" w:rsidRDefault="00B7534C" w:rsidP="00C80F16">
      <w:pPr>
        <w:numPr>
          <w:ilvl w:val="0"/>
          <w:numId w:val="4"/>
        </w:numPr>
        <w:jc w:val="both"/>
      </w:pPr>
      <w:r w:rsidRPr="00B7534C">
        <w:t>Empowered experience (call staff, order, pay-request)</w:t>
      </w:r>
    </w:p>
    <w:p w14:paraId="3F855030" w14:textId="68C0BF87" w:rsidR="00B7534C" w:rsidRPr="00B7534C" w:rsidRDefault="00B7534C" w:rsidP="00C80F16">
      <w:pPr>
        <w:jc w:val="both"/>
      </w:pPr>
    </w:p>
    <w:p w14:paraId="728B6579" w14:textId="77777777" w:rsidR="00C80F16" w:rsidRDefault="00C80F16">
      <w:pPr>
        <w:rPr>
          <w:rFonts w:asciiTheme="majorHAnsi" w:eastAsiaTheme="majorEastAsia" w:hAnsiTheme="majorHAnsi" w:cstheme="majorBidi"/>
          <w:sz w:val="40"/>
          <w:szCs w:val="40"/>
        </w:rPr>
      </w:pPr>
      <w:r>
        <w:rPr>
          <w:rFonts w:asciiTheme="majorHAnsi" w:eastAsiaTheme="majorEastAsia" w:hAnsiTheme="majorHAnsi" w:cstheme="majorBidi"/>
          <w:sz w:val="40"/>
          <w:szCs w:val="40"/>
        </w:rPr>
        <w:br w:type="page"/>
      </w:r>
    </w:p>
    <w:p w14:paraId="2D5689CE" w14:textId="09D95B2C" w:rsidR="00C80F16" w:rsidRPr="00C80F16" w:rsidRDefault="00B7534C" w:rsidP="00C80F16">
      <w:pPr>
        <w:pStyle w:val="ListParagraph"/>
        <w:numPr>
          <w:ilvl w:val="0"/>
          <w:numId w:val="12"/>
        </w:numPr>
        <w:jc w:val="both"/>
        <w:rPr>
          <w:rFonts w:asciiTheme="majorHAnsi" w:eastAsiaTheme="majorEastAsia" w:hAnsiTheme="majorHAnsi" w:cstheme="majorBidi"/>
          <w:sz w:val="40"/>
          <w:szCs w:val="40"/>
        </w:rPr>
      </w:pPr>
      <w:r w:rsidRPr="00C80F16">
        <w:rPr>
          <w:rFonts w:asciiTheme="majorHAnsi" w:eastAsiaTheme="majorEastAsia" w:hAnsiTheme="majorHAnsi" w:cstheme="majorBidi"/>
          <w:sz w:val="40"/>
          <w:szCs w:val="40"/>
        </w:rPr>
        <w:lastRenderedPageBreak/>
        <w:t>Business Model</w:t>
      </w:r>
    </w:p>
    <w:p w14:paraId="78621CD9" w14:textId="1CDEE07B" w:rsidR="00B7534C" w:rsidRPr="00B7534C" w:rsidRDefault="00B7534C" w:rsidP="00C80F16">
      <w:pPr>
        <w:jc w:val="both"/>
      </w:pPr>
      <w:r w:rsidRPr="00C80F16">
        <w:br/>
      </w:r>
      <w:r w:rsidRPr="00B7534C">
        <w:t xml:space="preserve">Our primary revenue stream is </w:t>
      </w:r>
      <w:r w:rsidRPr="00C80F16">
        <w:t>monthly subscriptions</w:t>
      </w:r>
      <w:r w:rsidRPr="00B7534C">
        <w:t>, with three pricing tiers: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057"/>
        <w:gridCol w:w="1275"/>
        <w:gridCol w:w="5669"/>
      </w:tblGrid>
      <w:tr w:rsidR="00B7534C" w:rsidRPr="00B7534C" w14:paraId="612926F9" w14:textId="77777777" w:rsidTr="00C80F16">
        <w:trPr>
          <w:tblCellSpacing w:w="15" w:type="dxa"/>
        </w:trPr>
        <w:tc>
          <w:tcPr>
            <w:tcW w:w="0" w:type="auto"/>
            <w:vAlign w:val="center"/>
            <w:hideMark/>
          </w:tcPr>
          <w:p w14:paraId="66F9A1BF" w14:textId="77777777" w:rsidR="00B7534C" w:rsidRPr="00B7534C" w:rsidRDefault="00B7534C" w:rsidP="00C80F16">
            <w:pPr>
              <w:jc w:val="center"/>
              <w:rPr>
                <w:b/>
                <w:bCs/>
              </w:rPr>
            </w:pPr>
            <w:r w:rsidRPr="00B7534C">
              <w:rPr>
                <w:b/>
                <w:bCs/>
              </w:rPr>
              <w:t>Plan</w:t>
            </w:r>
          </w:p>
        </w:tc>
        <w:tc>
          <w:tcPr>
            <w:tcW w:w="1027" w:type="dxa"/>
            <w:vAlign w:val="center"/>
            <w:hideMark/>
          </w:tcPr>
          <w:p w14:paraId="11BF1267" w14:textId="77777777" w:rsidR="00B7534C" w:rsidRPr="00B7534C" w:rsidRDefault="00B7534C" w:rsidP="00C80F16">
            <w:pPr>
              <w:jc w:val="center"/>
              <w:rPr>
                <w:b/>
                <w:bCs/>
              </w:rPr>
            </w:pPr>
            <w:r w:rsidRPr="00B7534C">
              <w:rPr>
                <w:b/>
                <w:bCs/>
              </w:rPr>
              <w:t>Monthly</w:t>
            </w:r>
          </w:p>
        </w:tc>
        <w:tc>
          <w:tcPr>
            <w:tcW w:w="1245" w:type="dxa"/>
            <w:vAlign w:val="center"/>
            <w:hideMark/>
          </w:tcPr>
          <w:p w14:paraId="6A31B01D" w14:textId="45807F86" w:rsidR="00B7534C" w:rsidRPr="00B7534C" w:rsidRDefault="00B7534C" w:rsidP="00C80F16">
            <w:pPr>
              <w:jc w:val="center"/>
              <w:rPr>
                <w:b/>
                <w:bCs/>
              </w:rPr>
            </w:pPr>
            <w:r w:rsidRPr="00B7534C">
              <w:rPr>
                <w:b/>
                <w:bCs/>
              </w:rPr>
              <w:t xml:space="preserve">Yearly </w:t>
            </w:r>
            <w:r w:rsidR="00C80F16">
              <w:rPr>
                <w:b/>
                <w:bCs/>
              </w:rPr>
              <w:br/>
            </w:r>
            <w:r w:rsidRPr="00B7534C">
              <w:rPr>
                <w:b/>
                <w:bCs/>
              </w:rPr>
              <w:t>(10% off)</w:t>
            </w:r>
          </w:p>
        </w:tc>
        <w:tc>
          <w:tcPr>
            <w:tcW w:w="5624" w:type="dxa"/>
            <w:vAlign w:val="center"/>
            <w:hideMark/>
          </w:tcPr>
          <w:p w14:paraId="0F3E394E" w14:textId="77777777" w:rsidR="00B7534C" w:rsidRPr="00B7534C" w:rsidRDefault="00B7534C" w:rsidP="00C80F16">
            <w:pPr>
              <w:jc w:val="center"/>
              <w:rPr>
                <w:b/>
                <w:bCs/>
              </w:rPr>
            </w:pPr>
            <w:r w:rsidRPr="00B7534C">
              <w:rPr>
                <w:b/>
                <w:bCs/>
              </w:rPr>
              <w:t>Features</w:t>
            </w:r>
          </w:p>
        </w:tc>
      </w:tr>
      <w:tr w:rsidR="00B7534C" w:rsidRPr="00B7534C" w14:paraId="22F28B42" w14:textId="77777777" w:rsidTr="00C80F16">
        <w:trPr>
          <w:tblCellSpacing w:w="15" w:type="dxa"/>
        </w:trPr>
        <w:tc>
          <w:tcPr>
            <w:tcW w:w="0" w:type="auto"/>
            <w:vAlign w:val="center"/>
            <w:hideMark/>
          </w:tcPr>
          <w:p w14:paraId="02C8FCCC" w14:textId="77777777" w:rsidR="00B7534C" w:rsidRPr="00B7534C" w:rsidRDefault="00B7534C" w:rsidP="00C80F16">
            <w:pPr>
              <w:jc w:val="both"/>
            </w:pPr>
            <w:r w:rsidRPr="00B7534C">
              <w:rPr>
                <w:b/>
                <w:bCs/>
              </w:rPr>
              <w:t>Basic</w:t>
            </w:r>
          </w:p>
        </w:tc>
        <w:tc>
          <w:tcPr>
            <w:tcW w:w="1027" w:type="dxa"/>
            <w:vAlign w:val="center"/>
            <w:hideMark/>
          </w:tcPr>
          <w:p w14:paraId="7396C585" w14:textId="77777777" w:rsidR="00B7534C" w:rsidRPr="00B7534C" w:rsidRDefault="00B7534C" w:rsidP="00C80F16">
            <w:pPr>
              <w:jc w:val="both"/>
            </w:pPr>
            <w:r w:rsidRPr="00B7534C">
              <w:t>€19</w:t>
            </w:r>
          </w:p>
        </w:tc>
        <w:tc>
          <w:tcPr>
            <w:tcW w:w="1245" w:type="dxa"/>
            <w:vAlign w:val="center"/>
            <w:hideMark/>
          </w:tcPr>
          <w:p w14:paraId="7A246DFC" w14:textId="77777777" w:rsidR="00B7534C" w:rsidRPr="00B7534C" w:rsidRDefault="00B7534C" w:rsidP="00C80F16">
            <w:pPr>
              <w:jc w:val="both"/>
            </w:pPr>
            <w:r w:rsidRPr="00B7534C">
              <w:t>€205</w:t>
            </w:r>
          </w:p>
        </w:tc>
        <w:tc>
          <w:tcPr>
            <w:tcW w:w="5624" w:type="dxa"/>
            <w:vAlign w:val="center"/>
            <w:hideMark/>
          </w:tcPr>
          <w:p w14:paraId="629C5840" w14:textId="77777777" w:rsidR="00B7534C" w:rsidRPr="00B7534C" w:rsidRDefault="00B7534C" w:rsidP="00C80F16">
            <w:pPr>
              <w:jc w:val="both"/>
            </w:pPr>
            <w:r w:rsidRPr="00B7534C">
              <w:t>Menu browsing, staff calls, basic analytics, up to 10 tables</w:t>
            </w:r>
          </w:p>
        </w:tc>
      </w:tr>
      <w:tr w:rsidR="00B7534C" w:rsidRPr="00B7534C" w14:paraId="77BD50B5" w14:textId="77777777" w:rsidTr="00C80F16">
        <w:trPr>
          <w:tblCellSpacing w:w="15" w:type="dxa"/>
        </w:trPr>
        <w:tc>
          <w:tcPr>
            <w:tcW w:w="0" w:type="auto"/>
            <w:vAlign w:val="center"/>
            <w:hideMark/>
          </w:tcPr>
          <w:p w14:paraId="4DD52E0E" w14:textId="77777777" w:rsidR="00B7534C" w:rsidRPr="00B7534C" w:rsidRDefault="00B7534C" w:rsidP="00C80F16">
            <w:pPr>
              <w:jc w:val="both"/>
            </w:pPr>
            <w:r w:rsidRPr="00B7534C">
              <w:rPr>
                <w:b/>
                <w:bCs/>
              </w:rPr>
              <w:t>Premium</w:t>
            </w:r>
          </w:p>
        </w:tc>
        <w:tc>
          <w:tcPr>
            <w:tcW w:w="1027" w:type="dxa"/>
            <w:vAlign w:val="center"/>
            <w:hideMark/>
          </w:tcPr>
          <w:p w14:paraId="0654A914" w14:textId="77777777" w:rsidR="00B7534C" w:rsidRPr="00B7534C" w:rsidRDefault="00B7534C" w:rsidP="00C80F16">
            <w:pPr>
              <w:jc w:val="both"/>
            </w:pPr>
            <w:r w:rsidRPr="00B7534C">
              <w:t>€49</w:t>
            </w:r>
          </w:p>
        </w:tc>
        <w:tc>
          <w:tcPr>
            <w:tcW w:w="1245" w:type="dxa"/>
            <w:vAlign w:val="center"/>
            <w:hideMark/>
          </w:tcPr>
          <w:p w14:paraId="78E71D82" w14:textId="77777777" w:rsidR="00B7534C" w:rsidRPr="00B7534C" w:rsidRDefault="00B7534C" w:rsidP="00C80F16">
            <w:pPr>
              <w:jc w:val="both"/>
            </w:pPr>
            <w:r w:rsidRPr="00B7534C">
              <w:t>€529</w:t>
            </w:r>
          </w:p>
        </w:tc>
        <w:tc>
          <w:tcPr>
            <w:tcW w:w="5624" w:type="dxa"/>
            <w:vAlign w:val="center"/>
            <w:hideMark/>
          </w:tcPr>
          <w:p w14:paraId="5563FBBC" w14:textId="77777777" w:rsidR="00B7534C" w:rsidRPr="00B7534C" w:rsidRDefault="00B7534C" w:rsidP="00C80F16">
            <w:pPr>
              <w:jc w:val="both"/>
            </w:pPr>
            <w:r w:rsidRPr="00B7534C">
              <w:t>Includes ordering, custom branding, multi-language support, up to 50 tables</w:t>
            </w:r>
          </w:p>
        </w:tc>
      </w:tr>
      <w:tr w:rsidR="00B7534C" w:rsidRPr="00B7534C" w14:paraId="44EEA862" w14:textId="77777777" w:rsidTr="00C80F16">
        <w:trPr>
          <w:tblCellSpacing w:w="15" w:type="dxa"/>
        </w:trPr>
        <w:tc>
          <w:tcPr>
            <w:tcW w:w="0" w:type="auto"/>
            <w:vAlign w:val="center"/>
            <w:hideMark/>
          </w:tcPr>
          <w:p w14:paraId="34CE21CC" w14:textId="77777777" w:rsidR="00B7534C" w:rsidRPr="00B7534C" w:rsidRDefault="00B7534C" w:rsidP="00C80F16">
            <w:pPr>
              <w:jc w:val="both"/>
            </w:pPr>
            <w:r w:rsidRPr="00B7534C">
              <w:rPr>
                <w:b/>
                <w:bCs/>
              </w:rPr>
              <w:t>Enterprise</w:t>
            </w:r>
          </w:p>
        </w:tc>
        <w:tc>
          <w:tcPr>
            <w:tcW w:w="1027" w:type="dxa"/>
            <w:vAlign w:val="center"/>
            <w:hideMark/>
          </w:tcPr>
          <w:p w14:paraId="62F35444" w14:textId="77777777" w:rsidR="00B7534C" w:rsidRPr="00B7534C" w:rsidRDefault="00B7534C" w:rsidP="00C80F16">
            <w:pPr>
              <w:jc w:val="both"/>
            </w:pPr>
            <w:r w:rsidRPr="00B7534C">
              <w:t>Custom</w:t>
            </w:r>
          </w:p>
        </w:tc>
        <w:tc>
          <w:tcPr>
            <w:tcW w:w="1245" w:type="dxa"/>
            <w:vAlign w:val="center"/>
            <w:hideMark/>
          </w:tcPr>
          <w:p w14:paraId="2BF4A7A5" w14:textId="77777777" w:rsidR="00B7534C" w:rsidRPr="00B7534C" w:rsidRDefault="00B7534C" w:rsidP="00C80F16">
            <w:pPr>
              <w:jc w:val="both"/>
            </w:pPr>
            <w:r w:rsidRPr="00B7534C">
              <w:t>Custom</w:t>
            </w:r>
          </w:p>
        </w:tc>
        <w:tc>
          <w:tcPr>
            <w:tcW w:w="5624" w:type="dxa"/>
            <w:vAlign w:val="center"/>
            <w:hideMark/>
          </w:tcPr>
          <w:p w14:paraId="63D030D8" w14:textId="77777777" w:rsidR="00B7534C" w:rsidRPr="00B7534C" w:rsidRDefault="00B7534C" w:rsidP="00C80F16">
            <w:pPr>
              <w:jc w:val="both"/>
            </w:pPr>
            <w:r w:rsidRPr="00B7534C">
              <w:t>Unlimited tables, API access, white-labeling, dedicated support</w:t>
            </w:r>
          </w:p>
        </w:tc>
      </w:tr>
    </w:tbl>
    <w:p w14:paraId="4CC041A8" w14:textId="77777777" w:rsidR="00A62954" w:rsidRDefault="00A62954" w:rsidP="00C80F16">
      <w:pPr>
        <w:jc w:val="both"/>
      </w:pPr>
    </w:p>
    <w:p w14:paraId="12BE903F" w14:textId="15FE02DB" w:rsidR="00B7534C" w:rsidRPr="00B7534C" w:rsidRDefault="00B7534C" w:rsidP="00C80F16">
      <w:pPr>
        <w:jc w:val="both"/>
      </w:pPr>
      <w:r w:rsidRPr="00B7534C">
        <w:t>Additional services:</w:t>
      </w:r>
    </w:p>
    <w:p w14:paraId="33B06FCB" w14:textId="77777777" w:rsidR="00B7534C" w:rsidRPr="00B7534C" w:rsidRDefault="00B7534C" w:rsidP="00C80F16">
      <w:pPr>
        <w:numPr>
          <w:ilvl w:val="0"/>
          <w:numId w:val="5"/>
        </w:numPr>
        <w:jc w:val="both"/>
      </w:pPr>
      <w:r w:rsidRPr="00B7534C">
        <w:t>QR print kits (€25 one-time)</w:t>
      </w:r>
    </w:p>
    <w:p w14:paraId="12BD8D59" w14:textId="77777777" w:rsidR="00B7534C" w:rsidRPr="00B7534C" w:rsidRDefault="00B7534C" w:rsidP="00C80F16">
      <w:pPr>
        <w:numPr>
          <w:ilvl w:val="0"/>
          <w:numId w:val="5"/>
        </w:numPr>
        <w:jc w:val="both"/>
      </w:pPr>
      <w:r w:rsidRPr="00B7534C">
        <w:t>Staff onboarding/training packages</w:t>
      </w:r>
    </w:p>
    <w:p w14:paraId="0CE45791" w14:textId="77777777" w:rsidR="00B7534C" w:rsidRPr="00B7534C" w:rsidRDefault="00B7534C" w:rsidP="00C80F16">
      <w:pPr>
        <w:numPr>
          <w:ilvl w:val="0"/>
          <w:numId w:val="5"/>
        </w:numPr>
        <w:jc w:val="both"/>
      </w:pPr>
      <w:r w:rsidRPr="00B7534C">
        <w:t>Custom feature development (on-demand)</w:t>
      </w:r>
    </w:p>
    <w:p w14:paraId="2F000D0D" w14:textId="2A628946" w:rsidR="00B7534C" w:rsidRPr="00B7534C" w:rsidRDefault="00B7534C" w:rsidP="00C80F16">
      <w:pPr>
        <w:jc w:val="both"/>
      </w:pPr>
    </w:p>
    <w:p w14:paraId="2332C074" w14:textId="2E922DA8" w:rsidR="00A62954" w:rsidRDefault="00B7534C" w:rsidP="00A62954">
      <w:pPr>
        <w:pStyle w:val="ListParagraph"/>
        <w:numPr>
          <w:ilvl w:val="0"/>
          <w:numId w:val="12"/>
        </w:numPr>
        <w:jc w:val="both"/>
        <w:rPr>
          <w:rFonts w:asciiTheme="majorHAnsi" w:eastAsiaTheme="majorEastAsia" w:hAnsiTheme="majorHAnsi" w:cstheme="majorBidi"/>
          <w:sz w:val="40"/>
          <w:szCs w:val="40"/>
        </w:rPr>
      </w:pPr>
      <w:r w:rsidRPr="00B7534C">
        <w:rPr>
          <w:rFonts w:asciiTheme="majorHAnsi" w:eastAsiaTheme="majorEastAsia" w:hAnsiTheme="majorHAnsi" w:cstheme="majorBidi"/>
          <w:sz w:val="40"/>
          <w:szCs w:val="40"/>
        </w:rPr>
        <w:t>Competitor Overview</w:t>
      </w:r>
    </w:p>
    <w:p w14:paraId="2B70A4BB" w14:textId="77777777" w:rsidR="00A62954" w:rsidRPr="00A62954" w:rsidRDefault="00A62954" w:rsidP="00A62954">
      <w:pPr>
        <w:jc w:val="both"/>
        <w:rPr>
          <w:rFonts w:asciiTheme="majorHAnsi" w:eastAsiaTheme="majorEastAsia" w:hAnsiTheme="majorHAnsi" w:cstheme="majorBidi"/>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869"/>
        <w:gridCol w:w="1097"/>
        <w:gridCol w:w="2783"/>
        <w:gridCol w:w="3134"/>
      </w:tblGrid>
      <w:tr w:rsidR="00B7534C" w:rsidRPr="00B7534C" w14:paraId="4973169B" w14:textId="77777777" w:rsidTr="00B7534C">
        <w:trPr>
          <w:tblCellSpacing w:w="15" w:type="dxa"/>
        </w:trPr>
        <w:tc>
          <w:tcPr>
            <w:tcW w:w="0" w:type="auto"/>
            <w:vAlign w:val="center"/>
            <w:hideMark/>
          </w:tcPr>
          <w:p w14:paraId="410409CF" w14:textId="77777777" w:rsidR="00B7534C" w:rsidRPr="00B7534C" w:rsidRDefault="00B7534C" w:rsidP="00A62954">
            <w:pPr>
              <w:jc w:val="center"/>
              <w:rPr>
                <w:b/>
                <w:bCs/>
              </w:rPr>
            </w:pPr>
            <w:r w:rsidRPr="00B7534C">
              <w:rPr>
                <w:b/>
                <w:bCs/>
              </w:rPr>
              <w:t>Competitor</w:t>
            </w:r>
          </w:p>
        </w:tc>
        <w:tc>
          <w:tcPr>
            <w:tcW w:w="0" w:type="auto"/>
            <w:vAlign w:val="center"/>
            <w:hideMark/>
          </w:tcPr>
          <w:p w14:paraId="52F92BE8" w14:textId="77777777" w:rsidR="00B7534C" w:rsidRPr="00B7534C" w:rsidRDefault="00B7534C" w:rsidP="00A62954">
            <w:pPr>
              <w:jc w:val="center"/>
              <w:rPr>
                <w:b/>
                <w:bCs/>
              </w:rPr>
            </w:pPr>
            <w:r w:rsidRPr="00B7534C">
              <w:rPr>
                <w:b/>
                <w:bCs/>
              </w:rPr>
              <w:t>Country</w:t>
            </w:r>
          </w:p>
        </w:tc>
        <w:tc>
          <w:tcPr>
            <w:tcW w:w="0" w:type="auto"/>
            <w:vAlign w:val="center"/>
            <w:hideMark/>
          </w:tcPr>
          <w:p w14:paraId="3C1637BA" w14:textId="77777777" w:rsidR="00B7534C" w:rsidRPr="00B7534C" w:rsidRDefault="00B7534C" w:rsidP="00A62954">
            <w:pPr>
              <w:jc w:val="center"/>
              <w:rPr>
                <w:b/>
                <w:bCs/>
              </w:rPr>
            </w:pPr>
            <w:r w:rsidRPr="00B7534C">
              <w:rPr>
                <w:b/>
                <w:bCs/>
              </w:rPr>
              <w:t>Price (Mo.)</w:t>
            </w:r>
          </w:p>
        </w:tc>
        <w:tc>
          <w:tcPr>
            <w:tcW w:w="0" w:type="auto"/>
            <w:vAlign w:val="center"/>
            <w:hideMark/>
          </w:tcPr>
          <w:p w14:paraId="3B64A93F" w14:textId="77777777" w:rsidR="00B7534C" w:rsidRPr="00B7534C" w:rsidRDefault="00B7534C" w:rsidP="00A62954">
            <w:pPr>
              <w:jc w:val="center"/>
              <w:rPr>
                <w:b/>
                <w:bCs/>
              </w:rPr>
            </w:pPr>
            <w:r w:rsidRPr="00B7534C">
              <w:rPr>
                <w:b/>
                <w:bCs/>
              </w:rPr>
              <w:t>Key Features</w:t>
            </w:r>
          </w:p>
        </w:tc>
        <w:tc>
          <w:tcPr>
            <w:tcW w:w="0" w:type="auto"/>
            <w:vAlign w:val="center"/>
            <w:hideMark/>
          </w:tcPr>
          <w:p w14:paraId="1FBDA517" w14:textId="77777777" w:rsidR="00B7534C" w:rsidRPr="00B7534C" w:rsidRDefault="00B7534C" w:rsidP="00A62954">
            <w:pPr>
              <w:jc w:val="center"/>
              <w:rPr>
                <w:b/>
                <w:bCs/>
              </w:rPr>
            </w:pPr>
            <w:r w:rsidRPr="00B7534C">
              <w:rPr>
                <w:b/>
                <w:bCs/>
              </w:rPr>
              <w:t>Differentiation</w:t>
            </w:r>
          </w:p>
        </w:tc>
      </w:tr>
      <w:tr w:rsidR="00B7534C" w:rsidRPr="00B7534C" w14:paraId="02081296" w14:textId="77777777" w:rsidTr="00B7534C">
        <w:trPr>
          <w:tblCellSpacing w:w="15" w:type="dxa"/>
        </w:trPr>
        <w:tc>
          <w:tcPr>
            <w:tcW w:w="0" w:type="auto"/>
            <w:vAlign w:val="center"/>
            <w:hideMark/>
          </w:tcPr>
          <w:p w14:paraId="5F371B70" w14:textId="77777777" w:rsidR="00B7534C" w:rsidRPr="00B7534C" w:rsidRDefault="00B7534C" w:rsidP="00C80F16">
            <w:pPr>
              <w:jc w:val="both"/>
            </w:pPr>
            <w:r w:rsidRPr="00B7534C">
              <w:t>Menu Tiger</w:t>
            </w:r>
          </w:p>
        </w:tc>
        <w:tc>
          <w:tcPr>
            <w:tcW w:w="0" w:type="auto"/>
            <w:vAlign w:val="center"/>
            <w:hideMark/>
          </w:tcPr>
          <w:p w14:paraId="60247D70" w14:textId="77777777" w:rsidR="00B7534C" w:rsidRPr="00B7534C" w:rsidRDefault="00B7534C" w:rsidP="00C80F16">
            <w:pPr>
              <w:jc w:val="both"/>
            </w:pPr>
            <w:r w:rsidRPr="00B7534C">
              <w:t>USA</w:t>
            </w:r>
          </w:p>
        </w:tc>
        <w:tc>
          <w:tcPr>
            <w:tcW w:w="0" w:type="auto"/>
            <w:vAlign w:val="center"/>
            <w:hideMark/>
          </w:tcPr>
          <w:p w14:paraId="72ED2526" w14:textId="77777777" w:rsidR="00B7534C" w:rsidRPr="00B7534C" w:rsidRDefault="00B7534C" w:rsidP="00C80F16">
            <w:pPr>
              <w:jc w:val="both"/>
            </w:pPr>
            <w:r w:rsidRPr="00B7534C">
              <w:t>Free-€119</w:t>
            </w:r>
          </w:p>
        </w:tc>
        <w:tc>
          <w:tcPr>
            <w:tcW w:w="0" w:type="auto"/>
            <w:vAlign w:val="center"/>
            <w:hideMark/>
          </w:tcPr>
          <w:p w14:paraId="0EB71F7D" w14:textId="77777777" w:rsidR="00B7534C" w:rsidRPr="00B7534C" w:rsidRDefault="00B7534C" w:rsidP="00702E45">
            <w:r w:rsidRPr="00B7534C">
              <w:t>QR menu, ordering, POS integration</w:t>
            </w:r>
          </w:p>
        </w:tc>
        <w:tc>
          <w:tcPr>
            <w:tcW w:w="0" w:type="auto"/>
            <w:vAlign w:val="center"/>
            <w:hideMark/>
          </w:tcPr>
          <w:p w14:paraId="223FBB7B" w14:textId="77777777" w:rsidR="00B7534C" w:rsidRPr="00B7534C" w:rsidRDefault="00B7534C" w:rsidP="00702E45">
            <w:r w:rsidRPr="00B7534C">
              <w:t>No staff-call, complex setup</w:t>
            </w:r>
          </w:p>
        </w:tc>
      </w:tr>
      <w:tr w:rsidR="00B7534C" w:rsidRPr="00B7534C" w14:paraId="574A2994" w14:textId="77777777" w:rsidTr="00B7534C">
        <w:trPr>
          <w:tblCellSpacing w:w="15" w:type="dxa"/>
        </w:trPr>
        <w:tc>
          <w:tcPr>
            <w:tcW w:w="0" w:type="auto"/>
            <w:vAlign w:val="center"/>
            <w:hideMark/>
          </w:tcPr>
          <w:p w14:paraId="0ABDC11D" w14:textId="77777777" w:rsidR="00B7534C" w:rsidRPr="00B7534C" w:rsidRDefault="00B7534C" w:rsidP="00C80F16">
            <w:pPr>
              <w:jc w:val="both"/>
            </w:pPr>
            <w:r w:rsidRPr="00B7534C">
              <w:t>UpMenu</w:t>
            </w:r>
          </w:p>
        </w:tc>
        <w:tc>
          <w:tcPr>
            <w:tcW w:w="0" w:type="auto"/>
            <w:vAlign w:val="center"/>
            <w:hideMark/>
          </w:tcPr>
          <w:p w14:paraId="2CA626FE" w14:textId="77777777" w:rsidR="00B7534C" w:rsidRPr="00B7534C" w:rsidRDefault="00B7534C" w:rsidP="00C80F16">
            <w:pPr>
              <w:jc w:val="both"/>
            </w:pPr>
            <w:r w:rsidRPr="00B7534C">
              <w:t>Poland</w:t>
            </w:r>
          </w:p>
        </w:tc>
        <w:tc>
          <w:tcPr>
            <w:tcW w:w="0" w:type="auto"/>
            <w:vAlign w:val="center"/>
            <w:hideMark/>
          </w:tcPr>
          <w:p w14:paraId="7D32A43E" w14:textId="77777777" w:rsidR="00B7534C" w:rsidRPr="00B7534C" w:rsidRDefault="00B7534C" w:rsidP="00C80F16">
            <w:pPr>
              <w:jc w:val="both"/>
            </w:pPr>
            <w:r w:rsidRPr="00B7534C">
              <w:t>€49-€169</w:t>
            </w:r>
          </w:p>
        </w:tc>
        <w:tc>
          <w:tcPr>
            <w:tcW w:w="0" w:type="auto"/>
            <w:vAlign w:val="center"/>
            <w:hideMark/>
          </w:tcPr>
          <w:p w14:paraId="1AD3E882" w14:textId="77777777" w:rsidR="00B7534C" w:rsidRPr="00B7534C" w:rsidRDefault="00B7534C" w:rsidP="00702E45">
            <w:r w:rsidRPr="00B7534C">
              <w:t>QR + delivery, marketing CRM</w:t>
            </w:r>
          </w:p>
        </w:tc>
        <w:tc>
          <w:tcPr>
            <w:tcW w:w="0" w:type="auto"/>
            <w:vAlign w:val="center"/>
            <w:hideMark/>
          </w:tcPr>
          <w:p w14:paraId="4E8B7667" w14:textId="77777777" w:rsidR="00B7534C" w:rsidRPr="00B7534C" w:rsidRDefault="00B7534C" w:rsidP="00702E45">
            <w:r w:rsidRPr="00B7534C">
              <w:t>High pricing, not optimized for dine-in</w:t>
            </w:r>
          </w:p>
        </w:tc>
      </w:tr>
      <w:tr w:rsidR="00B7534C" w:rsidRPr="00B7534C" w14:paraId="56C3C27A" w14:textId="77777777" w:rsidTr="00B7534C">
        <w:trPr>
          <w:tblCellSpacing w:w="15" w:type="dxa"/>
        </w:trPr>
        <w:tc>
          <w:tcPr>
            <w:tcW w:w="0" w:type="auto"/>
            <w:vAlign w:val="center"/>
            <w:hideMark/>
          </w:tcPr>
          <w:p w14:paraId="5329FCA3" w14:textId="77777777" w:rsidR="00B7534C" w:rsidRPr="00B7534C" w:rsidRDefault="00B7534C" w:rsidP="00C80F16">
            <w:pPr>
              <w:jc w:val="both"/>
            </w:pPr>
            <w:r w:rsidRPr="00B7534C">
              <w:t>FineDine</w:t>
            </w:r>
          </w:p>
        </w:tc>
        <w:tc>
          <w:tcPr>
            <w:tcW w:w="0" w:type="auto"/>
            <w:vAlign w:val="center"/>
            <w:hideMark/>
          </w:tcPr>
          <w:p w14:paraId="0CCDEC4F" w14:textId="77777777" w:rsidR="00B7534C" w:rsidRPr="00B7534C" w:rsidRDefault="00B7534C" w:rsidP="00C80F16">
            <w:pPr>
              <w:jc w:val="both"/>
            </w:pPr>
            <w:r w:rsidRPr="00B7534C">
              <w:t>Turkey</w:t>
            </w:r>
          </w:p>
        </w:tc>
        <w:tc>
          <w:tcPr>
            <w:tcW w:w="0" w:type="auto"/>
            <w:vAlign w:val="center"/>
            <w:hideMark/>
          </w:tcPr>
          <w:p w14:paraId="52EF462D" w14:textId="77777777" w:rsidR="00B7534C" w:rsidRPr="00B7534C" w:rsidRDefault="00B7534C" w:rsidP="00C80F16">
            <w:pPr>
              <w:jc w:val="both"/>
            </w:pPr>
            <w:r w:rsidRPr="00B7534C">
              <w:t>€30-€100+</w:t>
            </w:r>
          </w:p>
        </w:tc>
        <w:tc>
          <w:tcPr>
            <w:tcW w:w="0" w:type="auto"/>
            <w:vAlign w:val="center"/>
            <w:hideMark/>
          </w:tcPr>
          <w:p w14:paraId="4063FE05" w14:textId="77777777" w:rsidR="00B7534C" w:rsidRPr="00B7534C" w:rsidRDefault="00B7534C" w:rsidP="00702E45">
            <w:r w:rsidRPr="00B7534C">
              <w:t>Visual menus, tablets, analytics</w:t>
            </w:r>
          </w:p>
        </w:tc>
        <w:tc>
          <w:tcPr>
            <w:tcW w:w="0" w:type="auto"/>
            <w:vAlign w:val="center"/>
            <w:hideMark/>
          </w:tcPr>
          <w:p w14:paraId="5714DF34" w14:textId="77777777" w:rsidR="00B7534C" w:rsidRPr="00B7534C" w:rsidRDefault="00B7534C" w:rsidP="00702E45">
            <w:r w:rsidRPr="00B7534C">
              <w:t>No call waiter; limited branding control</w:t>
            </w:r>
          </w:p>
        </w:tc>
      </w:tr>
      <w:tr w:rsidR="00B7534C" w:rsidRPr="00B7534C" w14:paraId="57969A69" w14:textId="77777777" w:rsidTr="00B7534C">
        <w:trPr>
          <w:tblCellSpacing w:w="15" w:type="dxa"/>
        </w:trPr>
        <w:tc>
          <w:tcPr>
            <w:tcW w:w="0" w:type="auto"/>
            <w:vAlign w:val="center"/>
            <w:hideMark/>
          </w:tcPr>
          <w:p w14:paraId="2F08B470" w14:textId="77777777" w:rsidR="00B7534C" w:rsidRPr="00B7534C" w:rsidRDefault="00B7534C" w:rsidP="00C80F16">
            <w:pPr>
              <w:jc w:val="both"/>
            </w:pPr>
            <w:r w:rsidRPr="00B7534C">
              <w:t>Mr Yum</w:t>
            </w:r>
          </w:p>
        </w:tc>
        <w:tc>
          <w:tcPr>
            <w:tcW w:w="0" w:type="auto"/>
            <w:vAlign w:val="center"/>
            <w:hideMark/>
          </w:tcPr>
          <w:p w14:paraId="7BFEF8A9" w14:textId="77777777" w:rsidR="00B7534C" w:rsidRPr="00B7534C" w:rsidRDefault="00B7534C" w:rsidP="00C80F16">
            <w:pPr>
              <w:jc w:val="both"/>
            </w:pPr>
            <w:r w:rsidRPr="00B7534C">
              <w:t>AUS</w:t>
            </w:r>
          </w:p>
        </w:tc>
        <w:tc>
          <w:tcPr>
            <w:tcW w:w="0" w:type="auto"/>
            <w:vAlign w:val="center"/>
            <w:hideMark/>
          </w:tcPr>
          <w:p w14:paraId="7F9672A3" w14:textId="77777777" w:rsidR="00B7534C" w:rsidRPr="00B7534C" w:rsidRDefault="00B7534C" w:rsidP="00C80F16">
            <w:pPr>
              <w:jc w:val="both"/>
            </w:pPr>
            <w:r w:rsidRPr="00B7534C">
              <w:t>~6%/order</w:t>
            </w:r>
          </w:p>
        </w:tc>
        <w:tc>
          <w:tcPr>
            <w:tcW w:w="0" w:type="auto"/>
            <w:vAlign w:val="center"/>
            <w:hideMark/>
          </w:tcPr>
          <w:p w14:paraId="49B8D22C" w14:textId="77777777" w:rsidR="00B7534C" w:rsidRPr="00B7534C" w:rsidRDefault="00B7534C" w:rsidP="00702E45">
            <w:r w:rsidRPr="00B7534C">
              <w:t>Ordering, CRM, rich UI</w:t>
            </w:r>
          </w:p>
        </w:tc>
        <w:tc>
          <w:tcPr>
            <w:tcW w:w="0" w:type="auto"/>
            <w:vAlign w:val="center"/>
            <w:hideMark/>
          </w:tcPr>
          <w:p w14:paraId="5263BEAB" w14:textId="77777777" w:rsidR="00B7534C" w:rsidRPr="00B7534C" w:rsidRDefault="00B7534C" w:rsidP="00702E45">
            <w:r w:rsidRPr="00B7534C">
              <w:t>Commission model, not EU-focused</w:t>
            </w:r>
          </w:p>
        </w:tc>
      </w:tr>
      <w:tr w:rsidR="00B7534C" w:rsidRPr="00B7534C" w14:paraId="3BE85DCB" w14:textId="77777777" w:rsidTr="00B7534C">
        <w:trPr>
          <w:tblCellSpacing w:w="15" w:type="dxa"/>
        </w:trPr>
        <w:tc>
          <w:tcPr>
            <w:tcW w:w="0" w:type="auto"/>
            <w:vAlign w:val="center"/>
            <w:hideMark/>
          </w:tcPr>
          <w:p w14:paraId="47AE8463" w14:textId="77777777" w:rsidR="00B7534C" w:rsidRPr="00B7534C" w:rsidRDefault="00B7534C" w:rsidP="00C80F16">
            <w:pPr>
              <w:jc w:val="both"/>
            </w:pPr>
            <w:r w:rsidRPr="00B7534C">
              <w:rPr>
                <w:b/>
                <w:bCs/>
              </w:rPr>
              <w:t>Our System</w:t>
            </w:r>
          </w:p>
        </w:tc>
        <w:tc>
          <w:tcPr>
            <w:tcW w:w="0" w:type="auto"/>
            <w:vAlign w:val="center"/>
            <w:hideMark/>
          </w:tcPr>
          <w:p w14:paraId="0D19A66E" w14:textId="77777777" w:rsidR="00B7534C" w:rsidRPr="00B7534C" w:rsidRDefault="00B7534C" w:rsidP="00C80F16">
            <w:pPr>
              <w:jc w:val="both"/>
            </w:pPr>
            <w:r w:rsidRPr="00B7534C">
              <w:t>Croatia</w:t>
            </w:r>
          </w:p>
        </w:tc>
        <w:tc>
          <w:tcPr>
            <w:tcW w:w="0" w:type="auto"/>
            <w:vAlign w:val="center"/>
            <w:hideMark/>
          </w:tcPr>
          <w:p w14:paraId="2C1282FC" w14:textId="77777777" w:rsidR="00B7534C" w:rsidRPr="00B7534C" w:rsidRDefault="00B7534C" w:rsidP="00C80F16">
            <w:pPr>
              <w:jc w:val="both"/>
            </w:pPr>
            <w:r w:rsidRPr="00B7534C">
              <w:t>€19-€49</w:t>
            </w:r>
          </w:p>
        </w:tc>
        <w:tc>
          <w:tcPr>
            <w:tcW w:w="0" w:type="auto"/>
            <w:vAlign w:val="center"/>
            <w:hideMark/>
          </w:tcPr>
          <w:p w14:paraId="5D37B9CA" w14:textId="77777777" w:rsidR="00B7534C" w:rsidRPr="00B7534C" w:rsidRDefault="00B7534C" w:rsidP="00702E45">
            <w:r w:rsidRPr="00B7534C">
              <w:t>QR menu, staff call, order, analytics</w:t>
            </w:r>
          </w:p>
        </w:tc>
        <w:tc>
          <w:tcPr>
            <w:tcW w:w="0" w:type="auto"/>
            <w:vAlign w:val="center"/>
            <w:hideMark/>
          </w:tcPr>
          <w:p w14:paraId="3DDF55B9" w14:textId="77777777" w:rsidR="00B7534C" w:rsidRPr="00B7534C" w:rsidRDefault="00B7534C" w:rsidP="00702E45">
            <w:r w:rsidRPr="00B7534C">
              <w:t>Simple, local focus, no commissions</w:t>
            </w:r>
          </w:p>
        </w:tc>
      </w:tr>
    </w:tbl>
    <w:p w14:paraId="5C630871" w14:textId="7C39358D" w:rsidR="00B7534C" w:rsidRPr="00B7534C" w:rsidRDefault="00B7534C" w:rsidP="00C80F16">
      <w:pPr>
        <w:jc w:val="both"/>
      </w:pPr>
    </w:p>
    <w:p w14:paraId="0C0CF523" w14:textId="6824F390" w:rsidR="00A62954" w:rsidRPr="00A62954" w:rsidRDefault="00B7534C" w:rsidP="00A62954">
      <w:pPr>
        <w:pStyle w:val="ListParagraph"/>
        <w:numPr>
          <w:ilvl w:val="0"/>
          <w:numId w:val="12"/>
        </w:numPr>
        <w:jc w:val="both"/>
        <w:rPr>
          <w:rFonts w:asciiTheme="majorHAnsi" w:eastAsiaTheme="majorEastAsia" w:hAnsiTheme="majorHAnsi" w:cstheme="majorBidi"/>
          <w:sz w:val="40"/>
          <w:szCs w:val="40"/>
        </w:rPr>
      </w:pPr>
      <w:r w:rsidRPr="00A62954">
        <w:rPr>
          <w:rFonts w:asciiTheme="majorHAnsi" w:eastAsiaTheme="majorEastAsia" w:hAnsiTheme="majorHAnsi" w:cstheme="majorBidi"/>
          <w:sz w:val="40"/>
          <w:szCs w:val="40"/>
        </w:rPr>
        <w:lastRenderedPageBreak/>
        <w:t>Market Research</w:t>
      </w:r>
    </w:p>
    <w:p w14:paraId="5E47ACC4" w14:textId="33422833" w:rsidR="00B7534C" w:rsidRPr="00B7534C" w:rsidRDefault="00B7534C" w:rsidP="00A62954">
      <w:pPr>
        <w:jc w:val="both"/>
      </w:pPr>
      <w:r w:rsidRPr="00A62954">
        <w:br/>
      </w:r>
      <w:r w:rsidRPr="00B7534C">
        <w:t>We plan to conduct:</w:t>
      </w:r>
    </w:p>
    <w:p w14:paraId="7EBBD39C" w14:textId="77777777" w:rsidR="00B7534C" w:rsidRPr="00B7534C" w:rsidRDefault="00B7534C" w:rsidP="00C80F16">
      <w:pPr>
        <w:numPr>
          <w:ilvl w:val="0"/>
          <w:numId w:val="6"/>
        </w:numPr>
        <w:jc w:val="both"/>
      </w:pPr>
      <w:r w:rsidRPr="00B7534C">
        <w:rPr>
          <w:b/>
          <w:bCs/>
        </w:rPr>
        <w:t>Surveys with 50+ local restaurant owners</w:t>
      </w:r>
      <w:r w:rsidRPr="00B7534C">
        <w:t xml:space="preserve"> (via HGK, LinkedIn, and direct outreach)</w:t>
      </w:r>
    </w:p>
    <w:p w14:paraId="06B203E8" w14:textId="77777777" w:rsidR="00B7534C" w:rsidRPr="00B7534C" w:rsidRDefault="00B7534C" w:rsidP="00C80F16">
      <w:pPr>
        <w:numPr>
          <w:ilvl w:val="1"/>
          <w:numId w:val="6"/>
        </w:numPr>
        <w:jc w:val="both"/>
      </w:pPr>
      <w:r w:rsidRPr="00B7534C">
        <w:t>Topics: staffing problems, digital adoption, feature needs, pricing expectations</w:t>
      </w:r>
    </w:p>
    <w:p w14:paraId="764C950C" w14:textId="77777777" w:rsidR="00B7534C" w:rsidRPr="00B7534C" w:rsidRDefault="00B7534C" w:rsidP="00C80F16">
      <w:pPr>
        <w:numPr>
          <w:ilvl w:val="0"/>
          <w:numId w:val="6"/>
        </w:numPr>
        <w:jc w:val="both"/>
      </w:pPr>
      <w:r w:rsidRPr="00B7534C">
        <w:rPr>
          <w:b/>
          <w:bCs/>
        </w:rPr>
        <w:t>Interviews with 10 hospitality managers</w:t>
      </w:r>
      <w:r w:rsidRPr="00B7534C">
        <w:t xml:space="preserve"> in Zagreb and coastal towns</w:t>
      </w:r>
    </w:p>
    <w:p w14:paraId="72FEEF48" w14:textId="77777777" w:rsidR="00B7534C" w:rsidRPr="00B7534C" w:rsidRDefault="00B7534C" w:rsidP="00C80F16">
      <w:pPr>
        <w:numPr>
          <w:ilvl w:val="0"/>
          <w:numId w:val="6"/>
        </w:numPr>
        <w:jc w:val="both"/>
      </w:pPr>
      <w:r w:rsidRPr="00B7534C">
        <w:rPr>
          <w:b/>
          <w:bCs/>
        </w:rPr>
        <w:t>Observation and usability testing</w:t>
      </w:r>
      <w:r w:rsidRPr="00B7534C">
        <w:t xml:space="preserve"> of app prototype in real venues</w:t>
      </w:r>
    </w:p>
    <w:p w14:paraId="392E9C29" w14:textId="77777777" w:rsidR="00B7534C" w:rsidRPr="00B7534C" w:rsidRDefault="00B7534C" w:rsidP="00C80F16">
      <w:pPr>
        <w:jc w:val="both"/>
      </w:pPr>
      <w:r w:rsidRPr="00B7534C">
        <w:t>We will also leverage secondary reports from Statista, HOTREC, and industry media (e.g. Poslovni dnevnik).</w:t>
      </w:r>
    </w:p>
    <w:p w14:paraId="4C29A63D" w14:textId="438BD062" w:rsidR="00B7534C" w:rsidRPr="00B7534C" w:rsidRDefault="00B7534C" w:rsidP="00C80F16">
      <w:pPr>
        <w:jc w:val="both"/>
      </w:pPr>
    </w:p>
    <w:p w14:paraId="1471C608" w14:textId="6BC6CF6F" w:rsidR="00A62954" w:rsidRPr="00A62954" w:rsidRDefault="00B7534C" w:rsidP="00A62954">
      <w:pPr>
        <w:pStyle w:val="ListParagraph"/>
        <w:numPr>
          <w:ilvl w:val="0"/>
          <w:numId w:val="12"/>
        </w:numPr>
        <w:jc w:val="both"/>
        <w:rPr>
          <w:rFonts w:asciiTheme="majorHAnsi" w:eastAsiaTheme="majorEastAsia" w:hAnsiTheme="majorHAnsi" w:cstheme="majorBidi"/>
          <w:sz w:val="40"/>
          <w:szCs w:val="40"/>
        </w:rPr>
      </w:pPr>
      <w:r w:rsidRPr="00A62954">
        <w:rPr>
          <w:rFonts w:asciiTheme="majorHAnsi" w:eastAsiaTheme="majorEastAsia" w:hAnsiTheme="majorHAnsi" w:cstheme="majorBidi"/>
          <w:sz w:val="40"/>
          <w:szCs w:val="40"/>
        </w:rPr>
        <w:t>Target Audience</w:t>
      </w:r>
    </w:p>
    <w:p w14:paraId="74DB47BA" w14:textId="5BB6F214" w:rsidR="00B7534C" w:rsidRPr="00B7534C" w:rsidRDefault="00B7534C" w:rsidP="00A62954">
      <w:pPr>
        <w:jc w:val="both"/>
      </w:pPr>
      <w:r w:rsidRPr="00A62954">
        <w:br/>
      </w:r>
      <w:r w:rsidRPr="00B7534C">
        <w:t>Our main customer profile:</w:t>
      </w:r>
    </w:p>
    <w:p w14:paraId="1B5B950C" w14:textId="77777777" w:rsidR="00B7534C" w:rsidRPr="00B7534C" w:rsidRDefault="00B7534C" w:rsidP="00C80F16">
      <w:pPr>
        <w:numPr>
          <w:ilvl w:val="0"/>
          <w:numId w:val="7"/>
        </w:numPr>
        <w:jc w:val="both"/>
      </w:pPr>
      <w:r w:rsidRPr="00B7534C">
        <w:t>Small-to-mid restaurants (10–50 tables)</w:t>
      </w:r>
    </w:p>
    <w:p w14:paraId="2371A52F" w14:textId="77777777" w:rsidR="00B7534C" w:rsidRPr="00B7534C" w:rsidRDefault="00B7534C" w:rsidP="00C80F16">
      <w:pPr>
        <w:numPr>
          <w:ilvl w:val="0"/>
          <w:numId w:val="7"/>
        </w:numPr>
        <w:jc w:val="both"/>
      </w:pPr>
      <w:r w:rsidRPr="00B7534C">
        <w:t>Casual dining and bar venues with limited staff</w:t>
      </w:r>
    </w:p>
    <w:p w14:paraId="59DABBE9" w14:textId="77777777" w:rsidR="00B7534C" w:rsidRPr="00B7534C" w:rsidRDefault="00B7534C" w:rsidP="00C80F16">
      <w:pPr>
        <w:numPr>
          <w:ilvl w:val="0"/>
          <w:numId w:val="7"/>
        </w:numPr>
        <w:jc w:val="both"/>
      </w:pPr>
      <w:r w:rsidRPr="00B7534C">
        <w:t>Coastal and urban Croatian venues serving tourists</w:t>
      </w:r>
    </w:p>
    <w:p w14:paraId="3767D08E" w14:textId="77777777" w:rsidR="00B7534C" w:rsidRPr="00B7534C" w:rsidRDefault="00B7534C" w:rsidP="00C80F16">
      <w:pPr>
        <w:numPr>
          <w:ilvl w:val="0"/>
          <w:numId w:val="7"/>
        </w:numPr>
        <w:jc w:val="both"/>
      </w:pPr>
      <w:r w:rsidRPr="00B7534C">
        <w:t>Early adopters of digital tools (existing POS, Wi-Fi)</w:t>
      </w:r>
    </w:p>
    <w:p w14:paraId="1FB15F3C" w14:textId="77777777" w:rsidR="00A62954" w:rsidRDefault="00A62954" w:rsidP="00C80F16">
      <w:pPr>
        <w:jc w:val="both"/>
        <w:rPr>
          <w:b/>
          <w:bCs/>
        </w:rPr>
      </w:pPr>
    </w:p>
    <w:p w14:paraId="1EA98BBF" w14:textId="77777777" w:rsidR="00A62954" w:rsidRPr="00A62954" w:rsidRDefault="00B7534C" w:rsidP="00A62954">
      <w:pPr>
        <w:pStyle w:val="Heading2"/>
        <w:rPr>
          <w:color w:val="auto"/>
        </w:rPr>
      </w:pPr>
      <w:r w:rsidRPr="00A62954">
        <w:rPr>
          <w:color w:val="auto"/>
        </w:rPr>
        <w:t>Persona Example:</w:t>
      </w:r>
    </w:p>
    <w:p w14:paraId="24B8BB8B" w14:textId="63571410" w:rsidR="00B7534C" w:rsidRPr="00B7534C" w:rsidRDefault="00B7534C" w:rsidP="00C80F16">
      <w:pPr>
        <w:jc w:val="both"/>
        <w:rPr>
          <w:b/>
          <w:bCs/>
        </w:rPr>
      </w:pPr>
      <w:r w:rsidRPr="00B7534C">
        <w:br/>
        <w:t>Marko owns a bar in Split with 15 tables. During tourist season, he struggles to manage foreign guests and short-term staff. He installs our QR codes. Tourists now access the English menu, order and call staff seamlessly. Marko sees 30% faster table turnover and fewer order errors. He upgrades to Premium to enable branding and multi-language menus.</w:t>
      </w:r>
    </w:p>
    <w:p w14:paraId="5DFF82CF" w14:textId="77777777" w:rsidR="00B7534C" w:rsidRPr="00B7534C" w:rsidRDefault="00B7534C" w:rsidP="00C80F16">
      <w:pPr>
        <w:jc w:val="both"/>
      </w:pPr>
      <w:r w:rsidRPr="00B7534C">
        <w:rPr>
          <w:b/>
          <w:bCs/>
        </w:rPr>
        <w:t>TAM Estimate (Croatia):</w:t>
      </w:r>
    </w:p>
    <w:p w14:paraId="2E4A2BB2" w14:textId="77777777" w:rsidR="00B7534C" w:rsidRPr="00B7534C" w:rsidRDefault="00B7534C" w:rsidP="00C80F16">
      <w:pPr>
        <w:numPr>
          <w:ilvl w:val="0"/>
          <w:numId w:val="8"/>
        </w:numPr>
        <w:jc w:val="both"/>
      </w:pPr>
      <w:r w:rsidRPr="00B7534C">
        <w:t>~15,000 food service venues x avg. €35/mo potential = €6.3M/year serviceable market locally</w:t>
      </w:r>
    </w:p>
    <w:p w14:paraId="6E7B261A" w14:textId="7D17F653" w:rsidR="00B7534C" w:rsidRPr="00B7534C" w:rsidRDefault="00B7534C" w:rsidP="00C80F16">
      <w:pPr>
        <w:jc w:val="both"/>
      </w:pPr>
    </w:p>
    <w:p w14:paraId="519C4869" w14:textId="77777777" w:rsidR="00A62954" w:rsidRDefault="00A62954">
      <w:pPr>
        <w:rPr>
          <w:rFonts w:asciiTheme="majorHAnsi" w:eastAsiaTheme="majorEastAsia" w:hAnsiTheme="majorHAnsi" w:cstheme="majorBidi"/>
          <w:sz w:val="40"/>
          <w:szCs w:val="40"/>
        </w:rPr>
      </w:pPr>
      <w:r>
        <w:rPr>
          <w:rFonts w:asciiTheme="majorHAnsi" w:eastAsiaTheme="majorEastAsia" w:hAnsiTheme="majorHAnsi" w:cstheme="majorBidi"/>
          <w:sz w:val="40"/>
          <w:szCs w:val="40"/>
        </w:rPr>
        <w:br w:type="page"/>
      </w:r>
    </w:p>
    <w:p w14:paraId="05719681" w14:textId="2E21613E" w:rsidR="00B7534C" w:rsidRDefault="00B7534C" w:rsidP="00A62954">
      <w:pPr>
        <w:pStyle w:val="ListParagraph"/>
        <w:numPr>
          <w:ilvl w:val="0"/>
          <w:numId w:val="12"/>
        </w:numPr>
        <w:jc w:val="both"/>
        <w:rPr>
          <w:rFonts w:asciiTheme="majorHAnsi" w:eastAsiaTheme="majorEastAsia" w:hAnsiTheme="majorHAnsi" w:cstheme="majorBidi"/>
          <w:sz w:val="40"/>
          <w:szCs w:val="40"/>
        </w:rPr>
      </w:pPr>
      <w:r w:rsidRPr="00B7534C">
        <w:rPr>
          <w:rFonts w:asciiTheme="majorHAnsi" w:eastAsiaTheme="majorEastAsia" w:hAnsiTheme="majorHAnsi" w:cstheme="majorBidi"/>
          <w:sz w:val="40"/>
          <w:szCs w:val="40"/>
        </w:rPr>
        <w:lastRenderedPageBreak/>
        <w:t>Financial Plan</w:t>
      </w:r>
    </w:p>
    <w:p w14:paraId="6149EA4D" w14:textId="77777777" w:rsidR="00A62954" w:rsidRPr="00B7534C" w:rsidRDefault="00A62954" w:rsidP="00A62954">
      <w:pPr>
        <w:jc w:val="both"/>
      </w:pPr>
    </w:p>
    <w:tbl>
      <w:tblPr>
        <w:tblW w:w="9231" w:type="dxa"/>
        <w:tblCellSpacing w:w="15" w:type="dxa"/>
        <w:tblCellMar>
          <w:top w:w="15" w:type="dxa"/>
          <w:left w:w="15" w:type="dxa"/>
          <w:bottom w:w="15" w:type="dxa"/>
          <w:right w:w="15" w:type="dxa"/>
        </w:tblCellMar>
        <w:tblLook w:val="04A0" w:firstRow="1" w:lastRow="0" w:firstColumn="1" w:lastColumn="0" w:noHBand="0" w:noVBand="1"/>
      </w:tblPr>
      <w:tblGrid>
        <w:gridCol w:w="696"/>
        <w:gridCol w:w="1071"/>
        <w:gridCol w:w="2464"/>
        <w:gridCol w:w="2186"/>
        <w:gridCol w:w="1408"/>
        <w:gridCol w:w="1406"/>
      </w:tblGrid>
      <w:tr w:rsidR="00B7534C" w:rsidRPr="00B7534C" w14:paraId="1CDA63C4" w14:textId="77777777" w:rsidTr="00A62954">
        <w:trPr>
          <w:trHeight w:val="465"/>
          <w:tblCellSpacing w:w="15" w:type="dxa"/>
        </w:trPr>
        <w:tc>
          <w:tcPr>
            <w:tcW w:w="0" w:type="auto"/>
            <w:vAlign w:val="center"/>
            <w:hideMark/>
          </w:tcPr>
          <w:p w14:paraId="71A78B6E" w14:textId="77777777" w:rsidR="00B7534C" w:rsidRPr="00B7534C" w:rsidRDefault="00B7534C" w:rsidP="00C80F16">
            <w:pPr>
              <w:jc w:val="both"/>
              <w:rPr>
                <w:b/>
                <w:bCs/>
              </w:rPr>
            </w:pPr>
            <w:r w:rsidRPr="00B7534C">
              <w:rPr>
                <w:b/>
                <w:bCs/>
              </w:rPr>
              <w:t>Year</w:t>
            </w:r>
          </w:p>
        </w:tc>
        <w:tc>
          <w:tcPr>
            <w:tcW w:w="0" w:type="auto"/>
            <w:vAlign w:val="center"/>
            <w:hideMark/>
          </w:tcPr>
          <w:p w14:paraId="439D007C" w14:textId="77777777" w:rsidR="00B7534C" w:rsidRPr="00B7534C" w:rsidRDefault="00B7534C" w:rsidP="00C80F16">
            <w:pPr>
              <w:jc w:val="both"/>
              <w:rPr>
                <w:b/>
                <w:bCs/>
              </w:rPr>
            </w:pPr>
            <w:r w:rsidRPr="00B7534C">
              <w:rPr>
                <w:b/>
                <w:bCs/>
              </w:rPr>
              <w:t>Clients</w:t>
            </w:r>
          </w:p>
        </w:tc>
        <w:tc>
          <w:tcPr>
            <w:tcW w:w="0" w:type="auto"/>
            <w:vAlign w:val="center"/>
            <w:hideMark/>
          </w:tcPr>
          <w:p w14:paraId="792862E5" w14:textId="77777777" w:rsidR="00B7534C" w:rsidRPr="00B7534C" w:rsidRDefault="00B7534C" w:rsidP="00C80F16">
            <w:pPr>
              <w:jc w:val="both"/>
              <w:rPr>
                <w:b/>
                <w:bCs/>
              </w:rPr>
            </w:pPr>
            <w:r w:rsidRPr="00B7534C">
              <w:rPr>
                <w:b/>
                <w:bCs/>
              </w:rPr>
              <w:t>Monthly Revenue</w:t>
            </w:r>
          </w:p>
        </w:tc>
        <w:tc>
          <w:tcPr>
            <w:tcW w:w="0" w:type="auto"/>
            <w:vAlign w:val="center"/>
            <w:hideMark/>
          </w:tcPr>
          <w:p w14:paraId="1D66E0D5" w14:textId="77777777" w:rsidR="00B7534C" w:rsidRPr="00B7534C" w:rsidRDefault="00B7534C" w:rsidP="00C80F16">
            <w:pPr>
              <w:jc w:val="both"/>
              <w:rPr>
                <w:b/>
                <w:bCs/>
              </w:rPr>
            </w:pPr>
            <w:r w:rsidRPr="00B7534C">
              <w:rPr>
                <w:b/>
                <w:bCs/>
              </w:rPr>
              <w:t>Yearly Revenue</w:t>
            </w:r>
          </w:p>
        </w:tc>
        <w:tc>
          <w:tcPr>
            <w:tcW w:w="0" w:type="auto"/>
            <w:vAlign w:val="center"/>
            <w:hideMark/>
          </w:tcPr>
          <w:p w14:paraId="0ECC05C0" w14:textId="77777777" w:rsidR="00B7534C" w:rsidRPr="00B7534C" w:rsidRDefault="00B7534C" w:rsidP="00C80F16">
            <w:pPr>
              <w:jc w:val="both"/>
              <w:rPr>
                <w:b/>
                <w:bCs/>
              </w:rPr>
            </w:pPr>
            <w:r w:rsidRPr="00B7534C">
              <w:rPr>
                <w:b/>
                <w:bCs/>
              </w:rPr>
              <w:t>Expenses</w:t>
            </w:r>
          </w:p>
        </w:tc>
        <w:tc>
          <w:tcPr>
            <w:tcW w:w="0" w:type="auto"/>
            <w:vAlign w:val="center"/>
            <w:hideMark/>
          </w:tcPr>
          <w:p w14:paraId="44055D55" w14:textId="77777777" w:rsidR="00B7534C" w:rsidRPr="00B7534C" w:rsidRDefault="00B7534C" w:rsidP="00C80F16">
            <w:pPr>
              <w:jc w:val="both"/>
              <w:rPr>
                <w:b/>
                <w:bCs/>
              </w:rPr>
            </w:pPr>
            <w:r w:rsidRPr="00B7534C">
              <w:rPr>
                <w:b/>
                <w:bCs/>
              </w:rPr>
              <w:t>Net Profit</w:t>
            </w:r>
          </w:p>
        </w:tc>
      </w:tr>
      <w:tr w:rsidR="00B7534C" w:rsidRPr="00B7534C" w14:paraId="409A8893" w14:textId="77777777" w:rsidTr="00A62954">
        <w:trPr>
          <w:trHeight w:val="454"/>
          <w:tblCellSpacing w:w="15" w:type="dxa"/>
        </w:trPr>
        <w:tc>
          <w:tcPr>
            <w:tcW w:w="0" w:type="auto"/>
            <w:vAlign w:val="center"/>
            <w:hideMark/>
          </w:tcPr>
          <w:p w14:paraId="01322089" w14:textId="77777777" w:rsidR="00B7534C" w:rsidRPr="00B7534C" w:rsidRDefault="00B7534C" w:rsidP="00C80F16">
            <w:pPr>
              <w:jc w:val="both"/>
            </w:pPr>
            <w:r w:rsidRPr="00B7534C">
              <w:t>1</w:t>
            </w:r>
          </w:p>
        </w:tc>
        <w:tc>
          <w:tcPr>
            <w:tcW w:w="0" w:type="auto"/>
            <w:vAlign w:val="center"/>
            <w:hideMark/>
          </w:tcPr>
          <w:p w14:paraId="7B16E26F" w14:textId="77777777" w:rsidR="00B7534C" w:rsidRPr="00B7534C" w:rsidRDefault="00B7534C" w:rsidP="00C80F16">
            <w:pPr>
              <w:jc w:val="both"/>
            </w:pPr>
            <w:r w:rsidRPr="00B7534C">
              <w:t>50</w:t>
            </w:r>
          </w:p>
        </w:tc>
        <w:tc>
          <w:tcPr>
            <w:tcW w:w="0" w:type="auto"/>
            <w:vAlign w:val="center"/>
            <w:hideMark/>
          </w:tcPr>
          <w:p w14:paraId="37F9C525" w14:textId="77777777" w:rsidR="00B7534C" w:rsidRPr="00B7534C" w:rsidRDefault="00B7534C" w:rsidP="00C80F16">
            <w:pPr>
              <w:jc w:val="both"/>
            </w:pPr>
            <w:r w:rsidRPr="00B7534C">
              <w:t>€1,250</w:t>
            </w:r>
          </w:p>
        </w:tc>
        <w:tc>
          <w:tcPr>
            <w:tcW w:w="0" w:type="auto"/>
            <w:vAlign w:val="center"/>
            <w:hideMark/>
          </w:tcPr>
          <w:p w14:paraId="040CF563" w14:textId="77777777" w:rsidR="00B7534C" w:rsidRPr="00B7534C" w:rsidRDefault="00B7534C" w:rsidP="00C80F16">
            <w:pPr>
              <w:jc w:val="both"/>
            </w:pPr>
            <w:r w:rsidRPr="00B7534C">
              <w:t>€15,000</w:t>
            </w:r>
          </w:p>
        </w:tc>
        <w:tc>
          <w:tcPr>
            <w:tcW w:w="0" w:type="auto"/>
            <w:vAlign w:val="center"/>
            <w:hideMark/>
          </w:tcPr>
          <w:p w14:paraId="002E7B62" w14:textId="77777777" w:rsidR="00B7534C" w:rsidRPr="00B7534C" w:rsidRDefault="00B7534C" w:rsidP="00C80F16">
            <w:pPr>
              <w:jc w:val="both"/>
            </w:pPr>
            <w:r w:rsidRPr="00B7534C">
              <w:t>€9,000</w:t>
            </w:r>
          </w:p>
        </w:tc>
        <w:tc>
          <w:tcPr>
            <w:tcW w:w="0" w:type="auto"/>
            <w:vAlign w:val="center"/>
            <w:hideMark/>
          </w:tcPr>
          <w:p w14:paraId="12401CB8" w14:textId="77777777" w:rsidR="00B7534C" w:rsidRPr="00B7534C" w:rsidRDefault="00B7534C" w:rsidP="00C80F16">
            <w:pPr>
              <w:jc w:val="both"/>
            </w:pPr>
            <w:r w:rsidRPr="00B7534C">
              <w:t>€6,000</w:t>
            </w:r>
          </w:p>
        </w:tc>
      </w:tr>
      <w:tr w:rsidR="00B7534C" w:rsidRPr="00B7534C" w14:paraId="398F991E" w14:textId="77777777" w:rsidTr="00A62954">
        <w:trPr>
          <w:trHeight w:val="465"/>
          <w:tblCellSpacing w:w="15" w:type="dxa"/>
        </w:trPr>
        <w:tc>
          <w:tcPr>
            <w:tcW w:w="0" w:type="auto"/>
            <w:vAlign w:val="center"/>
            <w:hideMark/>
          </w:tcPr>
          <w:p w14:paraId="03764D6C" w14:textId="77777777" w:rsidR="00B7534C" w:rsidRPr="00B7534C" w:rsidRDefault="00B7534C" w:rsidP="00C80F16">
            <w:pPr>
              <w:jc w:val="both"/>
            </w:pPr>
            <w:r w:rsidRPr="00B7534C">
              <w:t>2</w:t>
            </w:r>
          </w:p>
        </w:tc>
        <w:tc>
          <w:tcPr>
            <w:tcW w:w="0" w:type="auto"/>
            <w:vAlign w:val="center"/>
            <w:hideMark/>
          </w:tcPr>
          <w:p w14:paraId="6C84E200" w14:textId="77777777" w:rsidR="00B7534C" w:rsidRPr="00B7534C" w:rsidRDefault="00B7534C" w:rsidP="00C80F16">
            <w:pPr>
              <w:jc w:val="both"/>
            </w:pPr>
            <w:r w:rsidRPr="00B7534C">
              <w:t>150</w:t>
            </w:r>
          </w:p>
        </w:tc>
        <w:tc>
          <w:tcPr>
            <w:tcW w:w="0" w:type="auto"/>
            <w:vAlign w:val="center"/>
            <w:hideMark/>
          </w:tcPr>
          <w:p w14:paraId="40DF1BED" w14:textId="77777777" w:rsidR="00B7534C" w:rsidRPr="00B7534C" w:rsidRDefault="00B7534C" w:rsidP="00C80F16">
            <w:pPr>
              <w:jc w:val="both"/>
            </w:pPr>
            <w:r w:rsidRPr="00B7534C">
              <w:t>€4,500</w:t>
            </w:r>
          </w:p>
        </w:tc>
        <w:tc>
          <w:tcPr>
            <w:tcW w:w="0" w:type="auto"/>
            <w:vAlign w:val="center"/>
            <w:hideMark/>
          </w:tcPr>
          <w:p w14:paraId="4A3F2BBD" w14:textId="77777777" w:rsidR="00B7534C" w:rsidRPr="00B7534C" w:rsidRDefault="00B7534C" w:rsidP="00C80F16">
            <w:pPr>
              <w:jc w:val="both"/>
            </w:pPr>
            <w:r w:rsidRPr="00B7534C">
              <w:t>€54,000</w:t>
            </w:r>
          </w:p>
        </w:tc>
        <w:tc>
          <w:tcPr>
            <w:tcW w:w="0" w:type="auto"/>
            <w:vAlign w:val="center"/>
            <w:hideMark/>
          </w:tcPr>
          <w:p w14:paraId="747DC6ED" w14:textId="77777777" w:rsidR="00B7534C" w:rsidRPr="00B7534C" w:rsidRDefault="00B7534C" w:rsidP="00C80F16">
            <w:pPr>
              <w:jc w:val="both"/>
            </w:pPr>
            <w:r w:rsidRPr="00B7534C">
              <w:t>€18,000</w:t>
            </w:r>
          </w:p>
        </w:tc>
        <w:tc>
          <w:tcPr>
            <w:tcW w:w="0" w:type="auto"/>
            <w:vAlign w:val="center"/>
            <w:hideMark/>
          </w:tcPr>
          <w:p w14:paraId="18456710" w14:textId="77777777" w:rsidR="00B7534C" w:rsidRPr="00B7534C" w:rsidRDefault="00B7534C" w:rsidP="00C80F16">
            <w:pPr>
              <w:jc w:val="both"/>
            </w:pPr>
            <w:r w:rsidRPr="00B7534C">
              <w:t>€36,000</w:t>
            </w:r>
          </w:p>
        </w:tc>
      </w:tr>
      <w:tr w:rsidR="00B7534C" w:rsidRPr="00B7534C" w14:paraId="5E8EA619" w14:textId="77777777" w:rsidTr="00A62954">
        <w:trPr>
          <w:trHeight w:val="454"/>
          <w:tblCellSpacing w:w="15" w:type="dxa"/>
        </w:trPr>
        <w:tc>
          <w:tcPr>
            <w:tcW w:w="0" w:type="auto"/>
            <w:vAlign w:val="center"/>
            <w:hideMark/>
          </w:tcPr>
          <w:p w14:paraId="54F1F89A" w14:textId="77777777" w:rsidR="00B7534C" w:rsidRPr="00B7534C" w:rsidRDefault="00B7534C" w:rsidP="00C80F16">
            <w:pPr>
              <w:jc w:val="both"/>
            </w:pPr>
            <w:r w:rsidRPr="00B7534C">
              <w:t>3</w:t>
            </w:r>
          </w:p>
        </w:tc>
        <w:tc>
          <w:tcPr>
            <w:tcW w:w="0" w:type="auto"/>
            <w:vAlign w:val="center"/>
            <w:hideMark/>
          </w:tcPr>
          <w:p w14:paraId="61DB0A94" w14:textId="77777777" w:rsidR="00B7534C" w:rsidRPr="00B7534C" w:rsidRDefault="00B7534C" w:rsidP="00C80F16">
            <w:pPr>
              <w:jc w:val="both"/>
            </w:pPr>
            <w:r w:rsidRPr="00B7534C">
              <w:t>300</w:t>
            </w:r>
          </w:p>
        </w:tc>
        <w:tc>
          <w:tcPr>
            <w:tcW w:w="0" w:type="auto"/>
            <w:vAlign w:val="center"/>
            <w:hideMark/>
          </w:tcPr>
          <w:p w14:paraId="2B31B96B" w14:textId="77777777" w:rsidR="00B7534C" w:rsidRPr="00B7534C" w:rsidRDefault="00B7534C" w:rsidP="00C80F16">
            <w:pPr>
              <w:jc w:val="both"/>
            </w:pPr>
            <w:r w:rsidRPr="00B7534C">
              <w:t>€10,000</w:t>
            </w:r>
          </w:p>
        </w:tc>
        <w:tc>
          <w:tcPr>
            <w:tcW w:w="0" w:type="auto"/>
            <w:vAlign w:val="center"/>
            <w:hideMark/>
          </w:tcPr>
          <w:p w14:paraId="2DA2F5B2" w14:textId="77777777" w:rsidR="00B7534C" w:rsidRPr="00B7534C" w:rsidRDefault="00B7534C" w:rsidP="00C80F16">
            <w:pPr>
              <w:jc w:val="both"/>
            </w:pPr>
            <w:r w:rsidRPr="00B7534C">
              <w:t>€120,000</w:t>
            </w:r>
          </w:p>
        </w:tc>
        <w:tc>
          <w:tcPr>
            <w:tcW w:w="0" w:type="auto"/>
            <w:vAlign w:val="center"/>
            <w:hideMark/>
          </w:tcPr>
          <w:p w14:paraId="5FB86D80" w14:textId="77777777" w:rsidR="00B7534C" w:rsidRPr="00B7534C" w:rsidRDefault="00B7534C" w:rsidP="00C80F16">
            <w:pPr>
              <w:jc w:val="both"/>
            </w:pPr>
            <w:r w:rsidRPr="00B7534C">
              <w:t>€30,000</w:t>
            </w:r>
          </w:p>
        </w:tc>
        <w:tc>
          <w:tcPr>
            <w:tcW w:w="0" w:type="auto"/>
            <w:vAlign w:val="center"/>
            <w:hideMark/>
          </w:tcPr>
          <w:p w14:paraId="414DBE69" w14:textId="77777777" w:rsidR="00B7534C" w:rsidRPr="00B7534C" w:rsidRDefault="00B7534C" w:rsidP="00C80F16">
            <w:pPr>
              <w:jc w:val="both"/>
            </w:pPr>
            <w:r w:rsidRPr="00B7534C">
              <w:t>€90,000</w:t>
            </w:r>
          </w:p>
        </w:tc>
      </w:tr>
      <w:tr w:rsidR="00B7534C" w:rsidRPr="00B7534C" w14:paraId="0D09EDB3" w14:textId="77777777" w:rsidTr="00A62954">
        <w:trPr>
          <w:trHeight w:val="465"/>
          <w:tblCellSpacing w:w="15" w:type="dxa"/>
        </w:trPr>
        <w:tc>
          <w:tcPr>
            <w:tcW w:w="0" w:type="auto"/>
            <w:vAlign w:val="center"/>
            <w:hideMark/>
          </w:tcPr>
          <w:p w14:paraId="2186F2C3" w14:textId="77777777" w:rsidR="00B7534C" w:rsidRPr="00B7534C" w:rsidRDefault="00B7534C" w:rsidP="00C80F16">
            <w:pPr>
              <w:jc w:val="both"/>
            </w:pPr>
            <w:r w:rsidRPr="00B7534C">
              <w:t>4</w:t>
            </w:r>
          </w:p>
        </w:tc>
        <w:tc>
          <w:tcPr>
            <w:tcW w:w="0" w:type="auto"/>
            <w:vAlign w:val="center"/>
            <w:hideMark/>
          </w:tcPr>
          <w:p w14:paraId="511BE8F9" w14:textId="77777777" w:rsidR="00B7534C" w:rsidRPr="00B7534C" w:rsidRDefault="00B7534C" w:rsidP="00C80F16">
            <w:pPr>
              <w:jc w:val="both"/>
            </w:pPr>
            <w:r w:rsidRPr="00B7534C">
              <w:t>600</w:t>
            </w:r>
          </w:p>
        </w:tc>
        <w:tc>
          <w:tcPr>
            <w:tcW w:w="0" w:type="auto"/>
            <w:vAlign w:val="center"/>
            <w:hideMark/>
          </w:tcPr>
          <w:p w14:paraId="36C572E5" w14:textId="77777777" w:rsidR="00B7534C" w:rsidRPr="00B7534C" w:rsidRDefault="00B7534C" w:rsidP="00C80F16">
            <w:pPr>
              <w:jc w:val="both"/>
            </w:pPr>
            <w:r w:rsidRPr="00B7534C">
              <w:t>€22,000</w:t>
            </w:r>
          </w:p>
        </w:tc>
        <w:tc>
          <w:tcPr>
            <w:tcW w:w="0" w:type="auto"/>
            <w:vAlign w:val="center"/>
            <w:hideMark/>
          </w:tcPr>
          <w:p w14:paraId="4FD59E3F" w14:textId="77777777" w:rsidR="00B7534C" w:rsidRPr="00B7534C" w:rsidRDefault="00B7534C" w:rsidP="00C80F16">
            <w:pPr>
              <w:jc w:val="both"/>
            </w:pPr>
            <w:r w:rsidRPr="00B7534C">
              <w:t>€264,000</w:t>
            </w:r>
          </w:p>
        </w:tc>
        <w:tc>
          <w:tcPr>
            <w:tcW w:w="0" w:type="auto"/>
            <w:vAlign w:val="center"/>
            <w:hideMark/>
          </w:tcPr>
          <w:p w14:paraId="5124B5AC" w14:textId="77777777" w:rsidR="00B7534C" w:rsidRPr="00B7534C" w:rsidRDefault="00B7534C" w:rsidP="00C80F16">
            <w:pPr>
              <w:jc w:val="both"/>
            </w:pPr>
            <w:r w:rsidRPr="00B7534C">
              <w:t>€55,000</w:t>
            </w:r>
          </w:p>
        </w:tc>
        <w:tc>
          <w:tcPr>
            <w:tcW w:w="0" w:type="auto"/>
            <w:vAlign w:val="center"/>
            <w:hideMark/>
          </w:tcPr>
          <w:p w14:paraId="085A58B6" w14:textId="77777777" w:rsidR="00B7534C" w:rsidRPr="00B7534C" w:rsidRDefault="00B7534C" w:rsidP="00C80F16">
            <w:pPr>
              <w:jc w:val="both"/>
            </w:pPr>
            <w:r w:rsidRPr="00B7534C">
              <w:t>€209,000</w:t>
            </w:r>
          </w:p>
        </w:tc>
      </w:tr>
      <w:tr w:rsidR="00B7534C" w:rsidRPr="00B7534C" w14:paraId="506630C3" w14:textId="77777777" w:rsidTr="00A62954">
        <w:trPr>
          <w:trHeight w:val="454"/>
          <w:tblCellSpacing w:w="15" w:type="dxa"/>
        </w:trPr>
        <w:tc>
          <w:tcPr>
            <w:tcW w:w="0" w:type="auto"/>
            <w:vAlign w:val="center"/>
            <w:hideMark/>
          </w:tcPr>
          <w:p w14:paraId="50F0AC9D" w14:textId="77777777" w:rsidR="00B7534C" w:rsidRPr="00B7534C" w:rsidRDefault="00B7534C" w:rsidP="00C80F16">
            <w:pPr>
              <w:jc w:val="both"/>
            </w:pPr>
            <w:r w:rsidRPr="00B7534C">
              <w:t>5</w:t>
            </w:r>
          </w:p>
        </w:tc>
        <w:tc>
          <w:tcPr>
            <w:tcW w:w="0" w:type="auto"/>
            <w:vAlign w:val="center"/>
            <w:hideMark/>
          </w:tcPr>
          <w:p w14:paraId="3C1AF2E7" w14:textId="77777777" w:rsidR="00B7534C" w:rsidRPr="00B7534C" w:rsidRDefault="00B7534C" w:rsidP="00C80F16">
            <w:pPr>
              <w:jc w:val="both"/>
            </w:pPr>
            <w:r w:rsidRPr="00B7534C">
              <w:t>1000</w:t>
            </w:r>
          </w:p>
        </w:tc>
        <w:tc>
          <w:tcPr>
            <w:tcW w:w="0" w:type="auto"/>
            <w:vAlign w:val="center"/>
            <w:hideMark/>
          </w:tcPr>
          <w:p w14:paraId="70E56906" w14:textId="77777777" w:rsidR="00B7534C" w:rsidRPr="00B7534C" w:rsidRDefault="00B7534C" w:rsidP="00C80F16">
            <w:pPr>
              <w:jc w:val="both"/>
            </w:pPr>
            <w:r w:rsidRPr="00B7534C">
              <w:t>€36,000</w:t>
            </w:r>
          </w:p>
        </w:tc>
        <w:tc>
          <w:tcPr>
            <w:tcW w:w="0" w:type="auto"/>
            <w:vAlign w:val="center"/>
            <w:hideMark/>
          </w:tcPr>
          <w:p w14:paraId="2BFAF49B" w14:textId="77777777" w:rsidR="00B7534C" w:rsidRPr="00B7534C" w:rsidRDefault="00B7534C" w:rsidP="00C80F16">
            <w:pPr>
              <w:jc w:val="both"/>
            </w:pPr>
            <w:r w:rsidRPr="00B7534C">
              <w:t>€432,000</w:t>
            </w:r>
          </w:p>
        </w:tc>
        <w:tc>
          <w:tcPr>
            <w:tcW w:w="0" w:type="auto"/>
            <w:vAlign w:val="center"/>
            <w:hideMark/>
          </w:tcPr>
          <w:p w14:paraId="5586A7AA" w14:textId="77777777" w:rsidR="00B7534C" w:rsidRPr="00B7534C" w:rsidRDefault="00B7534C" w:rsidP="00C80F16">
            <w:pPr>
              <w:jc w:val="both"/>
            </w:pPr>
            <w:r w:rsidRPr="00B7534C">
              <w:t>€90,000</w:t>
            </w:r>
          </w:p>
        </w:tc>
        <w:tc>
          <w:tcPr>
            <w:tcW w:w="0" w:type="auto"/>
            <w:vAlign w:val="center"/>
            <w:hideMark/>
          </w:tcPr>
          <w:p w14:paraId="29DAF7EE" w14:textId="77777777" w:rsidR="00B7534C" w:rsidRPr="00B7534C" w:rsidRDefault="00B7534C" w:rsidP="00C80F16">
            <w:pPr>
              <w:jc w:val="both"/>
            </w:pPr>
            <w:r w:rsidRPr="00B7534C">
              <w:t>€342,000</w:t>
            </w:r>
          </w:p>
        </w:tc>
      </w:tr>
    </w:tbl>
    <w:p w14:paraId="5A774E16" w14:textId="77777777" w:rsidR="00A62954" w:rsidRDefault="00A62954" w:rsidP="00C80F16">
      <w:pPr>
        <w:jc w:val="both"/>
      </w:pPr>
    </w:p>
    <w:p w14:paraId="7B6997BB" w14:textId="0D56EAB8" w:rsidR="00B7534C" w:rsidRPr="00B7534C" w:rsidRDefault="00B7534C" w:rsidP="00C80F16">
      <w:pPr>
        <w:jc w:val="both"/>
      </w:pPr>
      <w:r w:rsidRPr="00B7534C">
        <w:t>Assumptions:</w:t>
      </w:r>
    </w:p>
    <w:p w14:paraId="1CEEDA8B" w14:textId="77777777" w:rsidR="00B7534C" w:rsidRPr="00B7534C" w:rsidRDefault="00B7534C" w:rsidP="00C80F16">
      <w:pPr>
        <w:numPr>
          <w:ilvl w:val="0"/>
          <w:numId w:val="9"/>
        </w:numPr>
        <w:jc w:val="both"/>
      </w:pPr>
      <w:r w:rsidRPr="00B7534C">
        <w:t>20% churn offset by acquisition</w:t>
      </w:r>
    </w:p>
    <w:p w14:paraId="1242D8D8" w14:textId="77777777" w:rsidR="00B7534C" w:rsidRPr="00B7534C" w:rsidRDefault="00B7534C" w:rsidP="00C80F16">
      <w:pPr>
        <w:numPr>
          <w:ilvl w:val="0"/>
          <w:numId w:val="9"/>
        </w:numPr>
        <w:jc w:val="both"/>
      </w:pPr>
      <w:r w:rsidRPr="00B7534C">
        <w:t>Expenses include server costs, marketing, legal, support</w:t>
      </w:r>
    </w:p>
    <w:p w14:paraId="2985A1D9" w14:textId="77777777" w:rsidR="00B7534C" w:rsidRPr="00B7534C" w:rsidRDefault="00B7534C" w:rsidP="00C80F16">
      <w:pPr>
        <w:numPr>
          <w:ilvl w:val="0"/>
          <w:numId w:val="9"/>
        </w:numPr>
        <w:jc w:val="both"/>
      </w:pPr>
      <w:r w:rsidRPr="00B7534C">
        <w:t>Additional revenue via print kits and training sessions</w:t>
      </w:r>
    </w:p>
    <w:p w14:paraId="069ED156" w14:textId="16108E4E" w:rsidR="00B7534C" w:rsidRPr="00B7534C" w:rsidRDefault="00B7534C" w:rsidP="00C80F16">
      <w:pPr>
        <w:jc w:val="both"/>
      </w:pPr>
    </w:p>
    <w:p w14:paraId="15D17902" w14:textId="4E569760" w:rsidR="00B7534C" w:rsidRDefault="00B7534C" w:rsidP="00A62954">
      <w:pPr>
        <w:pStyle w:val="Heading1"/>
        <w:numPr>
          <w:ilvl w:val="0"/>
          <w:numId w:val="12"/>
        </w:numPr>
        <w:rPr>
          <w:color w:val="auto"/>
        </w:rPr>
      </w:pPr>
      <w:r w:rsidRPr="00B7534C">
        <w:rPr>
          <w:color w:val="auto"/>
        </w:rPr>
        <w:t>Team</w:t>
      </w:r>
    </w:p>
    <w:p w14:paraId="7CECACEE" w14:textId="77777777" w:rsidR="00A62954" w:rsidRPr="00B7534C" w:rsidRDefault="00A62954" w:rsidP="00A62954"/>
    <w:p w14:paraId="201BEE03" w14:textId="4119CE6A" w:rsidR="00B7534C" w:rsidRPr="00B7534C" w:rsidRDefault="00A62954" w:rsidP="00C80F16">
      <w:pPr>
        <w:numPr>
          <w:ilvl w:val="0"/>
          <w:numId w:val="10"/>
        </w:numPr>
        <w:jc w:val="both"/>
      </w:pPr>
      <w:r>
        <w:rPr>
          <w:b/>
          <w:bCs/>
        </w:rPr>
        <w:t>M.D</w:t>
      </w:r>
      <w:r w:rsidR="00B7534C" w:rsidRPr="00B7534C">
        <w:rPr>
          <w:b/>
          <w:bCs/>
        </w:rPr>
        <w:t>.</w:t>
      </w:r>
      <w:r w:rsidR="00B7534C" w:rsidRPr="00B7534C">
        <w:t xml:space="preserve"> – Lead backend developer, infrastructure and platform architect</w:t>
      </w:r>
    </w:p>
    <w:p w14:paraId="6A86A9FA" w14:textId="77777777" w:rsidR="00B7534C" w:rsidRPr="00B7534C" w:rsidRDefault="00B7534C" w:rsidP="00C80F16">
      <w:pPr>
        <w:numPr>
          <w:ilvl w:val="0"/>
          <w:numId w:val="10"/>
        </w:numPr>
        <w:jc w:val="both"/>
      </w:pPr>
      <w:r w:rsidRPr="00B7534C">
        <w:rPr>
          <w:b/>
          <w:bCs/>
        </w:rPr>
        <w:t>K.K.</w:t>
      </w:r>
      <w:r w:rsidRPr="00B7534C">
        <w:t xml:space="preserve"> – Frontend lead, React/UX specialist, routing and interface</w:t>
      </w:r>
    </w:p>
    <w:p w14:paraId="4B33C133" w14:textId="77777777" w:rsidR="00B7534C" w:rsidRPr="00B7534C" w:rsidRDefault="00B7534C" w:rsidP="00C80F16">
      <w:pPr>
        <w:numPr>
          <w:ilvl w:val="0"/>
          <w:numId w:val="10"/>
        </w:numPr>
        <w:jc w:val="both"/>
      </w:pPr>
      <w:r w:rsidRPr="00B7534C">
        <w:rPr>
          <w:b/>
          <w:bCs/>
        </w:rPr>
        <w:t>K.A.</w:t>
      </w:r>
      <w:r w:rsidRPr="00B7534C">
        <w:t xml:space="preserve"> – UX/UI designer and feature planner, research and customer-facing adaptations</w:t>
      </w:r>
    </w:p>
    <w:p w14:paraId="1B879227" w14:textId="77777777" w:rsidR="00B7534C" w:rsidRPr="00B7534C" w:rsidRDefault="00B7534C" w:rsidP="00C80F16">
      <w:pPr>
        <w:jc w:val="both"/>
      </w:pPr>
      <w:r w:rsidRPr="00B7534C">
        <w:t>All founders have .NET and backend experience, working on digital systems and SaaS tools. We’re self-funded and passionate about digital hospitality.</w:t>
      </w:r>
    </w:p>
    <w:p w14:paraId="3AFEA6BA" w14:textId="1EB31DC0" w:rsidR="00B7534C" w:rsidRPr="00B7534C" w:rsidRDefault="00B7534C" w:rsidP="00C80F16">
      <w:pPr>
        <w:jc w:val="both"/>
      </w:pPr>
    </w:p>
    <w:p w14:paraId="0F6FD3A9" w14:textId="5017B463" w:rsidR="00A62954" w:rsidRPr="00A62954" w:rsidRDefault="00B7534C" w:rsidP="00A62954">
      <w:pPr>
        <w:pStyle w:val="Heading1"/>
        <w:numPr>
          <w:ilvl w:val="0"/>
          <w:numId w:val="12"/>
        </w:numPr>
        <w:rPr>
          <w:color w:val="auto"/>
        </w:rPr>
      </w:pPr>
      <w:r w:rsidRPr="00A62954">
        <w:rPr>
          <w:color w:val="auto"/>
        </w:rPr>
        <w:t>Vision &amp; Mission</w:t>
      </w:r>
    </w:p>
    <w:p w14:paraId="564F0F20" w14:textId="7E5C7F45" w:rsidR="00B7534C" w:rsidRPr="00B7534C" w:rsidRDefault="00B7534C" w:rsidP="00A62954">
      <w:pPr>
        <w:jc w:val="both"/>
      </w:pPr>
      <w:r w:rsidRPr="00B7534C">
        <w:br/>
      </w:r>
      <w:r w:rsidRPr="00A62954">
        <w:rPr>
          <w:b/>
          <w:bCs/>
        </w:rPr>
        <w:t>Vision</w:t>
      </w:r>
      <w:r w:rsidRPr="00A62954">
        <w:t>:</w:t>
      </w:r>
      <w:r w:rsidRPr="00B7534C">
        <w:t xml:space="preserve"> Become the go-to digital interaction tool for hospitality venues in the Balkans and beyond.</w:t>
      </w:r>
    </w:p>
    <w:p w14:paraId="32042B7F" w14:textId="77777777" w:rsidR="00B7534C" w:rsidRPr="00B7534C" w:rsidRDefault="00B7534C" w:rsidP="00C80F16">
      <w:pPr>
        <w:jc w:val="both"/>
      </w:pPr>
      <w:r w:rsidRPr="00B7534C">
        <w:rPr>
          <w:b/>
          <w:bCs/>
        </w:rPr>
        <w:t>Mission:</w:t>
      </w:r>
      <w:r w:rsidRPr="00B7534C">
        <w:t xml:space="preserve"> To empower hospitality venues with simple, elegant, and human-centered QR-based interaction systems that boost customer satisfaction and staff efficiency.</w:t>
      </w:r>
    </w:p>
    <w:p w14:paraId="22E21F44" w14:textId="588908D1" w:rsidR="00A62954" w:rsidRDefault="00A62954">
      <w:pPr>
        <w:rPr>
          <w:b/>
          <w:bCs/>
        </w:rPr>
      </w:pPr>
    </w:p>
    <w:p w14:paraId="1EC1AD8A" w14:textId="3CFF22AD" w:rsidR="00B7534C" w:rsidRDefault="00B7534C" w:rsidP="00A62954">
      <w:pPr>
        <w:pStyle w:val="Heading1"/>
        <w:numPr>
          <w:ilvl w:val="0"/>
          <w:numId w:val="12"/>
        </w:numPr>
        <w:rPr>
          <w:color w:val="auto"/>
        </w:rPr>
      </w:pPr>
      <w:r w:rsidRPr="00B7534C">
        <w:rPr>
          <w:color w:val="auto"/>
        </w:rPr>
        <w:lastRenderedPageBreak/>
        <w:t>Appendices (PPT)</w:t>
      </w:r>
    </w:p>
    <w:p w14:paraId="6D50EEC8" w14:textId="77777777" w:rsidR="00A62954" w:rsidRPr="00B7534C" w:rsidRDefault="00A62954" w:rsidP="00A62954"/>
    <w:p w14:paraId="072B416E" w14:textId="77777777" w:rsidR="00B7534C" w:rsidRPr="00B7534C" w:rsidRDefault="00B7534C" w:rsidP="00C80F16">
      <w:pPr>
        <w:numPr>
          <w:ilvl w:val="0"/>
          <w:numId w:val="11"/>
        </w:numPr>
        <w:jc w:val="both"/>
      </w:pPr>
      <w:r w:rsidRPr="00B7534C">
        <w:t>App screenshots (menu, staff view, table overview)</w:t>
      </w:r>
    </w:p>
    <w:p w14:paraId="2179D894" w14:textId="77777777" w:rsidR="00B7534C" w:rsidRPr="00B7534C" w:rsidRDefault="00B7534C" w:rsidP="00C80F16">
      <w:pPr>
        <w:numPr>
          <w:ilvl w:val="0"/>
          <w:numId w:val="11"/>
        </w:numPr>
        <w:jc w:val="both"/>
      </w:pPr>
      <w:r w:rsidRPr="00B7534C">
        <w:t>QR kit examples</w:t>
      </w:r>
    </w:p>
    <w:p w14:paraId="5A766168" w14:textId="77777777" w:rsidR="00B7534C" w:rsidRPr="00B7534C" w:rsidRDefault="00B7534C" w:rsidP="00C80F16">
      <w:pPr>
        <w:numPr>
          <w:ilvl w:val="0"/>
          <w:numId w:val="11"/>
        </w:numPr>
        <w:jc w:val="both"/>
      </w:pPr>
      <w:r w:rsidRPr="00B7534C">
        <w:t>Persona visual (Marko’s bar use case)</w:t>
      </w:r>
    </w:p>
    <w:p w14:paraId="0A83C31A" w14:textId="77777777" w:rsidR="00B7534C" w:rsidRPr="00B7534C" w:rsidRDefault="00B7534C" w:rsidP="00C80F16">
      <w:pPr>
        <w:numPr>
          <w:ilvl w:val="0"/>
          <w:numId w:val="11"/>
        </w:numPr>
        <w:jc w:val="both"/>
      </w:pPr>
      <w:r w:rsidRPr="00B7534C">
        <w:t>TAM visual graph</w:t>
      </w:r>
    </w:p>
    <w:p w14:paraId="7BE07AA2" w14:textId="77777777" w:rsidR="00B7534C" w:rsidRPr="00B7534C" w:rsidRDefault="00B7534C" w:rsidP="00C80F16">
      <w:pPr>
        <w:numPr>
          <w:ilvl w:val="0"/>
          <w:numId w:val="11"/>
        </w:numPr>
        <w:jc w:val="both"/>
      </w:pPr>
      <w:r w:rsidRPr="00B7534C">
        <w:t>Competitor pricing comparison chart</w:t>
      </w:r>
    </w:p>
    <w:p w14:paraId="6DCD8FE9" w14:textId="77777777" w:rsidR="00B7534C" w:rsidRPr="00B7534C" w:rsidRDefault="00B7534C" w:rsidP="00C80F16">
      <w:pPr>
        <w:numPr>
          <w:ilvl w:val="0"/>
          <w:numId w:val="11"/>
        </w:numPr>
        <w:jc w:val="both"/>
      </w:pPr>
      <w:r w:rsidRPr="00B7534C">
        <w:t>Revenue projections graph</w:t>
      </w:r>
    </w:p>
    <w:p w14:paraId="0216CF9D" w14:textId="77777777" w:rsidR="00B7534C" w:rsidRPr="00B7534C" w:rsidRDefault="00B7534C" w:rsidP="00C80F16">
      <w:pPr>
        <w:numPr>
          <w:ilvl w:val="0"/>
          <w:numId w:val="11"/>
        </w:numPr>
        <w:jc w:val="both"/>
      </w:pPr>
      <w:r w:rsidRPr="00B7534C">
        <w:t>Pricing table visual</w:t>
      </w:r>
    </w:p>
    <w:p w14:paraId="61E62A84" w14:textId="77777777" w:rsidR="00B7534C" w:rsidRDefault="00B7534C" w:rsidP="00C80F16">
      <w:pPr>
        <w:jc w:val="both"/>
      </w:pPr>
    </w:p>
    <w:sectPr w:rsidR="00B75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B5F7E"/>
    <w:multiLevelType w:val="multilevel"/>
    <w:tmpl w:val="7BCE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658EB"/>
    <w:multiLevelType w:val="multilevel"/>
    <w:tmpl w:val="E860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74C62"/>
    <w:multiLevelType w:val="multilevel"/>
    <w:tmpl w:val="479E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61E31"/>
    <w:multiLevelType w:val="multilevel"/>
    <w:tmpl w:val="ED0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C0AD4"/>
    <w:multiLevelType w:val="multilevel"/>
    <w:tmpl w:val="4DD4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36E9D"/>
    <w:multiLevelType w:val="multilevel"/>
    <w:tmpl w:val="B760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06525"/>
    <w:multiLevelType w:val="hybridMultilevel"/>
    <w:tmpl w:val="666239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59ED2691"/>
    <w:multiLevelType w:val="multilevel"/>
    <w:tmpl w:val="6F66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32589"/>
    <w:multiLevelType w:val="multilevel"/>
    <w:tmpl w:val="6E3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55142"/>
    <w:multiLevelType w:val="multilevel"/>
    <w:tmpl w:val="434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B1CC1"/>
    <w:multiLevelType w:val="multilevel"/>
    <w:tmpl w:val="7C5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31179"/>
    <w:multiLevelType w:val="multilevel"/>
    <w:tmpl w:val="EF10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192132">
    <w:abstractNumId w:val="5"/>
  </w:num>
  <w:num w:numId="2" w16cid:durableId="1251423769">
    <w:abstractNumId w:val="4"/>
  </w:num>
  <w:num w:numId="3" w16cid:durableId="128480246">
    <w:abstractNumId w:val="0"/>
  </w:num>
  <w:num w:numId="4" w16cid:durableId="1794128465">
    <w:abstractNumId w:val="9"/>
  </w:num>
  <w:num w:numId="5" w16cid:durableId="1745490402">
    <w:abstractNumId w:val="2"/>
  </w:num>
  <w:num w:numId="6" w16cid:durableId="1768187846">
    <w:abstractNumId w:val="11"/>
  </w:num>
  <w:num w:numId="7" w16cid:durableId="1603956048">
    <w:abstractNumId w:val="10"/>
  </w:num>
  <w:num w:numId="8" w16cid:durableId="1816070757">
    <w:abstractNumId w:val="8"/>
  </w:num>
  <w:num w:numId="9" w16cid:durableId="1498113544">
    <w:abstractNumId w:val="7"/>
  </w:num>
  <w:num w:numId="10" w16cid:durableId="1065495083">
    <w:abstractNumId w:val="1"/>
  </w:num>
  <w:num w:numId="11" w16cid:durableId="105852622">
    <w:abstractNumId w:val="3"/>
  </w:num>
  <w:num w:numId="12" w16cid:durableId="1161968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C6034"/>
    <w:rsid w:val="00081098"/>
    <w:rsid w:val="000B4AA3"/>
    <w:rsid w:val="006801C6"/>
    <w:rsid w:val="00702E45"/>
    <w:rsid w:val="00872DBB"/>
    <w:rsid w:val="008F370E"/>
    <w:rsid w:val="00A62954"/>
    <w:rsid w:val="00B7534C"/>
    <w:rsid w:val="00C80F16"/>
    <w:rsid w:val="00DC6034"/>
    <w:rsid w:val="00FB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0B7A"/>
  <w15:chartTrackingRefBased/>
  <w15:docId w15:val="{99BAE832-A4B1-430F-AEE1-10236FA6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paragraph" w:styleId="Heading1">
    <w:name w:val="heading 1"/>
    <w:basedOn w:val="Normal"/>
    <w:next w:val="Normal"/>
    <w:link w:val="Heading1Char"/>
    <w:uiPriority w:val="9"/>
    <w:qFormat/>
    <w:rsid w:val="00DC6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6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34"/>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DC6034"/>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DC6034"/>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DC6034"/>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DC6034"/>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DC6034"/>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DC6034"/>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DC6034"/>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DC6034"/>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DC6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034"/>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DC6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034"/>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DC6034"/>
    <w:pPr>
      <w:spacing w:before="160"/>
      <w:jc w:val="center"/>
    </w:pPr>
    <w:rPr>
      <w:i/>
      <w:iCs/>
      <w:color w:val="404040" w:themeColor="text1" w:themeTint="BF"/>
    </w:rPr>
  </w:style>
  <w:style w:type="character" w:customStyle="1" w:styleId="QuoteChar">
    <w:name w:val="Quote Char"/>
    <w:basedOn w:val="DefaultParagraphFont"/>
    <w:link w:val="Quote"/>
    <w:uiPriority w:val="29"/>
    <w:rsid w:val="00DC6034"/>
    <w:rPr>
      <w:i/>
      <w:iCs/>
      <w:color w:val="404040" w:themeColor="text1" w:themeTint="BF"/>
      <w:lang w:val="hr-HR"/>
    </w:rPr>
  </w:style>
  <w:style w:type="paragraph" w:styleId="ListParagraph">
    <w:name w:val="List Paragraph"/>
    <w:basedOn w:val="Normal"/>
    <w:uiPriority w:val="34"/>
    <w:qFormat/>
    <w:rsid w:val="00DC6034"/>
    <w:pPr>
      <w:ind w:left="720"/>
      <w:contextualSpacing/>
    </w:pPr>
  </w:style>
  <w:style w:type="character" w:styleId="IntenseEmphasis">
    <w:name w:val="Intense Emphasis"/>
    <w:basedOn w:val="DefaultParagraphFont"/>
    <w:uiPriority w:val="21"/>
    <w:qFormat/>
    <w:rsid w:val="00DC6034"/>
    <w:rPr>
      <w:i/>
      <w:iCs/>
      <w:color w:val="0F4761" w:themeColor="accent1" w:themeShade="BF"/>
    </w:rPr>
  </w:style>
  <w:style w:type="paragraph" w:styleId="IntenseQuote">
    <w:name w:val="Intense Quote"/>
    <w:basedOn w:val="Normal"/>
    <w:next w:val="Normal"/>
    <w:link w:val="IntenseQuoteChar"/>
    <w:uiPriority w:val="30"/>
    <w:qFormat/>
    <w:rsid w:val="00DC6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034"/>
    <w:rPr>
      <w:i/>
      <w:iCs/>
      <w:color w:val="0F4761" w:themeColor="accent1" w:themeShade="BF"/>
      <w:lang w:val="hr-HR"/>
    </w:rPr>
  </w:style>
  <w:style w:type="character" w:styleId="IntenseReference">
    <w:name w:val="Intense Reference"/>
    <w:basedOn w:val="DefaultParagraphFont"/>
    <w:uiPriority w:val="32"/>
    <w:qFormat/>
    <w:rsid w:val="00DC6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91158">
      <w:bodyDiv w:val="1"/>
      <w:marLeft w:val="0"/>
      <w:marRight w:val="0"/>
      <w:marTop w:val="0"/>
      <w:marBottom w:val="0"/>
      <w:divBdr>
        <w:top w:val="none" w:sz="0" w:space="0" w:color="auto"/>
        <w:left w:val="none" w:sz="0" w:space="0" w:color="auto"/>
        <w:bottom w:val="none" w:sz="0" w:space="0" w:color="auto"/>
        <w:right w:val="none" w:sz="0" w:space="0" w:color="auto"/>
      </w:divBdr>
    </w:div>
    <w:div w:id="509562084">
      <w:bodyDiv w:val="1"/>
      <w:marLeft w:val="0"/>
      <w:marRight w:val="0"/>
      <w:marTop w:val="0"/>
      <w:marBottom w:val="0"/>
      <w:divBdr>
        <w:top w:val="none" w:sz="0" w:space="0" w:color="auto"/>
        <w:left w:val="none" w:sz="0" w:space="0" w:color="auto"/>
        <w:bottom w:val="none" w:sz="0" w:space="0" w:color="auto"/>
        <w:right w:val="none" w:sz="0" w:space="0" w:color="auto"/>
      </w:divBdr>
    </w:div>
    <w:div w:id="550776564">
      <w:bodyDiv w:val="1"/>
      <w:marLeft w:val="0"/>
      <w:marRight w:val="0"/>
      <w:marTop w:val="0"/>
      <w:marBottom w:val="0"/>
      <w:divBdr>
        <w:top w:val="none" w:sz="0" w:space="0" w:color="auto"/>
        <w:left w:val="none" w:sz="0" w:space="0" w:color="auto"/>
        <w:bottom w:val="none" w:sz="0" w:space="0" w:color="auto"/>
        <w:right w:val="none" w:sz="0" w:space="0" w:color="auto"/>
      </w:divBdr>
    </w:div>
    <w:div w:id="1163812747">
      <w:bodyDiv w:val="1"/>
      <w:marLeft w:val="0"/>
      <w:marRight w:val="0"/>
      <w:marTop w:val="0"/>
      <w:marBottom w:val="0"/>
      <w:divBdr>
        <w:top w:val="none" w:sz="0" w:space="0" w:color="auto"/>
        <w:left w:val="none" w:sz="0" w:space="0" w:color="auto"/>
        <w:bottom w:val="none" w:sz="0" w:space="0" w:color="auto"/>
        <w:right w:val="none" w:sz="0" w:space="0" w:color="auto"/>
      </w:divBdr>
      <w:divsChild>
        <w:div w:id="207880951">
          <w:marLeft w:val="0"/>
          <w:marRight w:val="0"/>
          <w:marTop w:val="0"/>
          <w:marBottom w:val="0"/>
          <w:divBdr>
            <w:top w:val="none" w:sz="0" w:space="0" w:color="auto"/>
            <w:left w:val="none" w:sz="0" w:space="0" w:color="auto"/>
            <w:bottom w:val="none" w:sz="0" w:space="0" w:color="auto"/>
            <w:right w:val="none" w:sz="0" w:space="0" w:color="auto"/>
          </w:divBdr>
        </w:div>
      </w:divsChild>
    </w:div>
    <w:div w:id="1213300612">
      <w:bodyDiv w:val="1"/>
      <w:marLeft w:val="0"/>
      <w:marRight w:val="0"/>
      <w:marTop w:val="0"/>
      <w:marBottom w:val="0"/>
      <w:divBdr>
        <w:top w:val="none" w:sz="0" w:space="0" w:color="auto"/>
        <w:left w:val="none" w:sz="0" w:space="0" w:color="auto"/>
        <w:bottom w:val="none" w:sz="0" w:space="0" w:color="auto"/>
        <w:right w:val="none" w:sz="0" w:space="0" w:color="auto"/>
      </w:divBdr>
      <w:divsChild>
        <w:div w:id="20981414">
          <w:marLeft w:val="0"/>
          <w:marRight w:val="0"/>
          <w:marTop w:val="0"/>
          <w:marBottom w:val="0"/>
          <w:divBdr>
            <w:top w:val="none" w:sz="0" w:space="0" w:color="auto"/>
            <w:left w:val="none" w:sz="0" w:space="0" w:color="auto"/>
            <w:bottom w:val="none" w:sz="0" w:space="0" w:color="auto"/>
            <w:right w:val="none" w:sz="0" w:space="0" w:color="auto"/>
          </w:divBdr>
        </w:div>
        <w:div w:id="515387934">
          <w:marLeft w:val="0"/>
          <w:marRight w:val="0"/>
          <w:marTop w:val="0"/>
          <w:marBottom w:val="0"/>
          <w:divBdr>
            <w:top w:val="none" w:sz="0" w:space="0" w:color="auto"/>
            <w:left w:val="none" w:sz="0" w:space="0" w:color="auto"/>
            <w:bottom w:val="none" w:sz="0" w:space="0" w:color="auto"/>
            <w:right w:val="none" w:sz="0" w:space="0" w:color="auto"/>
          </w:divBdr>
        </w:div>
        <w:div w:id="815880655">
          <w:marLeft w:val="0"/>
          <w:marRight w:val="0"/>
          <w:marTop w:val="0"/>
          <w:marBottom w:val="0"/>
          <w:divBdr>
            <w:top w:val="none" w:sz="0" w:space="0" w:color="auto"/>
            <w:left w:val="none" w:sz="0" w:space="0" w:color="auto"/>
            <w:bottom w:val="none" w:sz="0" w:space="0" w:color="auto"/>
            <w:right w:val="none" w:sz="0" w:space="0" w:color="auto"/>
          </w:divBdr>
        </w:div>
        <w:div w:id="1853883152">
          <w:marLeft w:val="0"/>
          <w:marRight w:val="0"/>
          <w:marTop w:val="0"/>
          <w:marBottom w:val="0"/>
          <w:divBdr>
            <w:top w:val="none" w:sz="0" w:space="0" w:color="auto"/>
            <w:left w:val="none" w:sz="0" w:space="0" w:color="auto"/>
            <w:bottom w:val="none" w:sz="0" w:space="0" w:color="auto"/>
            <w:right w:val="none" w:sz="0" w:space="0" w:color="auto"/>
          </w:divBdr>
        </w:div>
        <w:div w:id="953252196">
          <w:marLeft w:val="0"/>
          <w:marRight w:val="0"/>
          <w:marTop w:val="0"/>
          <w:marBottom w:val="0"/>
          <w:divBdr>
            <w:top w:val="none" w:sz="0" w:space="0" w:color="auto"/>
            <w:left w:val="none" w:sz="0" w:space="0" w:color="auto"/>
            <w:bottom w:val="none" w:sz="0" w:space="0" w:color="auto"/>
            <w:right w:val="none" w:sz="0" w:space="0" w:color="auto"/>
          </w:divBdr>
        </w:div>
        <w:div w:id="1854103968">
          <w:marLeft w:val="0"/>
          <w:marRight w:val="0"/>
          <w:marTop w:val="0"/>
          <w:marBottom w:val="0"/>
          <w:divBdr>
            <w:top w:val="none" w:sz="0" w:space="0" w:color="auto"/>
            <w:left w:val="none" w:sz="0" w:space="0" w:color="auto"/>
            <w:bottom w:val="none" w:sz="0" w:space="0" w:color="auto"/>
            <w:right w:val="none" w:sz="0" w:space="0" w:color="auto"/>
          </w:divBdr>
        </w:div>
        <w:div w:id="1797216081">
          <w:marLeft w:val="0"/>
          <w:marRight w:val="0"/>
          <w:marTop w:val="0"/>
          <w:marBottom w:val="0"/>
          <w:divBdr>
            <w:top w:val="none" w:sz="0" w:space="0" w:color="auto"/>
            <w:left w:val="none" w:sz="0" w:space="0" w:color="auto"/>
            <w:bottom w:val="none" w:sz="0" w:space="0" w:color="auto"/>
            <w:right w:val="none" w:sz="0" w:space="0" w:color="auto"/>
          </w:divBdr>
        </w:div>
        <w:div w:id="1996688039">
          <w:marLeft w:val="0"/>
          <w:marRight w:val="0"/>
          <w:marTop w:val="0"/>
          <w:marBottom w:val="0"/>
          <w:divBdr>
            <w:top w:val="none" w:sz="0" w:space="0" w:color="auto"/>
            <w:left w:val="none" w:sz="0" w:space="0" w:color="auto"/>
            <w:bottom w:val="none" w:sz="0" w:space="0" w:color="auto"/>
            <w:right w:val="none" w:sz="0" w:space="0" w:color="auto"/>
          </w:divBdr>
        </w:div>
        <w:div w:id="2128235419">
          <w:marLeft w:val="0"/>
          <w:marRight w:val="0"/>
          <w:marTop w:val="0"/>
          <w:marBottom w:val="0"/>
          <w:divBdr>
            <w:top w:val="none" w:sz="0" w:space="0" w:color="auto"/>
            <w:left w:val="none" w:sz="0" w:space="0" w:color="auto"/>
            <w:bottom w:val="none" w:sz="0" w:space="0" w:color="auto"/>
            <w:right w:val="none" w:sz="0" w:space="0" w:color="auto"/>
          </w:divBdr>
        </w:div>
        <w:div w:id="1866794716">
          <w:marLeft w:val="0"/>
          <w:marRight w:val="0"/>
          <w:marTop w:val="0"/>
          <w:marBottom w:val="0"/>
          <w:divBdr>
            <w:top w:val="none" w:sz="0" w:space="0" w:color="auto"/>
            <w:left w:val="none" w:sz="0" w:space="0" w:color="auto"/>
            <w:bottom w:val="none" w:sz="0" w:space="0" w:color="auto"/>
            <w:right w:val="none" w:sz="0" w:space="0" w:color="auto"/>
          </w:divBdr>
        </w:div>
        <w:div w:id="751661523">
          <w:marLeft w:val="0"/>
          <w:marRight w:val="0"/>
          <w:marTop w:val="0"/>
          <w:marBottom w:val="0"/>
          <w:divBdr>
            <w:top w:val="none" w:sz="0" w:space="0" w:color="auto"/>
            <w:left w:val="none" w:sz="0" w:space="0" w:color="auto"/>
            <w:bottom w:val="none" w:sz="0" w:space="0" w:color="auto"/>
            <w:right w:val="none" w:sz="0" w:space="0" w:color="auto"/>
          </w:divBdr>
        </w:div>
      </w:divsChild>
    </w:div>
    <w:div w:id="1612325016">
      <w:bodyDiv w:val="1"/>
      <w:marLeft w:val="0"/>
      <w:marRight w:val="0"/>
      <w:marTop w:val="0"/>
      <w:marBottom w:val="0"/>
      <w:divBdr>
        <w:top w:val="none" w:sz="0" w:space="0" w:color="auto"/>
        <w:left w:val="none" w:sz="0" w:space="0" w:color="auto"/>
        <w:bottom w:val="none" w:sz="0" w:space="0" w:color="auto"/>
        <w:right w:val="none" w:sz="0" w:space="0" w:color="auto"/>
      </w:divBdr>
      <w:divsChild>
        <w:div w:id="1839348232">
          <w:marLeft w:val="0"/>
          <w:marRight w:val="0"/>
          <w:marTop w:val="0"/>
          <w:marBottom w:val="0"/>
          <w:divBdr>
            <w:top w:val="none" w:sz="0" w:space="0" w:color="auto"/>
            <w:left w:val="none" w:sz="0" w:space="0" w:color="auto"/>
            <w:bottom w:val="none" w:sz="0" w:space="0" w:color="auto"/>
            <w:right w:val="none" w:sz="0" w:space="0" w:color="auto"/>
          </w:divBdr>
        </w:div>
      </w:divsChild>
    </w:div>
    <w:div w:id="1821801348">
      <w:bodyDiv w:val="1"/>
      <w:marLeft w:val="0"/>
      <w:marRight w:val="0"/>
      <w:marTop w:val="0"/>
      <w:marBottom w:val="0"/>
      <w:divBdr>
        <w:top w:val="none" w:sz="0" w:space="0" w:color="auto"/>
        <w:left w:val="none" w:sz="0" w:space="0" w:color="auto"/>
        <w:bottom w:val="none" w:sz="0" w:space="0" w:color="auto"/>
        <w:right w:val="none" w:sz="0" w:space="0" w:color="auto"/>
      </w:divBdr>
      <w:divsChild>
        <w:div w:id="1764835561">
          <w:marLeft w:val="0"/>
          <w:marRight w:val="0"/>
          <w:marTop w:val="0"/>
          <w:marBottom w:val="0"/>
          <w:divBdr>
            <w:top w:val="none" w:sz="0" w:space="0" w:color="auto"/>
            <w:left w:val="none" w:sz="0" w:space="0" w:color="auto"/>
            <w:bottom w:val="none" w:sz="0" w:space="0" w:color="auto"/>
            <w:right w:val="none" w:sz="0" w:space="0" w:color="auto"/>
          </w:divBdr>
        </w:div>
        <w:div w:id="1272082210">
          <w:marLeft w:val="0"/>
          <w:marRight w:val="0"/>
          <w:marTop w:val="0"/>
          <w:marBottom w:val="0"/>
          <w:divBdr>
            <w:top w:val="none" w:sz="0" w:space="0" w:color="auto"/>
            <w:left w:val="none" w:sz="0" w:space="0" w:color="auto"/>
            <w:bottom w:val="none" w:sz="0" w:space="0" w:color="auto"/>
            <w:right w:val="none" w:sz="0" w:space="0" w:color="auto"/>
          </w:divBdr>
        </w:div>
        <w:div w:id="505439319">
          <w:marLeft w:val="0"/>
          <w:marRight w:val="0"/>
          <w:marTop w:val="0"/>
          <w:marBottom w:val="0"/>
          <w:divBdr>
            <w:top w:val="none" w:sz="0" w:space="0" w:color="auto"/>
            <w:left w:val="none" w:sz="0" w:space="0" w:color="auto"/>
            <w:bottom w:val="none" w:sz="0" w:space="0" w:color="auto"/>
            <w:right w:val="none" w:sz="0" w:space="0" w:color="auto"/>
          </w:divBdr>
        </w:div>
        <w:div w:id="1751846600">
          <w:marLeft w:val="0"/>
          <w:marRight w:val="0"/>
          <w:marTop w:val="0"/>
          <w:marBottom w:val="0"/>
          <w:divBdr>
            <w:top w:val="none" w:sz="0" w:space="0" w:color="auto"/>
            <w:left w:val="none" w:sz="0" w:space="0" w:color="auto"/>
            <w:bottom w:val="none" w:sz="0" w:space="0" w:color="auto"/>
            <w:right w:val="none" w:sz="0" w:space="0" w:color="auto"/>
          </w:divBdr>
        </w:div>
        <w:div w:id="592669946">
          <w:marLeft w:val="0"/>
          <w:marRight w:val="0"/>
          <w:marTop w:val="0"/>
          <w:marBottom w:val="0"/>
          <w:divBdr>
            <w:top w:val="none" w:sz="0" w:space="0" w:color="auto"/>
            <w:left w:val="none" w:sz="0" w:space="0" w:color="auto"/>
            <w:bottom w:val="none" w:sz="0" w:space="0" w:color="auto"/>
            <w:right w:val="none" w:sz="0" w:space="0" w:color="auto"/>
          </w:divBdr>
        </w:div>
        <w:div w:id="1472866036">
          <w:marLeft w:val="0"/>
          <w:marRight w:val="0"/>
          <w:marTop w:val="0"/>
          <w:marBottom w:val="0"/>
          <w:divBdr>
            <w:top w:val="none" w:sz="0" w:space="0" w:color="auto"/>
            <w:left w:val="none" w:sz="0" w:space="0" w:color="auto"/>
            <w:bottom w:val="none" w:sz="0" w:space="0" w:color="auto"/>
            <w:right w:val="none" w:sz="0" w:space="0" w:color="auto"/>
          </w:divBdr>
        </w:div>
        <w:div w:id="609357358">
          <w:marLeft w:val="0"/>
          <w:marRight w:val="0"/>
          <w:marTop w:val="0"/>
          <w:marBottom w:val="0"/>
          <w:divBdr>
            <w:top w:val="none" w:sz="0" w:space="0" w:color="auto"/>
            <w:left w:val="none" w:sz="0" w:space="0" w:color="auto"/>
            <w:bottom w:val="none" w:sz="0" w:space="0" w:color="auto"/>
            <w:right w:val="none" w:sz="0" w:space="0" w:color="auto"/>
          </w:divBdr>
        </w:div>
        <w:div w:id="2143039826">
          <w:marLeft w:val="0"/>
          <w:marRight w:val="0"/>
          <w:marTop w:val="0"/>
          <w:marBottom w:val="0"/>
          <w:divBdr>
            <w:top w:val="none" w:sz="0" w:space="0" w:color="auto"/>
            <w:left w:val="none" w:sz="0" w:space="0" w:color="auto"/>
            <w:bottom w:val="none" w:sz="0" w:space="0" w:color="auto"/>
            <w:right w:val="none" w:sz="0" w:space="0" w:color="auto"/>
          </w:divBdr>
        </w:div>
        <w:div w:id="958217499">
          <w:marLeft w:val="0"/>
          <w:marRight w:val="0"/>
          <w:marTop w:val="0"/>
          <w:marBottom w:val="0"/>
          <w:divBdr>
            <w:top w:val="none" w:sz="0" w:space="0" w:color="auto"/>
            <w:left w:val="none" w:sz="0" w:space="0" w:color="auto"/>
            <w:bottom w:val="none" w:sz="0" w:space="0" w:color="auto"/>
            <w:right w:val="none" w:sz="0" w:space="0" w:color="auto"/>
          </w:divBdr>
        </w:div>
        <w:div w:id="797992450">
          <w:marLeft w:val="0"/>
          <w:marRight w:val="0"/>
          <w:marTop w:val="0"/>
          <w:marBottom w:val="0"/>
          <w:divBdr>
            <w:top w:val="none" w:sz="0" w:space="0" w:color="auto"/>
            <w:left w:val="none" w:sz="0" w:space="0" w:color="auto"/>
            <w:bottom w:val="none" w:sz="0" w:space="0" w:color="auto"/>
            <w:right w:val="none" w:sz="0" w:space="0" w:color="auto"/>
          </w:divBdr>
        </w:div>
        <w:div w:id="10376111">
          <w:marLeft w:val="0"/>
          <w:marRight w:val="0"/>
          <w:marTop w:val="0"/>
          <w:marBottom w:val="0"/>
          <w:divBdr>
            <w:top w:val="none" w:sz="0" w:space="0" w:color="auto"/>
            <w:left w:val="none" w:sz="0" w:space="0" w:color="auto"/>
            <w:bottom w:val="none" w:sz="0" w:space="0" w:color="auto"/>
            <w:right w:val="none" w:sz="0" w:space="0" w:color="auto"/>
          </w:divBdr>
        </w:div>
      </w:divsChild>
    </w:div>
    <w:div w:id="202690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Dabčević (mdabcevic)</dc:creator>
  <cp:keywords/>
  <dc:description/>
  <cp:lastModifiedBy>Maja Dabčević (mdabcevic)</cp:lastModifiedBy>
  <cp:revision>3</cp:revision>
  <dcterms:created xsi:type="dcterms:W3CDTF">2025-04-22T16:06:00Z</dcterms:created>
  <dcterms:modified xsi:type="dcterms:W3CDTF">2025-04-22T18:28:00Z</dcterms:modified>
</cp:coreProperties>
</file>