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F75B5"/>
          <w:sz w:val="24"/>
          <w:szCs w:val="24"/>
        </w:rPr>
        <w:t xml:space="preserve">AIOps Stream</w:t>
      </w:r>
    </w:p>
    <w:p>
      <w:pPr>
        <w:pStyle w:val="title"/>
        <w:spacing w:after="100"/>
        <w:jc w:val="center"/>
      </w:pPr>
      <w:r>
        <w:t xml:space="preserve">Day 1 — Task 1 Lab Submission</w:t>
      </w:r>
    </w:p>
    <w:p>
      <w:pPr>
        <w:pStyle w:val="subtitle"/>
        <w:spacing w:after="260"/>
        <w:jc w:val="center"/>
      </w:pPr>
      <w:r>
        <w:t xml:space="preserve">Metrics, Logs, Dashboards, and Incident Investigation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c>
          <w:tcPr>
            <w:tcW w:type="dxa" w:w="2100"/>
            <w:shd w:fill="D9EAF7" w:val="clear"/>
            <w:tcMar>
              <w:top w:type="dxa" w:w="100"/>
              <w:left w:type="dxa" w:w="120"/>
              <w:bottom w:type="dxa" w:w="100"/>
              <w:right w:type="dxa" w:w="120"/>
            </w:tcMar>
          </w:tcPr>
          <w:p>
            <w:pPr>
              <w:spacing w:after="0"/>
            </w:pPr>
            <w:r>
              <w:rPr>
                <w:b/>
                <w:bCs/>
                <w:color w:val="17365D"/>
                <w:sz w:val="20"/>
                <w:szCs w:val="20"/>
              </w:rPr>
              <w:t xml:space="preserve">Field</w:t>
            </w:r>
          </w:p>
        </w:tc>
        <w:tc>
          <w:tcPr>
            <w:tcW w:type="dxa" w:w="6900"/>
            <w:shd w:fill="D9EAF7" w:val="clear"/>
            <w:tcMar>
              <w:top w:type="dxa" w:w="100"/>
              <w:left w:type="dxa" w:w="120"/>
              <w:bottom w:type="dxa" w:w="100"/>
              <w:right w:type="dxa" w:w="120"/>
            </w:tcMar>
          </w:tcPr>
          <w:p>
            <w:pPr>
              <w:spacing w:after="0"/>
            </w:pPr>
            <w:r>
              <w:rPr>
                <w:b/>
                <w:bCs/>
                <w:color w:val="17365D"/>
                <w:sz w:val="20"/>
                <w:szCs w:val="20"/>
              </w:rPr>
              <w:t xml:space="preserve">Details</w:t>
            </w:r>
          </w:p>
        </w:tc>
      </w:tr>
      <w:tr>
        <w:tc>
          <w:tcPr>
            <w:tcW w:type="dxa" w:w="2100"/>
            <w:shd w:fill="FFFFFF" w:val="clear"/>
            <w:tcMar>
              <w:top w:type="dxa" w:w="100"/>
              <w:left w:type="dxa" w:w="120"/>
              <w:bottom w:type="dxa" w:w="100"/>
              <w:right w:type="dxa" w:w="120"/>
            </w:tcMar>
          </w:tcPr>
          <w:p>
            <w:pPr>
              <w:spacing w:after="0"/>
            </w:pPr>
            <w:r>
              <w:rPr>
                <w:b w:val="false"/>
                <w:bCs w:val="false"/>
                <w:color w:val="222222"/>
                <w:sz w:val="20"/>
                <w:szCs w:val="20"/>
              </w:rPr>
              <w:t xml:space="preserve">Trainee</w:t>
            </w:r>
          </w:p>
        </w:tc>
        <w:tc>
          <w:tcPr>
            <w:tcW w:type="dxa" w:w="6900"/>
            <w:shd w:fill="FFFFFF" w:val="clear"/>
            <w:tcMar>
              <w:top w:type="dxa" w:w="100"/>
              <w:left w:type="dxa" w:w="120"/>
              <w:bottom w:type="dxa" w:w="100"/>
              <w:right w:type="dxa" w:w="120"/>
            </w:tcMar>
          </w:tcPr>
          <w:p>
            <w:pPr>
              <w:spacing w:after="0"/>
            </w:pPr>
            <w:r>
              <w:rPr>
                <w:b w:val="false"/>
                <w:bCs w:val="false"/>
                <w:color w:val="222222"/>
                <w:sz w:val="20"/>
                <w:szCs w:val="20"/>
              </w:rPr>
              <w:t xml:space="preserve">____________________________</w:t>
            </w:r>
          </w:p>
        </w:tc>
      </w:tr>
      <w:tr>
        <w:tc>
          <w:tcPr>
            <w:tcW w:type="dxa" w:w="2100"/>
            <w:shd w:fill="FFFFFF" w:val="clear"/>
            <w:tcMar>
              <w:top w:type="dxa" w:w="100"/>
              <w:left w:type="dxa" w:w="120"/>
              <w:bottom w:type="dxa" w:w="100"/>
              <w:right w:type="dxa" w:w="120"/>
            </w:tcMar>
          </w:tcPr>
          <w:p>
            <w:pPr>
              <w:spacing w:after="0"/>
            </w:pPr>
            <w:r>
              <w:rPr>
                <w:b w:val="false"/>
                <w:bCs w:val="false"/>
                <w:color w:val="222222"/>
                <w:sz w:val="20"/>
                <w:szCs w:val="20"/>
              </w:rPr>
              <w:t xml:space="preserve">Training day</w:t>
            </w:r>
          </w:p>
        </w:tc>
        <w:tc>
          <w:tcPr>
            <w:tcW w:type="dxa" w:w="6900"/>
            <w:shd w:fill="FFFFFF" w:val="clear"/>
            <w:tcMar>
              <w:top w:type="dxa" w:w="100"/>
              <w:left w:type="dxa" w:w="120"/>
              <w:bottom w:type="dxa" w:w="100"/>
              <w:right w:type="dxa" w:w="120"/>
            </w:tcMar>
          </w:tcPr>
          <w:p>
            <w:pPr>
              <w:spacing w:after="0"/>
            </w:pPr>
            <w:r>
              <w:rPr>
                <w:b w:val="false"/>
                <w:bCs w:val="false"/>
                <w:color w:val="222222"/>
                <w:sz w:val="20"/>
                <w:szCs w:val="20"/>
              </w:rPr>
              <w:t xml:space="preserve">Day 1</w:t>
            </w:r>
          </w:p>
        </w:tc>
      </w:tr>
      <w:tr>
        <w:tc>
          <w:tcPr>
            <w:tcW w:type="dxa" w:w="2100"/>
            <w:shd w:fill="FFFFFF" w:val="clear"/>
            <w:tcMar>
              <w:top w:type="dxa" w:w="100"/>
              <w:left w:type="dxa" w:w="120"/>
              <w:bottom w:type="dxa" w:w="100"/>
              <w:right w:type="dxa" w:w="120"/>
            </w:tcMar>
          </w:tcPr>
          <w:p>
            <w:pPr>
              <w:spacing w:after="0"/>
            </w:pPr>
            <w:r>
              <w:rPr>
                <w:b w:val="false"/>
                <w:bCs w:val="false"/>
                <w:color w:val="222222"/>
                <w:sz w:val="20"/>
                <w:szCs w:val="20"/>
              </w:rPr>
              <w:t xml:space="preserve">Task</w:t>
            </w:r>
          </w:p>
        </w:tc>
        <w:tc>
          <w:tcPr>
            <w:tcW w:type="dxa" w:w="6900"/>
            <w:shd w:fill="FFFFFF" w:val="clear"/>
            <w:tcMar>
              <w:top w:type="dxa" w:w="100"/>
              <w:left w:type="dxa" w:w="120"/>
              <w:bottom w:type="dxa" w:w="100"/>
              <w:right w:type="dxa" w:w="120"/>
            </w:tcMar>
          </w:tcPr>
          <w:p>
            <w:pPr>
              <w:spacing w:after="0"/>
            </w:pPr>
            <w:r>
              <w:rPr>
                <w:b w:val="false"/>
                <w:bCs w:val="false"/>
                <w:color w:val="222222"/>
                <w:sz w:val="20"/>
                <w:szCs w:val="20"/>
              </w:rPr>
              <w:t xml:space="preserve">Task 1 — AIOps lab and mystery challenge</w:t>
            </w:r>
          </w:p>
        </w:tc>
      </w:tr>
      <w:tr>
        <w:tc>
          <w:tcPr>
            <w:tcW w:type="dxa" w:w="2100"/>
            <w:shd w:fill="FFFFFF" w:val="clear"/>
            <w:tcMar>
              <w:top w:type="dxa" w:w="100"/>
              <w:left w:type="dxa" w:w="120"/>
              <w:bottom w:type="dxa" w:w="100"/>
              <w:right w:type="dxa" w:w="120"/>
            </w:tcMar>
          </w:tcPr>
          <w:p>
            <w:pPr>
              <w:spacing w:after="0"/>
            </w:pPr>
            <w:r>
              <w:rPr>
                <w:b w:val="false"/>
                <w:bCs w:val="false"/>
                <w:color w:val="222222"/>
                <w:sz w:val="20"/>
                <w:szCs w:val="20"/>
              </w:rPr>
              <w:t xml:space="preserve">Date</w:t>
            </w:r>
          </w:p>
        </w:tc>
        <w:tc>
          <w:tcPr>
            <w:tcW w:type="dxa" w:w="6900"/>
            <w:shd w:fill="FFFFFF" w:val="clear"/>
            <w:tcMar>
              <w:top w:type="dxa" w:w="100"/>
              <w:left w:type="dxa" w:w="120"/>
              <w:bottom w:type="dxa" w:w="100"/>
              <w:right w:type="dxa" w:w="120"/>
            </w:tcMar>
          </w:tcPr>
          <w:p>
            <w:pPr>
              <w:spacing w:after="0"/>
            </w:pPr>
            <w:r>
              <w:rPr>
                <w:b w:val="false"/>
                <w:bCs w:val="false"/>
                <w:color w:val="222222"/>
                <w:sz w:val="20"/>
                <w:szCs w:val="20"/>
              </w:rPr>
              <w:t xml:space="preserve">27 October 2026</w:t>
            </w:r>
          </w:p>
        </w:tc>
      </w:tr>
    </w:tbl>
    <w:p>
      <w:pPr>
        <w:spacing w:after="100" w:before="260"/>
      </w:pPr>
      <w:r>
        <w:rPr>
          <w:b/>
          <w:bCs/>
          <w:color w:val="17365D"/>
          <w:sz w:val="26"/>
          <w:szCs w:val="26"/>
        </w:rPr>
        <w:t xml:space="preserve">Executive summary</w:t>
      </w:r>
    </w:p>
    <w:p>
      <w:pPr>
        <w:spacing w:after="180"/>
      </w:pPr>
      <w:r>
        <w:rPr>
          <w:color w:val="222222"/>
          <w:sz w:val="22"/>
          <w:szCs w:val="22"/>
        </w:rPr>
        <w:t xml:space="preserve">This submission summarizes the Day 1 AIOps lab. I set up a local monitoring stack with Docker, collected application metrics with Prometheus, collected logs with Promtail and Loki, and visualized the signals in Grafana. During the mystery challenge, the injected fault was CPU consumption. The application continued returning successful HTTP 200 responses, so the availability error ratio remained at 0%.</w:t>
      </w:r>
    </w:p>
    <w:p>
      <w:pPr>
        <w:pStyle w:val="Heading1"/>
      </w:pPr>
      <w:r>
        <w:t xml:space="preserve">1. Lab architecture</w:t>
      </w:r>
    </w:p>
    <w:p>
      <w:pPr>
        <w:spacing w:after="100"/>
      </w:pPr>
      <w:r>
        <w:rPr>
          <w:color w:val="222222"/>
          <w:sz w:val="22"/>
          <w:szCs w:val="22"/>
        </w:rPr>
        <w:t xml:space="preserve">The lab uses five Docker services. Each service has a specific role in the observability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AF7" w:val="clear"/>
            <w:tcMar>
              <w:top w:type="dxa" w:w="100"/>
              <w:left w:type="dxa" w:w="120"/>
              <w:bottom w:type="dxa" w:w="100"/>
              <w:right w:type="dxa" w:w="120"/>
            </w:tcMar>
          </w:tcPr>
          <w:p>
            <w:pPr>
              <w:spacing w:after="0"/>
            </w:pPr>
            <w:r>
              <w:rPr>
                <w:b/>
                <w:bCs/>
                <w:color w:val="17365D"/>
                <w:sz w:val="20"/>
                <w:szCs w:val="20"/>
              </w:rPr>
              <w:t xml:space="preserve">Component</w:t>
            </w:r>
          </w:p>
        </w:tc>
        <w:tc>
          <w:tcPr>
            <w:tcW w:type="dxa" w:w="6500"/>
            <w:shd w:fill="D9EAF7" w:val="clear"/>
            <w:tcMar>
              <w:top w:type="dxa" w:w="100"/>
              <w:left w:type="dxa" w:w="120"/>
              <w:bottom w:type="dxa" w:w="100"/>
              <w:right w:type="dxa" w:w="120"/>
            </w:tcMar>
          </w:tcPr>
          <w:p>
            <w:pPr>
              <w:spacing w:after="0"/>
            </w:pPr>
            <w:r>
              <w:rPr>
                <w:b/>
                <w:bCs/>
                <w:color w:val="17365D"/>
                <w:sz w:val="20"/>
                <w:szCs w:val="20"/>
              </w:rPr>
              <w:t xml:space="preserve">Purpose</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Application</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Generates requests, Prometheus metrics, and JSON application logs.</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Prometheus</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Scrapes, stores, and queries numerical metrics.</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Loki</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Stores and searches application log lines.</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Promtail</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Reads application log files and sends them to Loki.</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Grafana</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Provides dashboards and Explore views for metrics and logs.</w:t>
            </w:r>
          </w:p>
        </w:tc>
      </w:tr>
      <w:tr>
        <w:tc>
          <w:tcPr>
            <w:tcW w:type="dxa" w:w="2500"/>
            <w:shd w:fill="FFFFFF" w:val="clear"/>
            <w:tcMar>
              <w:top w:type="dxa" w:w="100"/>
              <w:left w:type="dxa" w:w="120"/>
              <w:bottom w:type="dxa" w:w="100"/>
              <w:right w:type="dxa" w:w="120"/>
            </w:tcMar>
          </w:tcPr>
          <w:p>
            <w:pPr>
              <w:spacing w:after="0"/>
            </w:pPr>
            <w:r>
              <w:rPr>
                <w:b w:val="false"/>
                <w:bCs w:val="false"/>
                <w:color w:val="222222"/>
                <w:sz w:val="20"/>
                <w:szCs w:val="20"/>
              </w:rPr>
              <w:t xml:space="preserve">applogs volume</w:t>
            </w:r>
          </w:p>
        </w:tc>
        <w:tc>
          <w:tcPr>
            <w:tcW w:type="dxa" w:w="6500"/>
            <w:shd w:fill="FFFFFF" w:val="clear"/>
            <w:tcMar>
              <w:top w:type="dxa" w:w="100"/>
              <w:left w:type="dxa" w:w="120"/>
              <w:bottom w:type="dxa" w:w="100"/>
              <w:right w:type="dxa" w:w="120"/>
            </w:tcMar>
          </w:tcPr>
          <w:p>
            <w:pPr>
              <w:spacing w:after="0"/>
            </w:pPr>
            <w:r>
              <w:rPr>
                <w:b w:val="false"/>
                <w:bCs w:val="false"/>
                <w:color w:val="222222"/>
                <w:sz w:val="20"/>
                <w:szCs w:val="20"/>
              </w:rPr>
              <w:t xml:space="preserve">Shares application log files between the application and Promtail.</w:t>
            </w:r>
          </w:p>
        </w:tc>
      </w:tr>
    </w:tbl>
    <w:p>
      <w:pPr>
        <w:spacing w:after="100"/>
      </w:pPr>
      <w:r>
        <w:rPr>
          <w:color w:val="222222"/>
          <w:sz w:val="22"/>
          <w:szCs w:val="22"/>
        </w:rPr>
        <w:t xml:space="preserve">The application exposes metrics on port 8000, Prometheus on port 9090, Loki on port 3100, and Grafana on port 3000. Prometheus and Loki act as data sources for Grafana.</w:t>
      </w:r>
    </w:p>
    <w:p>
      <w:pPr>
        <w:pStyle w:val="Heading1"/>
      </w:pPr>
      <w:r>
        <w:t xml:space="preserve">2. Concepts learned</w:t>
      </w:r>
    </w:p>
    <w:p>
      <w:pPr>
        <w:pStyle w:val="ListParagraph"/>
        <w:numPr>
          <w:ilvl w:val="0"/>
          <w:numId w:val="2"/>
        </w:numPr>
        <w:spacing w:after="70"/>
      </w:pPr>
      <w:r>
        <w:rPr>
          <w:color w:val="222222"/>
          <w:sz w:val="22"/>
          <w:szCs w:val="22"/>
        </w:rPr>
        <w:t xml:space="preserve">Metrics are numerical measurements such as request rate, latency, CPU usage, and error rate.</w:t>
      </w:r>
    </w:p>
    <w:p>
      <w:pPr>
        <w:pStyle w:val="ListParagraph"/>
        <w:numPr>
          <w:ilvl w:val="0"/>
          <w:numId w:val="2"/>
        </w:numPr>
        <w:spacing w:after="70"/>
      </w:pPr>
      <w:r>
        <w:rPr>
          <w:color w:val="222222"/>
          <w:sz w:val="22"/>
          <w:szCs w:val="22"/>
        </w:rPr>
        <w:t xml:space="preserve">Logs are detailed records of events, including the endpoint, HTTP status, and request duration.</w:t>
      </w:r>
    </w:p>
    <w:p>
      <w:pPr>
        <w:pStyle w:val="ListParagraph"/>
        <w:numPr>
          <w:ilvl w:val="0"/>
          <w:numId w:val="2"/>
        </w:numPr>
        <w:spacing w:after="70"/>
      </w:pPr>
      <w:r>
        <w:rPr>
          <w:color w:val="222222"/>
          <w:sz w:val="22"/>
          <w:szCs w:val="22"/>
        </w:rPr>
        <w:t xml:space="preserve">Events and alerts indicate that something happened or may require attention.</w:t>
      </w:r>
    </w:p>
    <w:p>
      <w:pPr>
        <w:pStyle w:val="ListParagraph"/>
        <w:numPr>
          <w:ilvl w:val="0"/>
          <w:numId w:val="2"/>
        </w:numPr>
        <w:spacing w:after="70"/>
      </w:pPr>
      <w:r>
        <w:rPr>
          <w:color w:val="222222"/>
          <w:sz w:val="22"/>
          <w:szCs w:val="22"/>
        </w:rPr>
        <w:t xml:space="preserve">An incident is a problem that affects normal service operation.</w:t>
      </w:r>
    </w:p>
    <w:p>
      <w:pPr>
        <w:pStyle w:val="ListParagraph"/>
        <w:numPr>
          <w:ilvl w:val="0"/>
          <w:numId w:val="2"/>
        </w:numPr>
        <w:spacing w:after="70"/>
      </w:pPr>
      <w:r>
        <w:rPr>
          <w:color w:val="222222"/>
          <w:sz w:val="22"/>
          <w:szCs w:val="22"/>
        </w:rPr>
        <w:t xml:space="preserve">AIOps correlates different signals to help identify abnormal behavior and probable causes.</w:t>
      </w:r>
    </w:p>
    <w:p>
      <w:pPr>
        <w:pStyle w:val="ListParagraph"/>
        <w:numPr>
          <w:ilvl w:val="0"/>
          <w:numId w:val="2"/>
        </w:numPr>
        <w:spacing w:after="70"/>
      </w:pPr>
      <w:r>
        <w:rPr>
          <w:color w:val="222222"/>
          <w:sz w:val="22"/>
          <w:szCs w:val="22"/>
        </w:rPr>
        <w:t xml:space="preserve">A root cause and user impact are not always the same: a system can be under resource pressure while still serving successful requests.</w:t>
      </w:r>
    </w:p>
    <w:p>
      <w:pPr>
        <w:pStyle w:val="Heading1"/>
      </w:pPr>
      <w:r>
        <w:t xml:space="preserve">3. Prometheus investigation</w:t>
      </w:r>
    </w:p>
    <w:p>
      <w:pPr>
        <w:spacing w:after="100"/>
      </w:pPr>
      <w:r>
        <w:rPr>
          <w:color w:val="222222"/>
          <w:sz w:val="22"/>
          <w:szCs w:val="22"/>
        </w:rPr>
        <w:t xml:space="preserve">I used PromQL queries to investigate the application from four operational perspectives: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00"/>
      </w:tblGrid>
      <w:tr>
        <w:tc>
          <w:tcPr>
            <w:tcW w:type="dxa" w:w="1800"/>
            <w:shd w:fill="D9EAF7" w:val="clear"/>
            <w:tcMar>
              <w:top w:type="dxa" w:w="100"/>
              <w:left w:type="dxa" w:w="120"/>
              <w:bottom w:type="dxa" w:w="100"/>
              <w:right w:type="dxa" w:w="120"/>
            </w:tcMar>
          </w:tcPr>
          <w:p>
            <w:pPr>
              <w:spacing w:after="0"/>
            </w:pPr>
            <w:r>
              <w:rPr>
                <w:b/>
                <w:bCs/>
                <w:color w:val="17365D"/>
                <w:sz w:val="20"/>
                <w:szCs w:val="20"/>
              </w:rPr>
              <w:t xml:space="preserve">Signal</w:t>
            </w:r>
          </w:p>
        </w:tc>
        <w:tc>
          <w:tcPr>
            <w:tcW w:type="dxa" w:w="3900"/>
            <w:shd w:fill="D9EAF7" w:val="clear"/>
            <w:tcMar>
              <w:top w:type="dxa" w:w="100"/>
              <w:left w:type="dxa" w:w="120"/>
              <w:bottom w:type="dxa" w:w="100"/>
              <w:right w:type="dxa" w:w="120"/>
            </w:tcMar>
          </w:tcPr>
          <w:p>
            <w:pPr>
              <w:spacing w:after="0"/>
            </w:pPr>
            <w:r>
              <w:rPr>
                <w:b/>
                <w:bCs/>
                <w:color w:val="17365D"/>
                <w:sz w:val="20"/>
                <w:szCs w:val="20"/>
              </w:rPr>
              <w:t xml:space="preserve">PromQL purpose</w:t>
            </w:r>
          </w:p>
        </w:tc>
        <w:tc>
          <w:tcPr>
            <w:tcW w:type="dxa" w:w="3300"/>
            <w:shd w:fill="D9EAF7" w:val="clear"/>
            <w:tcMar>
              <w:top w:type="dxa" w:w="100"/>
              <w:left w:type="dxa" w:w="120"/>
              <w:bottom w:type="dxa" w:w="100"/>
              <w:right w:type="dxa" w:w="120"/>
            </w:tcMar>
          </w:tcPr>
          <w:p>
            <w:pPr>
              <w:spacing w:after="0"/>
            </w:pPr>
            <w:r>
              <w:rPr>
                <w:b/>
                <w:bCs/>
                <w:color w:val="17365D"/>
                <w:sz w:val="20"/>
                <w:szCs w:val="20"/>
              </w:rPr>
              <w:t xml:space="preserve">What it tells us</w:t>
            </w:r>
          </w:p>
        </w:tc>
      </w:tr>
      <w:tr>
        <w:tc>
          <w:tcPr>
            <w:tcW w:type="dxa" w:w="1800"/>
            <w:shd w:fill="FFFFFF" w:val="clear"/>
            <w:tcMar>
              <w:top w:type="dxa" w:w="100"/>
              <w:left w:type="dxa" w:w="120"/>
              <w:bottom w:type="dxa" w:w="100"/>
              <w:right w:type="dxa" w:w="120"/>
            </w:tcMar>
          </w:tcPr>
          <w:p>
            <w:pPr>
              <w:spacing w:after="0"/>
            </w:pPr>
            <w:r>
              <w:rPr>
                <w:b w:val="false"/>
                <w:bCs w:val="false"/>
                <w:color w:val="222222"/>
                <w:sz w:val="20"/>
                <w:szCs w:val="20"/>
              </w:rPr>
              <w:t xml:space="preserve">Request rate</w:t>
            </w:r>
          </w:p>
        </w:tc>
        <w:tc>
          <w:tcPr>
            <w:tcW w:type="dxa" w:w="3900"/>
            <w:shd w:fill="FFFFFF" w:val="clear"/>
            <w:tcMar>
              <w:top w:type="dxa" w:w="100"/>
              <w:left w:type="dxa" w:w="120"/>
              <w:bottom w:type="dxa" w:w="100"/>
              <w:right w:type="dxa" w:w="120"/>
            </w:tcMar>
          </w:tcPr>
          <w:p>
            <w:pPr>
              <w:spacing w:after="0"/>
            </w:pPr>
            <w:r>
              <w:rPr>
                <w:b w:val="false"/>
                <w:bCs w:val="false"/>
                <w:color w:val="222222"/>
                <w:sz w:val="20"/>
                <w:szCs w:val="20"/>
              </w:rPr>
              <w:t xml:space="preserve">Measures the rate of /work requests.</w:t>
            </w:r>
          </w:p>
        </w:tc>
        <w:tc>
          <w:tcPr>
            <w:tcW w:type="dxa" w:w="3300"/>
            <w:shd w:fill="FFFFFF" w:val="clear"/>
            <w:tcMar>
              <w:top w:type="dxa" w:w="100"/>
              <w:left w:type="dxa" w:w="120"/>
              <w:bottom w:type="dxa" w:w="100"/>
              <w:right w:type="dxa" w:w="120"/>
            </w:tcMar>
          </w:tcPr>
          <w:p>
            <w:pPr>
              <w:spacing w:after="0"/>
            </w:pPr>
            <w:r>
              <w:rPr>
                <w:b w:val="false"/>
                <w:bCs w:val="false"/>
                <w:color w:val="222222"/>
                <w:sz w:val="20"/>
                <w:szCs w:val="20"/>
              </w:rPr>
              <w:t xml:space="preserve">Whether traffic is reaching the application.</w:t>
            </w:r>
          </w:p>
        </w:tc>
      </w:tr>
      <w:tr>
        <w:tc>
          <w:tcPr>
            <w:tcW w:type="dxa" w:w="1800"/>
            <w:shd w:fill="FFFFFF" w:val="clear"/>
            <w:tcMar>
              <w:top w:type="dxa" w:w="100"/>
              <w:left w:type="dxa" w:w="120"/>
              <w:bottom w:type="dxa" w:w="100"/>
              <w:right w:type="dxa" w:w="120"/>
            </w:tcMar>
          </w:tcPr>
          <w:p>
            <w:pPr>
              <w:spacing w:after="0"/>
            </w:pPr>
            <w:r>
              <w:rPr>
                <w:b w:val="false"/>
                <w:bCs w:val="false"/>
                <w:color w:val="222222"/>
                <w:sz w:val="20"/>
                <w:szCs w:val="20"/>
              </w:rPr>
              <w:t xml:space="preserve">P95 latency</w:t>
            </w:r>
          </w:p>
        </w:tc>
        <w:tc>
          <w:tcPr>
            <w:tcW w:type="dxa" w:w="3900"/>
            <w:shd w:fill="FFFFFF" w:val="clear"/>
            <w:tcMar>
              <w:top w:type="dxa" w:w="100"/>
              <w:left w:type="dxa" w:w="120"/>
              <w:bottom w:type="dxa" w:w="100"/>
              <w:right w:type="dxa" w:w="120"/>
            </w:tcMar>
          </w:tcPr>
          <w:p>
            <w:pPr>
              <w:spacing w:after="0"/>
            </w:pPr>
            <w:r>
              <w:rPr>
                <w:b w:val="false"/>
                <w:bCs w:val="false"/>
                <w:color w:val="222222"/>
                <w:sz w:val="20"/>
                <w:szCs w:val="20"/>
              </w:rPr>
              <w:t xml:space="preserve">Calculates the 95th percentile response time.</w:t>
            </w:r>
          </w:p>
        </w:tc>
        <w:tc>
          <w:tcPr>
            <w:tcW w:type="dxa" w:w="3300"/>
            <w:shd w:fill="FFFFFF" w:val="clear"/>
            <w:tcMar>
              <w:top w:type="dxa" w:w="100"/>
              <w:left w:type="dxa" w:w="120"/>
              <w:bottom w:type="dxa" w:w="100"/>
              <w:right w:type="dxa" w:w="120"/>
            </w:tcMar>
          </w:tcPr>
          <w:p>
            <w:pPr>
              <w:spacing w:after="0"/>
            </w:pPr>
            <w:r>
              <w:rPr>
                <w:b w:val="false"/>
                <w:bCs w:val="false"/>
                <w:color w:val="222222"/>
                <w:sz w:val="20"/>
                <w:szCs w:val="20"/>
              </w:rPr>
              <w:t xml:space="preserve">How slow the slower 5% of requests are.</w:t>
            </w:r>
          </w:p>
        </w:tc>
      </w:tr>
      <w:tr>
        <w:tc>
          <w:tcPr>
            <w:tcW w:type="dxa" w:w="1800"/>
            <w:shd w:fill="FFFFFF" w:val="clear"/>
            <w:tcMar>
              <w:top w:type="dxa" w:w="100"/>
              <w:left w:type="dxa" w:w="120"/>
              <w:bottom w:type="dxa" w:w="100"/>
              <w:right w:type="dxa" w:w="120"/>
            </w:tcMar>
          </w:tcPr>
          <w:p>
            <w:pPr>
              <w:spacing w:after="0"/>
            </w:pPr>
            <w:r>
              <w:rPr>
                <w:b w:val="false"/>
                <w:bCs w:val="false"/>
                <w:color w:val="222222"/>
                <w:sz w:val="20"/>
                <w:szCs w:val="20"/>
              </w:rPr>
              <w:t xml:space="preserve">CPU usage</w:t>
            </w:r>
          </w:p>
        </w:tc>
        <w:tc>
          <w:tcPr>
            <w:tcW w:type="dxa" w:w="3900"/>
            <w:shd w:fill="FFFFFF" w:val="clear"/>
            <w:tcMar>
              <w:top w:type="dxa" w:w="100"/>
              <w:left w:type="dxa" w:w="120"/>
              <w:bottom w:type="dxa" w:w="100"/>
              <w:right w:type="dxa" w:w="120"/>
            </w:tcMar>
          </w:tcPr>
          <w:p>
            <w:pPr>
              <w:spacing w:after="0"/>
            </w:pPr>
            <w:r>
              <w:rPr>
                <w:b w:val="false"/>
                <w:bCs w:val="false"/>
                <w:color w:val="222222"/>
                <w:sz w:val="20"/>
                <w:szCs w:val="20"/>
              </w:rPr>
              <w:t xml:space="preserve">Measures process CPU time rate.</w:t>
            </w:r>
          </w:p>
        </w:tc>
        <w:tc>
          <w:tcPr>
            <w:tcW w:type="dxa" w:w="3300"/>
            <w:shd w:fill="FFFFFF" w:val="clear"/>
            <w:tcMar>
              <w:top w:type="dxa" w:w="100"/>
              <w:left w:type="dxa" w:w="120"/>
              <w:bottom w:type="dxa" w:w="100"/>
              <w:right w:type="dxa" w:w="120"/>
            </w:tcMar>
          </w:tcPr>
          <w:p>
            <w:pPr>
              <w:spacing w:after="0"/>
            </w:pPr>
            <w:r>
              <w:rPr>
                <w:b w:val="false"/>
                <w:bCs w:val="false"/>
                <w:color w:val="222222"/>
                <w:sz w:val="20"/>
                <w:szCs w:val="20"/>
              </w:rPr>
              <w:t xml:space="preserve">Whether the application is consuming unusual CPU.</w:t>
            </w:r>
          </w:p>
        </w:tc>
      </w:tr>
      <w:tr>
        <w:tc>
          <w:tcPr>
            <w:tcW w:type="dxa" w:w="1800"/>
            <w:shd w:fill="FFFFFF" w:val="clear"/>
            <w:tcMar>
              <w:top w:type="dxa" w:w="100"/>
              <w:left w:type="dxa" w:w="120"/>
              <w:bottom w:type="dxa" w:w="100"/>
              <w:right w:type="dxa" w:w="120"/>
            </w:tcMar>
          </w:tcPr>
          <w:p>
            <w:pPr>
              <w:spacing w:after="0"/>
            </w:pPr>
            <w:r>
              <w:rPr>
                <w:b w:val="false"/>
                <w:bCs w:val="false"/>
                <w:color w:val="222222"/>
                <w:sz w:val="20"/>
                <w:szCs w:val="20"/>
              </w:rPr>
              <w:t xml:space="preserve">Error ratio</w:t>
            </w:r>
          </w:p>
        </w:tc>
        <w:tc>
          <w:tcPr>
            <w:tcW w:type="dxa" w:w="3900"/>
            <w:shd w:fill="FFFFFF" w:val="clear"/>
            <w:tcMar>
              <w:top w:type="dxa" w:w="100"/>
              <w:left w:type="dxa" w:w="120"/>
              <w:bottom w:type="dxa" w:w="100"/>
              <w:right w:type="dxa" w:w="120"/>
            </w:tcMar>
          </w:tcPr>
          <w:p>
            <w:pPr>
              <w:spacing w:after="0"/>
            </w:pPr>
            <w:r>
              <w:rPr>
                <w:b w:val="false"/>
                <w:bCs w:val="false"/>
                <w:color w:val="222222"/>
                <w:sz w:val="20"/>
                <w:szCs w:val="20"/>
              </w:rPr>
              <w:t xml:space="preserve">Divides 5xx request rate by total request rate.</w:t>
            </w:r>
          </w:p>
        </w:tc>
        <w:tc>
          <w:tcPr>
            <w:tcW w:type="dxa" w:w="3300"/>
            <w:shd w:fill="FFFFFF" w:val="clear"/>
            <w:tcMar>
              <w:top w:type="dxa" w:w="100"/>
              <w:left w:type="dxa" w:w="120"/>
              <w:bottom w:type="dxa" w:w="100"/>
              <w:right w:type="dxa" w:w="120"/>
            </w:tcMar>
          </w:tcPr>
          <w:p>
            <w:pPr>
              <w:spacing w:after="0"/>
            </w:pPr>
            <w:r>
              <w:rPr>
                <w:b w:val="false"/>
                <w:bCs w:val="false"/>
                <w:color w:val="222222"/>
                <w:sz w:val="20"/>
                <w:szCs w:val="20"/>
              </w:rPr>
              <w:t xml:space="preserve">Whether requests are failing.</w:t>
            </w:r>
          </w:p>
        </w:tc>
      </w:tr>
    </w:tbl>
    <w:p>
      <w:pPr>
        <w:spacing w:after="100"/>
      </w:pPr>
      <w:r>
        <w:rPr>
          <w:color w:val="222222"/>
          <w:sz w:val="22"/>
          <w:szCs w:val="22"/>
        </w:rPr>
        <w:t xml:space="preserve">P95 latency means that approximately 95% of requests completed within the reported value, while approximately 5% took longer. The dashboard reported approximately 0.095 seconds, or 95 milliseconds.</w:t>
      </w:r>
    </w:p>
    <w:p>
      <w:pPr>
        <w:pStyle w:val="Heading1"/>
      </w:pPr>
      <w:r>
        <w:t xml:space="preserve">4. Loki investigation</w:t>
      </w:r>
    </w:p>
    <w:p>
      <w:pPr>
        <w:spacing w:after="100"/>
      </w:pPr>
      <w:r>
        <w:rPr>
          <w:color w:val="222222"/>
          <w:sz w:val="22"/>
          <w:szCs w:val="22"/>
        </w:rPr>
        <w:t xml:space="preserve">I used LogQL to search application logs. The label selector below returns logs shipped by Promtail for the application job:</w:t>
      </w:r>
    </w:p>
    <w:p>
      <w:pPr>
        <w:shd w:fill="F1F3F5" w:val="clear"/>
        <w:spacing w:after="120" w:before="60"/>
        <w:ind w:left="240" w:right="240"/>
      </w:pPr>
      <w:r>
        <w:rPr>
          <w:rFonts w:ascii="Courier New" w:cs="Courier New" w:eastAsia="Courier New" w:hAnsi="Courier New"/>
          <w:color w:val="222222"/>
          <w:sz w:val="19"/>
          <w:szCs w:val="19"/>
        </w:rPr>
        <w:t xml:space="preserve">{job="app"}</w:t>
      </w:r>
    </w:p>
    <w:p>
      <w:pPr>
        <w:spacing w:after="100"/>
      </w:pPr>
      <w:r>
        <w:rPr>
          <w:color w:val="222222"/>
          <w:sz w:val="22"/>
          <w:szCs w:val="22"/>
        </w:rPr>
        <w:t xml:space="preserve">JSON parsing allows fields to be filtered. The following query searches for requests slower than 100 milliseconds:</w:t>
      </w:r>
    </w:p>
    <w:p>
      <w:pPr>
        <w:shd w:fill="F1F3F5" w:val="clear"/>
        <w:spacing w:after="120" w:before="60"/>
        <w:ind w:left="240" w:right="240"/>
      </w:pPr>
      <w:r>
        <w:rPr>
          <w:rFonts w:ascii="Courier New" w:cs="Courier New" w:eastAsia="Courier New" w:hAnsi="Courier New"/>
          <w:color w:val="222222"/>
          <w:sz w:val="19"/>
          <w:szCs w:val="19"/>
        </w:rPr>
        <w:t xml:space="preserve">{job="app"} | json | duration_ms &gt; 100</w:t>
      </w:r>
    </w:p>
    <w:p>
      <w:pPr>
        <w:spacing w:after="100"/>
      </w:pPr>
      <w:r>
        <w:rPr>
          <w:color w:val="222222"/>
          <w:sz w:val="22"/>
          <w:szCs w:val="22"/>
        </w:rPr>
        <w:t xml:space="preserve">Logs provided request-level evidence, including endpoint, status, and duration. Metrics showed the overall pattern; logs helped confirm what happened to individual requests.</w:t>
      </w:r>
    </w:p>
    <w:p>
      <w:pPr>
        <w:pStyle w:val="Heading1"/>
      </w:pPr>
      <w:r>
        <w:t xml:space="preserve">5. Grafana dashboard</w:t>
      </w:r>
    </w:p>
    <w:p>
      <w:pPr>
        <w:spacing w:after="100"/>
      </w:pPr>
      <w:r>
        <w:rPr>
          <w:color w:val="222222"/>
          <w:sz w:val="22"/>
          <w:szCs w:val="22"/>
        </w:rPr>
        <w:t xml:space="preserve">I created a dashboard with four live-updating time-series panels:</w:t>
      </w:r>
    </w:p>
    <w:p>
      <w:pPr>
        <w:pStyle w:val="ListParagraph"/>
        <w:numPr>
          <w:ilvl w:val="0"/>
          <w:numId w:val="2"/>
        </w:numPr>
        <w:spacing w:after="70"/>
      </w:pPr>
      <w:r>
        <w:rPr>
          <w:color w:val="222222"/>
          <w:sz w:val="22"/>
          <w:szCs w:val="22"/>
        </w:rPr>
        <w:t xml:space="preserve">Request Rate — approximately 3.6 requests per second during the observed traffic period.</w:t>
      </w:r>
    </w:p>
    <w:p>
      <w:pPr>
        <w:pStyle w:val="ListParagraph"/>
        <w:numPr>
          <w:ilvl w:val="0"/>
          <w:numId w:val="2"/>
        </w:numPr>
        <w:spacing w:after="70"/>
      </w:pPr>
      <w:r>
        <w:rPr>
          <w:color w:val="222222"/>
          <w:sz w:val="22"/>
          <w:szCs w:val="22"/>
        </w:rPr>
        <w:t xml:space="preserve">P95 Latency — approximately 0.095 seconds, or 95 milliseconds.</w:t>
      </w:r>
    </w:p>
    <w:p>
      <w:pPr>
        <w:pStyle w:val="ListParagraph"/>
        <w:numPr>
          <w:ilvl w:val="0"/>
          <w:numId w:val="2"/>
        </w:numPr>
        <w:spacing w:after="70"/>
      </w:pPr>
      <w:r>
        <w:rPr>
          <w:color w:val="222222"/>
          <w:sz w:val="22"/>
          <w:szCs w:val="22"/>
        </w:rPr>
        <w:t xml:space="preserve">CPU Usage — approximately 0.75 CPU cores during the fault observation.</w:t>
      </w:r>
    </w:p>
    <w:p>
      <w:pPr>
        <w:pStyle w:val="ListParagraph"/>
        <w:numPr>
          <w:ilvl w:val="0"/>
          <w:numId w:val="2"/>
        </w:numPr>
        <w:spacing w:after="70"/>
      </w:pPr>
      <w:r>
        <w:rPr>
          <w:color w:val="222222"/>
          <w:sz w:val="22"/>
          <w:szCs w:val="22"/>
        </w:rPr>
        <w:t xml:space="preserve">Error Ratio — 0%, indicating no observed 5xx responses in the captured period.</w:t>
      </w:r>
    </w:p>
    <w:p>
      <w:pPr>
        <w:spacing w:after="100"/>
      </w:pPr>
      <w:r>
        <w:rPr>
          <w:color w:val="222222"/>
          <w:sz w:val="22"/>
          <w:szCs w:val="22"/>
        </w:rPr>
        <w:t xml:space="preserve">The dashboard used a 15-minute time range and a 5-second refresh interval so that changes could be observed during the challenge.</w:t>
      </w:r>
    </w:p>
    <w:p>
      <w:pPr>
        <w:pStyle w:val="Heading1"/>
      </w:pPr>
      <w:r>
        <w:t xml:space="preserve">6. Mystery challenge diagnosis</w:t>
      </w:r>
    </w:p>
    <w:p>
      <w:pPr>
        <w:spacing w:after="100"/>
      </w:pPr>
      <w:r>
        <w:rPr>
          <w:color w:val="222222"/>
          <w:sz w:val="22"/>
          <w:szCs w:val="22"/>
        </w:rPr>
        <w:t xml:space="preserve">The mystery challenge injected a random fault into the local application. The diagnosis was made by comparing the dashboard signals with the normal baseline and checking application 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9EAF7" w:val="clear"/>
            <w:tcMar>
              <w:top w:type="dxa" w:w="100"/>
              <w:left w:type="dxa" w:w="120"/>
              <w:bottom w:type="dxa" w:w="100"/>
              <w:right w:type="dxa" w:w="120"/>
            </w:tcMar>
          </w:tcPr>
          <w:p>
            <w:pPr>
              <w:spacing w:after="0"/>
            </w:pPr>
            <w:r>
              <w:rPr>
                <w:b/>
                <w:bCs/>
                <w:color w:val="17365D"/>
                <w:sz w:val="20"/>
                <w:szCs w:val="20"/>
              </w:rPr>
              <w:t xml:space="preserve">Question</w:t>
            </w:r>
          </w:p>
        </w:tc>
        <w:tc>
          <w:tcPr>
            <w:tcW w:type="dxa" w:w="6300"/>
            <w:shd w:fill="D9EAF7" w:val="clear"/>
            <w:tcMar>
              <w:top w:type="dxa" w:w="100"/>
              <w:left w:type="dxa" w:w="120"/>
              <w:bottom w:type="dxa" w:w="100"/>
              <w:right w:type="dxa" w:w="120"/>
            </w:tcMar>
          </w:tcPr>
          <w:p>
            <w:pPr>
              <w:spacing w:after="0"/>
            </w:pPr>
            <w:r>
              <w:rPr>
                <w:b/>
                <w:bCs/>
                <w:color w:val="17365D"/>
                <w:sz w:val="20"/>
                <w:szCs w:val="20"/>
              </w:rPr>
              <w:t xml:space="preserve">Finding</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Changed signal</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CPU usage increased to approximately 0.75 CPU cores.</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Log evidence</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The application continued to record successful /work requests with HTTP status 200.</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Diagnosis</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Excessive CPU consumption was the most likely cause.</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Actual challenge result</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The generated diagnosis file confirmed actual_fault: cpu.</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Availability SLO impact</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No availability error-budget burn was observed because the error ratio was 0%.</w:t>
            </w:r>
          </w:p>
        </w:tc>
      </w:tr>
      <w:tr>
        <w:tc>
          <w:tcPr>
            <w:tcW w:type="dxa" w:w="2700"/>
            <w:shd w:fill="FFFFFF" w:val="clear"/>
            <w:tcMar>
              <w:top w:type="dxa" w:w="100"/>
              <w:left w:type="dxa" w:w="120"/>
              <w:bottom w:type="dxa" w:w="100"/>
              <w:right w:type="dxa" w:w="120"/>
            </w:tcMar>
          </w:tcPr>
          <w:p>
            <w:pPr>
              <w:spacing w:after="0"/>
            </w:pPr>
            <w:r>
              <w:rPr>
                <w:b w:val="false"/>
                <w:bCs w:val="false"/>
                <w:color w:val="222222"/>
                <w:sz w:val="20"/>
                <w:szCs w:val="20"/>
              </w:rPr>
              <w:t xml:space="preserve">Latency SLO impact</w:t>
            </w:r>
          </w:p>
        </w:tc>
        <w:tc>
          <w:tcPr>
            <w:tcW w:type="dxa" w:w="6300"/>
            <w:shd w:fill="FFFFFF" w:val="clear"/>
            <w:tcMar>
              <w:top w:type="dxa" w:w="100"/>
              <w:left w:type="dxa" w:w="120"/>
              <w:bottom w:type="dxa" w:w="100"/>
              <w:right w:type="dxa" w:w="120"/>
            </w:tcMar>
          </w:tcPr>
          <w:p>
            <w:pPr>
              <w:spacing w:after="0"/>
            </w:pPr>
            <w:r>
              <w:rPr>
                <w:b w:val="false"/>
                <w:bCs w:val="false"/>
                <w:color w:val="222222"/>
                <w:sz w:val="20"/>
                <w:szCs w:val="20"/>
              </w:rPr>
              <w:t xml:space="preserve">Requires comparison of the observed 95 ms P95 latency with the defined latency SLO threshold.</w:t>
            </w:r>
          </w:p>
        </w:tc>
      </w:tr>
    </w:tbl>
    <w:p>
      <w:pPr>
        <w:spacing w:after="100"/>
      </w:pPr>
      <w:r>
        <w:rPr>
          <w:color w:val="222222"/>
          <w:sz w:val="22"/>
          <w:szCs w:val="22"/>
        </w:rPr>
        <w:t xml:space="preserve">The challenge result matched the diagnosis. This demonstrated that CPU pressure can be detected before it causes request failures or a visible increase in the error ratio.</w:t>
      </w:r>
    </w:p>
    <w:p>
      <w:pPr>
        <w:pStyle w:val="Heading1"/>
      </w:pPr>
      <w:r>
        <w:t xml:space="preserve">7. Key learnings</w:t>
      </w:r>
    </w:p>
    <w:p>
      <w:pPr>
        <w:pStyle w:val="ListParagraph"/>
        <w:numPr>
          <w:ilvl w:val="0"/>
          <w:numId w:val="2"/>
        </w:numPr>
        <w:spacing w:after="70"/>
      </w:pPr>
      <w:r>
        <w:rPr>
          <w:color w:val="222222"/>
          <w:sz w:val="22"/>
          <w:szCs w:val="22"/>
        </w:rPr>
        <w:t xml:space="preserve">Always compare current values with a known normal baseline.</w:t>
      </w:r>
    </w:p>
    <w:p>
      <w:pPr>
        <w:pStyle w:val="ListParagraph"/>
        <w:numPr>
          <w:ilvl w:val="0"/>
          <w:numId w:val="2"/>
        </w:numPr>
        <w:spacing w:after="70"/>
      </w:pPr>
      <w:r>
        <w:rPr>
          <w:color w:val="222222"/>
          <w:sz w:val="22"/>
          <w:szCs w:val="22"/>
        </w:rPr>
        <w:t xml:space="preserve">Do not diagnose an incident from a single metric.</w:t>
      </w:r>
    </w:p>
    <w:p>
      <w:pPr>
        <w:pStyle w:val="ListParagraph"/>
        <w:numPr>
          <w:ilvl w:val="0"/>
          <w:numId w:val="2"/>
        </w:numPr>
        <w:spacing w:after="70"/>
      </w:pPr>
      <w:r>
        <w:rPr>
          <w:color w:val="222222"/>
          <w:sz w:val="22"/>
          <w:szCs w:val="22"/>
        </w:rPr>
        <w:t xml:space="preserve">Use metrics to identify the abnormal signal and logs to confirm request-level behavior.</w:t>
      </w:r>
    </w:p>
    <w:p>
      <w:pPr>
        <w:pStyle w:val="ListParagraph"/>
        <w:numPr>
          <w:ilvl w:val="0"/>
          <w:numId w:val="2"/>
        </w:numPr>
        <w:spacing w:after="70"/>
      </w:pPr>
      <w:r>
        <w:rPr>
          <w:color w:val="222222"/>
          <w:sz w:val="22"/>
          <w:szCs w:val="22"/>
        </w:rPr>
        <w:t xml:space="preserve">A high CPU metric does not automatically mean that users are receiving errors.</w:t>
      </w:r>
    </w:p>
    <w:p>
      <w:pPr>
        <w:pStyle w:val="ListParagraph"/>
        <w:numPr>
          <w:ilvl w:val="0"/>
          <w:numId w:val="2"/>
        </w:numPr>
        <w:spacing w:after="70"/>
      </w:pPr>
      <w:r>
        <w:rPr>
          <w:color w:val="222222"/>
          <w:sz w:val="22"/>
          <w:szCs w:val="22"/>
        </w:rPr>
        <w:t xml:space="preserve">P95 latency represents the experience of the slower 5% of requests, not the average request.</w:t>
      </w:r>
    </w:p>
    <w:p>
      <w:pPr>
        <w:pStyle w:val="ListParagraph"/>
        <w:numPr>
          <w:ilvl w:val="0"/>
          <w:numId w:val="2"/>
        </w:numPr>
        <w:spacing w:after="70"/>
      </w:pPr>
      <w:r>
        <w:rPr>
          <w:color w:val="222222"/>
          <w:sz w:val="22"/>
          <w:szCs w:val="22"/>
        </w:rPr>
        <w:t xml:space="preserve">Error budgets are consumed when an SLO is violated; CPU usage by itself is not an error-budget violation.</w:t>
      </w:r>
    </w:p>
    <w:p>
      <w:pPr>
        <w:pStyle w:val="ListParagraph"/>
        <w:numPr>
          <w:ilvl w:val="0"/>
          <w:numId w:val="2"/>
        </w:numPr>
        <w:spacing w:after="70"/>
      </w:pPr>
      <w:r>
        <w:rPr>
          <w:color w:val="222222"/>
          <w:sz w:val="22"/>
          <w:szCs w:val="22"/>
        </w:rPr>
        <w:t xml:space="preserve">A strong incident diagnosis must connect an observation, evidence, a probable cause, and an SLO impact.</w:t>
      </w:r>
    </w:p>
    <w:p>
      <w:pPr>
        <w:pStyle w:val="Heading1"/>
      </w:pPr>
      <w:r>
        <w:t xml:space="preserve">8. Conclusion</w:t>
      </w:r>
    </w:p>
    <w:p>
      <w:pPr>
        <w:spacing w:after="100"/>
      </w:pPr>
      <w:r>
        <w:rPr>
          <w:color w:val="222222"/>
          <w:sz w:val="22"/>
          <w:szCs w:val="22"/>
        </w:rPr>
        <w:t xml:space="preserve">Day 1 established the foundation for AIOps operations: collect telemetry, visualize it, identify abnormal signals, correlate metrics and logs, and communicate a diagnosis supported by evidence. The mystery challenge showed how an observability stack can reveal an internal resource problem even when the application is still returning successful responses.</w:t>
      </w:r>
    </w:p>
    <w:sectPr>
      <w:footerReference w:type="default" r:id="rId6"/>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2026-10-27T10:19:09.406Z</dcterms:created>
  <dcterms:modified xsi:type="dcterms:W3CDTF">2026-10-27T10:19:09.406Z</dcterms:modified>
</cp:coreProperties>
</file>

<file path=docProps/custom.xml><?xml version="1.0" encoding="utf-8"?>
<Properties xmlns="http://schemas.openxmlformats.org/officeDocument/2006/custom-properties" xmlns:vt="http://schemas.openxmlformats.org/officeDocument/2006/docPropsVTypes"/>
</file>