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a">
      <w:pPr>
        <w:rPr/>
        <w:jc w:val="center"/>
      </w:pPr>
      <w:r>
        <w:rPr>
          <w:sz w:val="56"/>
          <w:szCs w:val="56"/>
          <w:b/>
          <w:bCs/>
        </w:rPr>
        <w:t xml:space="preserve">Complex Document Test</w:t>
      </w:r>
    </w:p>
    <w:p w14:paraId="0000000b">
      <w:pPr>
        <w:rPr/>
        <w:jc w:val="center"/>
      </w:pPr>
      <w:r>
        <w:rPr>
          <w:sz w:val="28"/>
          <w:szCs w:val="28"/>
          <w:i/>
          <w:iCs/>
        </w:rPr>
        <w:t xml:space="preserve">A comprehensive test of document features</w:t>
      </w:r>
    </w:p>
    <w:p w14:paraId="0000000c">
      <w:pPr>
        <w:rPr/>
      </w:pPr>
    </w:p>
    <w:p w14:paraId="0000000d">
      <w:pPr>
        <w:rPr/>
      </w:pPr>
      <w:r>
        <w:rPr>
          <w:sz w:val="32"/>
          <w:szCs w:val="32"/>
          <w:b/>
          <w:bCs/>
        </w:rPr>
        <w:t xml:space="preserve">1. Introduction</w:t>
      </w:r>
    </w:p>
    <w:p w14:paraId="0000000e">
      <w:pPr>
        <w:rPr/>
      </w:pPr>
      <w:r>
        <w:rPr/>
        <w:t xml:space="preserve">This document tests various formatting features including text styles, colors, tables, and paragraph formatting. It serves as a comprehensive test fixture for the office-to-png conversion library.</w:t>
      </w:r>
    </w:p>
    <w:p w14:paraId="0000000f">
      <w:pPr>
        <w:rPr/>
      </w:pPr>
      <w:r>
        <w:rPr>
          <w:sz w:val="32"/>
          <w:szCs w:val="32"/>
          <w:b/>
          <w:bCs/>
        </w:rPr>
        <w:t xml:space="preserve">2. Text Formatting</w:t>
      </w:r>
    </w:p>
    <w:p w14:paraId="00000010">
      <w:pPr>
        <w:rPr/>
      </w:pPr>
      <w:r>
        <w:rPr/>
        <w:t xml:space="preserve">Key features: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u w:val="single"/>
        </w:rPr>
        <w:t xml:space="preserve">underline</w:t>
      </w:r>
      <w:r>
        <w:rPr/>
        <w:t xml:space="preserve">, </w:t>
      </w:r>
      <w:r>
        <w:rPr>
          <w:color w:val="0066CC"/>
        </w:rPr>
        <w:t xml:space="preserve">colors</w:t>
      </w:r>
      <w:r>
        <w:rPr/>
        <w:t xml:space="preserve">, and </w:t>
      </w:r>
      <w:r>
        <w:rPr>
          <w:highlight w:val="yellow"/>
        </w:rPr>
        <w:t xml:space="preserve">highlighting</w:t>
      </w:r>
      <w:r>
        <w:rPr/>
        <w:t xml:space="preserve">.</w:t>
      </w:r>
    </w:p>
    <w:p w14:paraId="00000011">
      <w:pPr>
        <w:rPr/>
      </w:pPr>
      <w:r>
        <w:rPr>
          <w:sz w:val="32"/>
          <w:szCs w:val="32"/>
          <w:b/>
          <w:bCs/>
        </w:rPr>
        <w:t xml:space="preserve">3. Tables</w:t>
      </w:r>
    </w:p>
    <w:p w14:paraId="00000012">
      <w:pPr>
        <w:rPr/>
      </w:pPr>
      <w:r>
        <w:rPr/>
        <w:t xml:space="preserve">Sample data table: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>
        <w:gridCol w:w="3000" w:type="dxa"/>
        <w:gridCol w:w="1500" w:type="dxa"/>
        <w:gridCol w:w="1500" w:type="dxa"/>
      </w:tblGrid>
      <w:tr>
        <w:trPr/>
        <w:tc>
          <w:tcPr/>
          <w:p w14:paraId="00000001">
            <w:pPr>
              <w:rPr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 w14:paraId="00000002">
            <w:pPr>
              <w:rPr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 w14:paraId="00000003">
            <w:pPr>
              <w:rPr/>
            </w:pPr>
            <w:r>
              <w:rPr>
                <w:b/>
                <w:bCs/>
              </w:rPr>
              <w:t xml:space="preserve">Price</w:t>
            </w:r>
          </w:p>
        </w:tc>
      </w:tr>
      <w:tr>
        <w:trPr/>
        <w:tc>
          <w:tcPr/>
          <w:p w14:paraId="00000004">
            <w:pPr>
              <w:rPr/>
            </w:pPr>
            <w:r>
              <w:rPr/>
              <w:t xml:space="preserve">Widget A</w:t>
            </w:r>
          </w:p>
        </w:tc>
        <w:tc>
          <w:tcPr/>
          <w:p w14:paraId="00000005">
            <w:pPr>
              <w:rPr/>
            </w:pPr>
            <w:r>
              <w:rPr/>
              <w:t xml:space="preserve">10</w:t>
            </w:r>
          </w:p>
        </w:tc>
        <w:tc>
          <w:tcPr/>
          <w:p w14:paraId="00000006">
            <w:pPr>
              <w:rPr/>
            </w:pPr>
            <w:r>
              <w:rPr/>
              <w:t xml:space="preserve">$5.00</w:t>
            </w:r>
          </w:p>
        </w:tc>
      </w:tr>
      <w:tr>
        <w:trPr/>
        <w:tc>
          <w:tcPr/>
          <w:p w14:paraId="00000007">
            <w:pPr>
              <w:rPr/>
            </w:pPr>
            <w:r>
              <w:rPr/>
              <w:t xml:space="preserve">Widget B</w:t>
            </w:r>
          </w:p>
        </w:tc>
        <w:tc>
          <w:tcPr/>
          <w:p w14:paraId="00000008">
            <w:pPr>
              <w:rPr/>
            </w:pPr>
            <w:r>
              <w:rPr/>
              <w:t xml:space="preserve">25</w:t>
            </w:r>
          </w:p>
        </w:tc>
        <w:tc>
          <w:tcPr/>
          <w:p w14:paraId="00000009">
            <w:pPr>
              <w:rPr/>
            </w:pPr>
            <w:r>
              <w:rPr/>
              <w:t xml:space="preserve">$3.50</w:t>
            </w:r>
          </w:p>
        </w:tc>
      </w:tr>
    </w:tbl>
    <w:p w14:paraId="00000013">
      <w:pPr>
        <w:rPr/>
      </w:pPr>
    </w:p>
    <w:p w14:paraId="00000014">
      <w:pPr>
        <w:rPr/>
      </w:pPr>
      <w:r>
        <w:rPr>
          <w:sz w:val="32"/>
          <w:szCs w:val="32"/>
          <w:b/>
          <w:bCs/>
        </w:rPr>
        <w:t xml:space="preserve">4. Conclusion</w:t>
      </w:r>
    </w:p>
    <w:p w14:paraId="00000015">
      <w:pPr>
        <w:rPr/>
        <w:jc w:val="both"/>
      </w:pPr>
      <w:r>
        <w:rPr/>
        <w:t xml:space="preserve">This document demonstrates that the conversion library can handle a variety of common document elements.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