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dgm="http://schemas.openxmlformats.org/drawingml/2006/diagram" xmlns:pic="http://schemas.openxmlformats.org/drawingml/2006/picture" xmlns:a14="http://schemas.microsoft.com/office/drawing/2010/main" mc:Ignorable="w14 w15 w16se wp14">
  <w:body>
    <w:p xmlns:wp14="http://schemas.microsoft.com/office/word/2010/wordml" w:rsidRPr="00C658DB" w:rsidR="00E36C23" w:rsidP="002D1D9D" w:rsidRDefault="00B61398" w14:paraId="272CBC70" wp14:textId="77777777">
      <w:pPr>
        <w:jc w:val="both"/>
        <w:rPr>
          <w:b/>
          <w:sz w:val="40"/>
        </w:rPr>
      </w:pPr>
      <w:r w:rsidRPr="00B61398">
        <w:rPr>
          <w:sz w:val="36"/>
        </w:rPr>
        <w:t xml:space="preserve">                                     </w:t>
      </w:r>
      <w:r w:rsidRPr="00C658DB">
        <w:rPr>
          <w:b/>
          <w:sz w:val="40"/>
        </w:rPr>
        <w:t>Financial Modelling</w:t>
      </w:r>
    </w:p>
    <w:p xmlns:wp14="http://schemas.microsoft.com/office/word/2010/wordml" w:rsidR="00B61398" w:rsidP="002D1D9D" w:rsidRDefault="00B61398" w14:paraId="672A6659" wp14:textId="77777777">
      <w:pPr>
        <w:jc w:val="both"/>
        <w:rPr>
          <w:sz w:val="40"/>
        </w:rPr>
      </w:pPr>
    </w:p>
    <w:p xmlns:wp14="http://schemas.microsoft.com/office/word/2010/wordml" w:rsidR="00B61398" w:rsidP="60A80FC6" w:rsidRDefault="00B61398" w14:paraId="10ABA0BB" wp14:textId="067C6FBD">
      <w:pPr>
        <w:jc w:val="both"/>
        <w:rPr>
          <w:b w:val="1"/>
          <w:bCs w:val="1"/>
          <w:sz w:val="32"/>
          <w:szCs w:val="32"/>
        </w:rPr>
      </w:pPr>
      <w:r w:rsidRPr="60A80FC6" w:rsidR="11673BDC">
        <w:rPr>
          <w:b w:val="1"/>
          <w:bCs w:val="1"/>
          <w:sz w:val="32"/>
          <w:szCs w:val="32"/>
        </w:rPr>
        <w:t>Definition</w:t>
      </w:r>
    </w:p>
    <w:p xmlns:wp14="http://schemas.microsoft.com/office/word/2010/wordml" w:rsidR="00B61398" w:rsidP="60A80FC6" w:rsidRDefault="00B61398" w14:paraId="087E8BA0" wp14:textId="434850B4">
      <w:pPr>
        <w:jc w:val="both"/>
        <w:rPr>
          <w:rFonts w:ascii="MS Reference Sans Serif" w:hAnsi="MS Reference Sans Serif" w:eastAsia="Times New Roman" w:cs="Times New Roman"/>
          <w:sz w:val="24"/>
          <w:szCs w:val="24"/>
          <w:lang w:eastAsia="en-IN"/>
        </w:rPr>
      </w:pPr>
      <w:r w:rsidRPr="60A80FC6" w:rsidR="11673BDC">
        <w:rPr>
          <w:rFonts w:ascii="MS Reference Sans Serif" w:hAnsi="MS Reference Sans Serif" w:eastAsia="Times New Roman" w:cs="Times New Roman" w:asciiTheme="minorAscii" w:hAnsiTheme="minorAscii" w:eastAsiaTheme="minorAscii" w:cstheme="minorBidi"/>
          <w:color w:val="auto"/>
          <w:sz w:val="24"/>
          <w:szCs w:val="24"/>
          <w:lang w:eastAsia="en-IN" w:bidi="ar-SA"/>
        </w:rPr>
        <w:t xml:space="preserve">Financial modelling is a quantitative methodology that integrates mathematics, statistics, and related disciplines to </w:t>
      </w:r>
      <w:proofErr w:type="spellStart"/>
      <w:r w:rsidRPr="60A80FC6" w:rsidR="11673BDC">
        <w:rPr>
          <w:rFonts w:ascii="MS Reference Sans Serif" w:hAnsi="MS Reference Sans Serif" w:eastAsia="Times New Roman" w:cs="Times New Roman" w:asciiTheme="minorAscii" w:hAnsiTheme="minorAscii" w:eastAsiaTheme="minorAscii" w:cstheme="minorBidi"/>
          <w:color w:val="auto"/>
          <w:sz w:val="24"/>
          <w:szCs w:val="24"/>
          <w:lang w:eastAsia="en-IN" w:bidi="ar-SA"/>
        </w:rPr>
        <w:t>analyze</w:t>
      </w:r>
      <w:proofErr w:type="spellEnd"/>
      <w:r w:rsidRPr="60A80FC6" w:rsidR="11673BDC">
        <w:rPr>
          <w:rFonts w:ascii="MS Reference Sans Serif" w:hAnsi="MS Reference Sans Serif" w:eastAsia="Times New Roman" w:cs="Times New Roman" w:asciiTheme="minorAscii" w:hAnsiTheme="minorAscii" w:eastAsiaTheme="minorAscii" w:cstheme="minorBidi"/>
          <w:color w:val="auto"/>
          <w:sz w:val="24"/>
          <w:szCs w:val="24"/>
          <w:lang w:eastAsia="en-IN" w:bidi="ar-SA"/>
        </w:rPr>
        <w:t xml:space="preserve"> financial data and project a company's future financial performance</w:t>
      </w:r>
      <w:r w:rsidRPr="60A80FC6" w:rsidR="11673BDC">
        <w:rPr>
          <w:rFonts w:ascii="MS Reference Sans Serif" w:hAnsi="MS Reference Sans Serif" w:eastAsia="Times New Roman" w:cs="Times New Roman" w:asciiTheme="minorAscii" w:hAnsiTheme="minorAscii" w:eastAsiaTheme="minorAscii" w:cstheme="minorBidi"/>
          <w:color w:val="auto"/>
          <w:sz w:val="24"/>
          <w:szCs w:val="24"/>
          <w:lang w:eastAsia="en-IN" w:bidi="ar-SA"/>
        </w:rPr>
        <w:t>.</w:t>
      </w:r>
    </w:p>
    <w:p xmlns:wp14="http://schemas.microsoft.com/office/word/2010/wordml" w:rsidR="00B61398" w:rsidP="60A80FC6" w:rsidRDefault="00B61398" w14:paraId="1BF33A8E" wp14:textId="3A005482">
      <w:pPr>
        <w:pStyle w:val="Normal"/>
        <w:jc w:val="both"/>
        <w:rPr>
          <w:rFonts w:ascii="Helvetica" w:hAnsi="Helvetica" w:eastAsia="Helvetica" w:cs="Helvetica"/>
          <w:noProof w:val="0"/>
          <w:sz w:val="24"/>
          <w:szCs w:val="24"/>
          <w:lang w:val="en-IN"/>
        </w:rPr>
      </w:pPr>
      <w:r w:rsidRPr="60A80FC6" w:rsidR="344E8FC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The process of creating a numerical representation of your company’s current financial situation is known as</w:t>
      </w:r>
      <w:r w:rsidRPr="60A80FC6" w:rsidR="344E8FCF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financial modelling</w:t>
      </w:r>
      <w:r w:rsidRPr="60A80FC6" w:rsidR="344E8FC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 This means taking stock of current revenue, expenses, debts, and more.</w:t>
      </w:r>
    </w:p>
    <w:p xmlns:wp14="http://schemas.microsoft.com/office/word/2010/wordml" w:rsidR="00B61398" w:rsidP="60A80FC6" w:rsidRDefault="00B61398" w14:paraId="465816FC" wp14:textId="60F65FE7">
      <w:pPr>
        <w:pStyle w:val="Normal"/>
        <w:jc w:val="both"/>
        <w:rPr>
          <w:rFonts w:ascii="Helvetica" w:hAnsi="Helvetica" w:eastAsia="Helvetica" w:cs="Helvetica"/>
          <w:noProof w:val="0"/>
          <w:sz w:val="24"/>
          <w:szCs w:val="24"/>
          <w:lang w:val="en-IN"/>
        </w:rPr>
      </w:pPr>
      <w:r w:rsidRPr="60A80FC6" w:rsidR="344E8FC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="729BA96E">
        <w:drawing>
          <wp:inline xmlns:wp14="http://schemas.microsoft.com/office/word/2010/wordprocessingDrawing" wp14:editId="45E80944" wp14:anchorId="0EAEBA04">
            <wp:extent cx="5724524" cy="3048000"/>
            <wp:effectExtent l="0" t="0" r="0" b="0"/>
            <wp:docPr id="358809127" name="" descr="7 Key Steps to Optimizing Marketing Investments | Marketing Evolutio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954e7ed8414e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61398" w:rsidP="60A80FC6" w:rsidRDefault="00B61398" w14:paraId="0A37501D" wp14:textId="4EBE6C82">
      <w:pPr>
        <w:jc w:val="both"/>
        <w:rPr>
          <w:rFonts w:ascii="MS Reference Sans Serif" w:hAnsi="MS Reference Sans Serif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="00B61398" w:rsidP="002D1D9D" w:rsidRDefault="00B61398" w14:paraId="00BC9788" wp14:textId="77777777">
      <w:pPr>
        <w:jc w:val="both"/>
      </w:pPr>
      <w:r w:rsidRPr="00B61398">
        <w:rPr>
          <w:b/>
          <w:sz w:val="32"/>
        </w:rPr>
        <w:t>Applications of Financial Model</w:t>
      </w:r>
      <w:r>
        <w:rPr>
          <w:b/>
          <w:sz w:val="32"/>
        </w:rPr>
        <w:t>l</w:t>
      </w:r>
      <w:r w:rsidRPr="00B61398">
        <w:rPr>
          <w:b/>
          <w:sz w:val="32"/>
        </w:rPr>
        <w:t>ing</w:t>
      </w:r>
      <w:r>
        <w:t>:</w:t>
      </w:r>
    </w:p>
    <w:p xmlns:wp14="http://schemas.microsoft.com/office/word/2010/wordml" w:rsidRPr="00DB34AC" w:rsidR="00C658DB" w:rsidP="00DB34AC" w:rsidRDefault="00B61398" w14:paraId="1C0B1F3F" wp14:textId="777777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MS Reference Sans Serif" w:hAnsi="MS Reference Sans Serif" w:eastAsia="Times New Roman" w:cs="Times New Roman"/>
          <w:sz w:val="24"/>
          <w:szCs w:val="24"/>
          <w:lang w:eastAsia="en-IN"/>
        </w:rPr>
      </w:pPr>
      <w:r w:rsidRPr="00DB34AC">
        <w:rPr>
          <w:rFonts w:ascii="MS Reference Sans Serif" w:hAnsi="MS Reference Sans Serif" w:eastAsia="Times New Roman" w:cs="Times New Roman"/>
          <w:b/>
          <w:bCs/>
          <w:sz w:val="24"/>
          <w:szCs w:val="24"/>
          <w:lang w:eastAsia="en-IN"/>
        </w:rPr>
        <w:t>Strategic Business Decisions:</w:t>
      </w:r>
      <w:r w:rsidRPr="00DB34AC">
        <w:rPr>
          <w:rFonts w:ascii="MS Reference Sans Serif" w:hAnsi="MS Reference Sans Serif" w:eastAsia="Times New Roman" w:cs="Times New Roman"/>
          <w:sz w:val="24"/>
          <w:szCs w:val="24"/>
          <w:lang w:eastAsia="en-IN"/>
        </w:rPr>
        <w:t xml:space="preserve"> Facilitates informed decision-making on matters such as capital raising, acquisitions, and organizational growth.</w:t>
      </w:r>
    </w:p>
    <w:p xmlns:wp14="http://schemas.microsoft.com/office/word/2010/wordml" w:rsidRPr="00DB34AC" w:rsidR="00C658DB" w:rsidP="00DB34AC" w:rsidRDefault="00C658DB" w14:paraId="5DAB6C7B" wp14:textId="77777777">
      <w:pPr>
        <w:pStyle w:val="ListParagraph"/>
        <w:spacing w:after="0" w:line="240" w:lineRule="auto"/>
        <w:ind w:left="864"/>
        <w:jc w:val="both"/>
        <w:rPr>
          <w:rFonts w:ascii="MS Reference Sans Serif" w:hAnsi="MS Reference Sans Serif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Pr="00DB34AC" w:rsidR="00B61398" w:rsidP="00DB34AC" w:rsidRDefault="00B61398" w14:paraId="6701160E" wp14:textId="777777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MS Reference Sans Serif" w:hAnsi="MS Reference Sans Serif" w:eastAsia="Times New Roman" w:cs="Times New Roman"/>
          <w:sz w:val="24"/>
          <w:szCs w:val="24"/>
          <w:lang w:eastAsia="en-IN"/>
        </w:rPr>
      </w:pPr>
      <w:r w:rsidRPr="00DB34AC">
        <w:rPr>
          <w:rFonts w:ascii="MS Reference Sans Serif" w:hAnsi="MS Reference Sans Serif" w:eastAsia="Times New Roman" w:cs="Times New Roman"/>
          <w:b/>
          <w:bCs/>
          <w:sz w:val="24"/>
          <w:szCs w:val="24"/>
          <w:lang w:eastAsia="en-IN"/>
        </w:rPr>
        <w:t>Business Valuation:</w:t>
      </w:r>
      <w:r w:rsidRPr="00DB34AC">
        <w:rPr>
          <w:rFonts w:ascii="MS Reference Sans Serif" w:hAnsi="MS Reference Sans Serif" w:eastAsia="Times New Roman" w:cs="Times New Roman"/>
          <w:sz w:val="24"/>
          <w:szCs w:val="24"/>
          <w:lang w:eastAsia="en-IN"/>
        </w:rPr>
        <w:t xml:space="preserve"> Assists in estimating the economic value of a business or specific assets.</w:t>
      </w:r>
    </w:p>
    <w:p xmlns:wp14="http://schemas.microsoft.com/office/word/2010/wordml" w:rsidRPr="00DB34AC" w:rsidR="00C658DB" w:rsidP="00DB34AC" w:rsidRDefault="00C658DB" w14:paraId="02EB378F" wp14:textId="77777777">
      <w:pPr>
        <w:spacing w:after="0" w:line="240" w:lineRule="auto"/>
        <w:jc w:val="both"/>
        <w:rPr>
          <w:rFonts w:ascii="MS Reference Sans Serif" w:hAnsi="MS Reference Sans Serif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Pr="00DB34AC" w:rsidR="00B61398" w:rsidP="00DB34AC" w:rsidRDefault="00B61398" w14:paraId="2BFCDAA1" wp14:textId="777777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MS Reference Sans Serif" w:hAnsi="MS Reference Sans Serif" w:eastAsia="Times New Roman" w:cs="Times New Roman"/>
          <w:sz w:val="24"/>
          <w:szCs w:val="24"/>
          <w:lang w:eastAsia="en-IN"/>
        </w:rPr>
      </w:pPr>
      <w:r w:rsidRPr="00DB34AC">
        <w:rPr>
          <w:rFonts w:ascii="MS Reference Sans Serif" w:hAnsi="MS Reference Sans Serif" w:eastAsia="Times New Roman" w:cs="Times New Roman"/>
          <w:b/>
          <w:bCs/>
          <w:sz w:val="24"/>
          <w:szCs w:val="24"/>
          <w:lang w:eastAsia="en-IN"/>
        </w:rPr>
        <w:t>Financial Forecasting:</w:t>
      </w:r>
      <w:r w:rsidRPr="00DB34AC">
        <w:rPr>
          <w:rFonts w:ascii="MS Reference Sans Serif" w:hAnsi="MS Reference Sans Serif" w:eastAsia="Times New Roman" w:cs="Times New Roman"/>
          <w:sz w:val="24"/>
          <w:szCs w:val="24"/>
          <w:lang w:eastAsia="en-IN"/>
        </w:rPr>
        <w:t xml:space="preserve"> Utilizes historical data and trend analysis to predict future financial outcomes accurately.</w:t>
      </w:r>
    </w:p>
    <w:p xmlns:wp14="http://schemas.microsoft.com/office/word/2010/wordml" w:rsidRPr="00DB34AC" w:rsidR="00C658DB" w:rsidP="00DB34AC" w:rsidRDefault="00C658DB" w14:paraId="6A05A809" wp14:textId="77777777">
      <w:pPr>
        <w:spacing w:after="0" w:line="240" w:lineRule="auto"/>
        <w:jc w:val="both"/>
        <w:rPr>
          <w:rFonts w:ascii="MS Reference Sans Serif" w:hAnsi="MS Reference Sans Serif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Pr="00DB34AC" w:rsidR="00C658DB" w:rsidP="00DB34AC" w:rsidRDefault="00B61398" w14:paraId="409E68E7" wp14:textId="777777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MS Reference Sans Serif" w:hAnsi="MS Reference Sans Serif" w:eastAsia="Times New Roman" w:cs="Times New Roman"/>
          <w:sz w:val="24"/>
          <w:szCs w:val="24"/>
          <w:lang w:eastAsia="en-IN"/>
        </w:rPr>
      </w:pPr>
      <w:r w:rsidRPr="00DB34AC">
        <w:rPr>
          <w:rFonts w:ascii="MS Reference Sans Serif" w:hAnsi="MS Reference Sans Serif" w:eastAsia="Times New Roman" w:cs="Times New Roman"/>
          <w:b/>
          <w:bCs/>
          <w:sz w:val="24"/>
          <w:szCs w:val="24"/>
          <w:lang w:eastAsia="en-IN"/>
        </w:rPr>
        <w:t>Risk Management:</w:t>
      </w:r>
      <w:r w:rsidRPr="00DB34AC">
        <w:rPr>
          <w:rFonts w:ascii="MS Reference Sans Serif" w:hAnsi="MS Reference Sans Serif" w:eastAsia="Times New Roman" w:cs="Times New Roman"/>
          <w:sz w:val="24"/>
          <w:szCs w:val="24"/>
          <w:lang w:eastAsia="en-IN"/>
        </w:rPr>
        <w:t xml:space="preserve"> Identifies potential risks and evaluates their impact on financial performance</w:t>
      </w:r>
    </w:p>
    <w:p xmlns:wp14="http://schemas.microsoft.com/office/word/2010/wordml" w:rsidRPr="00DB34AC" w:rsidR="00B61398" w:rsidP="00DB34AC" w:rsidRDefault="00B61398" w14:paraId="02614873" wp14:textId="77777777">
      <w:pPr>
        <w:spacing w:after="0" w:line="240" w:lineRule="auto"/>
        <w:jc w:val="both"/>
        <w:rPr>
          <w:rFonts w:ascii="MS Reference Sans Serif" w:hAnsi="MS Reference Sans Serif" w:eastAsia="Times New Roman" w:cs="Times New Roman"/>
          <w:sz w:val="24"/>
          <w:szCs w:val="24"/>
          <w:lang w:eastAsia="en-IN"/>
        </w:rPr>
      </w:pPr>
      <w:r w:rsidRPr="00DB34AC">
        <w:rPr>
          <w:rFonts w:ascii="MS Reference Sans Serif" w:hAnsi="MS Reference Sans Serif" w:eastAsia="Times New Roman" w:cs="Times New Roman"/>
          <w:sz w:val="24"/>
          <w:szCs w:val="24"/>
          <w:lang w:eastAsia="en-IN"/>
        </w:rPr>
        <w:t>.</w:t>
      </w:r>
    </w:p>
    <w:p xmlns:wp14="http://schemas.microsoft.com/office/word/2010/wordml" w:rsidRPr="00DB34AC" w:rsidR="00B61398" w:rsidP="00DB34AC" w:rsidRDefault="00B61398" w14:paraId="296CF923" wp14:textId="77777777">
      <w:pPr>
        <w:pStyle w:val="ListParagraph"/>
        <w:numPr>
          <w:ilvl w:val="0"/>
          <w:numId w:val="1"/>
        </w:numPr>
        <w:jc w:val="both"/>
        <w:rPr>
          <w:rFonts w:ascii="Myanmar Text" w:hAnsi="Myanmar Text"/>
          <w:sz w:val="28"/>
        </w:rPr>
      </w:pPr>
      <w:r w:rsidRPr="00DB34AC">
        <w:rPr>
          <w:rFonts w:ascii="MS Reference Sans Serif" w:hAnsi="MS Reference Sans Serif" w:eastAsia="Times New Roman" w:cs="Times New Roman"/>
          <w:b/>
          <w:bCs/>
          <w:sz w:val="24"/>
          <w:szCs w:val="24"/>
          <w:lang w:eastAsia="en-IN"/>
        </w:rPr>
        <w:t>Regulatory Compliance:</w:t>
      </w:r>
      <w:r w:rsidRPr="00DB34AC">
        <w:rPr>
          <w:rFonts w:ascii="MS Reference Sans Serif" w:hAnsi="MS Reference Sans Serif" w:eastAsia="Times New Roman" w:cs="Times New Roman"/>
          <w:sz w:val="24"/>
          <w:szCs w:val="24"/>
          <w:lang w:eastAsia="en-IN"/>
        </w:rPr>
        <w:t xml:space="preserve"> Supports the preparation of financial disclosures in alignment with regulatory requirements</w:t>
      </w:r>
      <w:r w:rsidRPr="00DB34AC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xmlns:wp14="http://schemas.microsoft.com/office/word/2010/wordml" w:rsidRPr="00DB34AC" w:rsidR="00B61398" w:rsidP="00DB34AC" w:rsidRDefault="00B61398" w14:paraId="5A39BBE3" wp14:textId="77777777">
      <w:pPr>
        <w:jc w:val="both"/>
        <w:rPr>
          <w:sz w:val="20"/>
        </w:rPr>
      </w:pPr>
    </w:p>
    <w:p xmlns:wp14="http://schemas.microsoft.com/office/word/2010/wordml" w:rsidR="000639B7" w:rsidP="000639B7" w:rsidRDefault="000639B7" w14:paraId="29D6B04F" wp14:textId="77777777">
      <w:pPr>
        <w:jc w:val="both"/>
        <w:rPr>
          <w:noProof/>
          <w:lang w:eastAsia="en-IN"/>
        </w:rPr>
      </w:pPr>
      <w:r w:rsidR="15C77C27">
        <w:rPr>
          <w:noProof/>
          <w:lang w:eastAsia="en-IN"/>
        </w:rPr>
        <w:t xml:space="preserve"> </w:t>
      </w:r>
      <w:r w:rsidRPr="000639B7">
        <w:rPr>
          <w:noProof/>
          <w:lang w:eastAsia="en-IN"/>
        </w:rPr>
        <w:drawing>
          <wp:inline xmlns:wp14="http://schemas.microsoft.com/office/word/2010/wordprocessingDrawing" distT="0" distB="0" distL="0" distR="0" wp14:anchorId="5C52F4D9" wp14:editId="01144D0B">
            <wp:extent cx="4472940" cy="2377440"/>
            <wp:effectExtent l="0" t="19050" r="0" b="22860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DA89A032-F13E-CCFE-761B-878ACDCD6E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73ECC84C" w:rsidP="60A80FC6" w:rsidRDefault="73ECC84C" w14:paraId="74B7094D" w14:textId="7B63A109">
      <w:pPr>
        <w:jc w:val="both"/>
        <w:rPr>
          <w:noProof/>
          <w:lang w:eastAsia="en-IN"/>
        </w:rPr>
      </w:pPr>
      <w:r w:rsidRPr="60A80FC6" w:rsidR="73ECC84C">
        <w:rPr>
          <w:noProof/>
          <w:lang w:eastAsia="en-IN"/>
        </w:rPr>
        <w:t xml:space="preserve">Historical </w:t>
      </w:r>
      <w:r w:rsidRPr="60A80FC6" w:rsidR="73ECC84C">
        <w:rPr>
          <w:b w:val="1"/>
          <w:bCs w:val="1"/>
          <w:noProof/>
          <w:lang w:eastAsia="en-IN"/>
        </w:rPr>
        <w:t>‘Microsoft Stocks’</w:t>
      </w:r>
      <w:r w:rsidRPr="60A80FC6" w:rsidR="73ECC84C">
        <w:rPr>
          <w:noProof/>
          <w:lang w:eastAsia="en-IN"/>
        </w:rPr>
        <w:t xml:space="preserve"> data was extracted using yahoo finance library </w:t>
      </w:r>
      <w:r w:rsidRPr="60A80FC6" w:rsidR="432803F5">
        <w:rPr>
          <w:noProof/>
          <w:lang w:eastAsia="en-IN"/>
        </w:rPr>
        <w:t>with</w:t>
      </w:r>
      <w:r w:rsidRPr="60A80FC6" w:rsidR="73ECC84C">
        <w:rPr>
          <w:noProof/>
          <w:lang w:eastAsia="en-IN"/>
        </w:rPr>
        <w:t xml:space="preserve"> the </w:t>
      </w:r>
      <w:r w:rsidRPr="60A80FC6" w:rsidR="73ECC84C">
        <w:rPr>
          <w:b w:val="1"/>
          <w:bCs w:val="1"/>
          <w:noProof/>
          <w:lang w:eastAsia="en-IN"/>
        </w:rPr>
        <w:t>ticker ‘ MSF</w:t>
      </w:r>
      <w:r w:rsidRPr="60A80FC6" w:rsidR="1F137BA1">
        <w:rPr>
          <w:b w:val="1"/>
          <w:bCs w:val="1"/>
          <w:noProof/>
          <w:lang w:eastAsia="en-IN"/>
        </w:rPr>
        <w:t>T’.</w:t>
      </w:r>
    </w:p>
    <w:p xmlns:wp14="http://schemas.microsoft.com/office/word/2010/wordml" w:rsidR="0005219F" w:rsidP="00E21FF2" w:rsidRDefault="0005219F" w14:paraId="41C8F396" wp14:textId="77777777">
      <w:pPr>
        <w:jc w:val="both"/>
        <w:rPr>
          <w:sz w:val="28"/>
        </w:rPr>
      </w:pPr>
      <w:r>
        <w:rPr>
          <w:noProof/>
          <w:sz w:val="28"/>
          <w:lang w:eastAsia="en-IN"/>
        </w:rPr>
        <w:drawing>
          <wp:inline xmlns:wp14="http://schemas.microsoft.com/office/word/2010/wordprocessingDrawing" distT="0" distB="0" distL="0" distR="0" wp14:anchorId="44B14270" wp14:editId="7777777">
            <wp:extent cx="6004560" cy="1836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12-29 1605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5219F" w:rsidR="0005219F" w:rsidP="0005219F" w:rsidRDefault="0005219F" w14:paraId="72A3D3EC" wp14:textId="77777777">
      <w:pPr>
        <w:rPr>
          <w:sz w:val="28"/>
        </w:rPr>
      </w:pPr>
    </w:p>
    <w:p xmlns:wp14="http://schemas.microsoft.com/office/word/2010/wordml" w:rsidR="0005219F" w:rsidP="0005219F" w:rsidRDefault="0005219F" w14:paraId="0D0B940D" wp14:textId="77777777">
      <w:pPr>
        <w:rPr>
          <w:sz w:val="28"/>
        </w:rPr>
      </w:pPr>
    </w:p>
    <w:p xmlns:wp14="http://schemas.microsoft.com/office/word/2010/wordml" w:rsidR="0005219F" w:rsidP="0005219F" w:rsidRDefault="0005219F" w14:paraId="0E27B00A" wp14:textId="77777777">
      <w:pPr>
        <w:tabs>
          <w:tab w:val="left" w:pos="8172"/>
        </w:tabs>
        <w:rPr>
          <w:sz w:val="28"/>
        </w:rPr>
      </w:pPr>
      <w:r>
        <w:rPr>
          <w:noProof/>
          <w:sz w:val="28"/>
          <w:lang w:eastAsia="en-IN"/>
        </w:rPr>
        <w:drawing>
          <wp:inline xmlns:wp14="http://schemas.microsoft.com/office/word/2010/wordprocessingDrawing" distT="0" distB="0" distL="0" distR="0" wp14:anchorId="12A82BBD" wp14:editId="7777777">
            <wp:extent cx="5996940" cy="24993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2-29 16074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5219F" w:rsidR="0005219F" w:rsidP="0005219F" w:rsidRDefault="0005219F" w14:paraId="60061E4C" wp14:textId="77777777">
      <w:pPr>
        <w:rPr>
          <w:sz w:val="28"/>
        </w:rPr>
      </w:pPr>
    </w:p>
    <w:p xmlns:wp14="http://schemas.microsoft.com/office/word/2010/wordml" w:rsidR="0005219F" w:rsidP="0005219F" w:rsidRDefault="0005219F" w14:paraId="44EAFD9C" wp14:textId="77777777">
      <w:pPr>
        <w:rPr>
          <w:sz w:val="28"/>
        </w:rPr>
      </w:pPr>
    </w:p>
    <w:p xmlns:wp14="http://schemas.microsoft.com/office/word/2010/wordml" w:rsidR="00E21FF2" w:rsidP="0005219F" w:rsidRDefault="0005219F" w14:paraId="4B94D5A5" wp14:textId="77777777">
      <w:pPr>
        <w:rPr>
          <w:sz w:val="28"/>
        </w:rPr>
      </w:pPr>
      <w:r>
        <w:rPr>
          <w:noProof/>
          <w:sz w:val="28"/>
          <w:lang w:eastAsia="en-IN"/>
        </w:rPr>
        <w:drawing>
          <wp:inline xmlns:wp14="http://schemas.microsoft.com/office/word/2010/wordprocessingDrawing" distT="0" distB="0" distL="0" distR="0" wp14:anchorId="305881F8" wp14:editId="7777777">
            <wp:extent cx="5731510" cy="29025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12-29 16081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A672D" w:rsidP="60A80FC6" w:rsidRDefault="004A672D" w14:paraId="5C1F1BEF" wp14:textId="0505B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S Reference Sans Serif" w:hAnsi="MS Reference Sans Serif" w:eastAsia="Times New Roman" w:cs="Courier New"/>
          <w:b w:val="1"/>
          <w:bCs w:val="1"/>
          <w:color w:val="212121"/>
          <w:sz w:val="32"/>
          <w:szCs w:val="32"/>
          <w:lang w:eastAsia="en-IN"/>
        </w:rPr>
      </w:pPr>
      <w:r w:rsidRPr="60A80FC6" w:rsidR="5AEF782C">
        <w:rPr>
          <w:rFonts w:ascii="MS Reference Sans Serif" w:hAnsi="MS Reference Sans Serif" w:eastAsia="Times New Roman" w:cs="Courier New"/>
          <w:b w:val="1"/>
          <w:bCs w:val="1"/>
          <w:color w:val="212121"/>
          <w:sz w:val="32"/>
          <w:szCs w:val="32"/>
          <w:lang w:eastAsia="en-IN"/>
        </w:rPr>
        <w:t>Investment by firms</w:t>
      </w:r>
      <w:r w:rsidRPr="60A80FC6" w:rsidR="26F60545">
        <w:rPr>
          <w:rFonts w:ascii="MS Reference Sans Serif" w:hAnsi="MS Reference Sans Serif" w:eastAsia="Times New Roman" w:cs="Courier New"/>
          <w:b w:val="1"/>
          <w:bCs w:val="1"/>
          <w:color w:val="212121"/>
          <w:sz w:val="32"/>
          <w:szCs w:val="32"/>
          <w:lang w:eastAsia="en-IN"/>
        </w:rPr>
        <w:t xml:space="preserve"> - Regression</w:t>
      </w:r>
    </w:p>
    <w:p xmlns:wp14="http://schemas.microsoft.com/office/word/2010/wordml" w:rsidR="004A672D" w:rsidP="004A672D" w:rsidRDefault="004A672D" w14:paraId="3DEEC66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S Reference Sans Serif" w:hAnsi="MS Reference Sans Serif" w:eastAsia="Times New Roman" w:cs="Courier New"/>
          <w:b/>
          <w:iCs/>
          <w:color w:val="212121"/>
          <w:sz w:val="32"/>
          <w:szCs w:val="20"/>
          <w:lang w:eastAsia="en-IN"/>
        </w:rPr>
      </w:pPr>
    </w:p>
    <w:p xmlns:wp14="http://schemas.microsoft.com/office/word/2010/wordml" w:rsidRPr="004A672D" w:rsidR="004A672D" w:rsidP="004A672D" w:rsidRDefault="004A672D" w14:paraId="292CB8BF" wp14:textId="77777777">
      <w:pPr>
        <w:pStyle w:val="HTMLPreformatted"/>
        <w:jc w:val="both"/>
        <w:rPr>
          <w:rFonts w:ascii="MS Reference Sans Serif" w:hAnsi="MS Reference Sans Serif"/>
          <w:color w:val="212121"/>
          <w:sz w:val="26"/>
        </w:rPr>
      </w:pPr>
      <w:r w:rsidRPr="60A80FC6" w:rsidR="5AEF782C">
        <w:rPr>
          <w:rStyle w:val="c1"/>
          <w:rFonts w:ascii="MS Reference Sans Serif" w:hAnsi="MS Reference Sans Serif"/>
          <w:color w:val="212121"/>
          <w:sz w:val="26"/>
          <w:szCs w:val="26"/>
        </w:rPr>
        <w:t>Analyze the relationship between a firm's investment (invest), its value of capital stock (value), and capital stock (capital).</w:t>
      </w:r>
    </w:p>
    <w:p w:rsidR="60A80FC6" w:rsidP="60A80FC6" w:rsidRDefault="60A80FC6" w14:paraId="71FE05E1" w14:textId="4D3C8524">
      <w:pPr>
        <w:pStyle w:val="HTMLPreformatted"/>
        <w:jc w:val="both"/>
        <w:rPr>
          <w:rStyle w:val="c1"/>
          <w:rFonts w:ascii="MS Reference Sans Serif" w:hAnsi="MS Reference Sans Serif"/>
          <w:color w:val="212121"/>
          <w:sz w:val="26"/>
          <w:szCs w:val="26"/>
        </w:rPr>
      </w:pPr>
    </w:p>
    <w:p w:rsidR="4E9CCA94" w:rsidP="60A80FC6" w:rsidRDefault="4E9CCA94" w14:paraId="47DA6C17" w14:textId="5BA73141">
      <w:pPr>
        <w:pStyle w:val="HTMLPreformatted"/>
        <w:jc w:val="both"/>
        <w:rPr>
          <w:rStyle w:val="c1"/>
          <w:rFonts w:ascii="MS Reference Sans Serif" w:hAnsi="MS Reference Sans Serif"/>
          <w:color w:val="212121"/>
          <w:sz w:val="26"/>
          <w:szCs w:val="26"/>
        </w:rPr>
      </w:pPr>
      <w:r w:rsidRPr="60A80FC6" w:rsidR="4E9CCA94">
        <w:rPr>
          <w:rStyle w:val="c1"/>
          <w:rFonts w:ascii="MS Reference Sans Serif" w:hAnsi="MS Reference Sans Serif"/>
          <w:color w:val="212121"/>
          <w:sz w:val="26"/>
          <w:szCs w:val="26"/>
        </w:rPr>
        <w:t xml:space="preserve">Data Quality </w:t>
      </w:r>
      <w:r w:rsidRPr="60A80FC6" w:rsidR="789D9470">
        <w:rPr>
          <w:rStyle w:val="c1"/>
          <w:rFonts w:ascii="MS Reference Sans Serif" w:hAnsi="MS Reference Sans Serif"/>
          <w:color w:val="212121"/>
          <w:sz w:val="26"/>
          <w:szCs w:val="26"/>
        </w:rPr>
        <w:t>Report</w:t>
      </w:r>
    </w:p>
    <w:p w:rsidR="60A80FC6" w:rsidP="60A80FC6" w:rsidRDefault="60A80FC6" w14:paraId="68D8D45A" w14:textId="0936EBA3">
      <w:pPr>
        <w:pStyle w:val="HTMLPreformatted"/>
        <w:jc w:val="both"/>
        <w:rPr>
          <w:rStyle w:val="c1"/>
          <w:rFonts w:ascii="MS Reference Sans Serif" w:hAnsi="MS Reference Sans Serif"/>
          <w:color w:val="212121"/>
          <w:sz w:val="26"/>
          <w:szCs w:val="26"/>
        </w:rPr>
      </w:pPr>
    </w:p>
    <w:p w:rsidR="4E9CCA94" w:rsidP="60A80FC6" w:rsidRDefault="4E9CCA94" w14:paraId="1FECF2BC" w14:textId="19EA208C">
      <w:pPr>
        <w:pStyle w:val="HTMLPreformatted"/>
        <w:jc w:val="both"/>
      </w:pPr>
      <w:r w:rsidR="4E9CCA94">
        <w:drawing>
          <wp:inline wp14:editId="24AA8935" wp14:anchorId="434F2B50">
            <wp:extent cx="5724524" cy="2295525"/>
            <wp:effectExtent l="0" t="0" r="0" b="0"/>
            <wp:docPr id="854288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9eff8aea414b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9CCA94" w:rsidP="60A80FC6" w:rsidRDefault="4E9CCA94" w14:paraId="4AB6552A" w14:textId="072747E2">
      <w:pPr>
        <w:pStyle w:val="HTMLPreformatted"/>
        <w:jc w:val="both"/>
      </w:pPr>
      <w:r w:rsidR="4E9CCA94">
        <w:drawing>
          <wp:inline wp14:editId="61AC9DA9" wp14:anchorId="70BB22CB">
            <wp:extent cx="5724524" cy="4371975"/>
            <wp:effectExtent l="0" t="0" r="0" b="0"/>
            <wp:docPr id="1828992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be3c5a68194f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9CCA94" w:rsidP="60A80FC6" w:rsidRDefault="4E9CCA94" w14:paraId="2F0290AE" w14:textId="62BB0E95">
      <w:pPr>
        <w:pStyle w:val="HTMLPreformatted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60A80FC6" w:rsidR="4E9CCA9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Models and Hyperparameters</w:t>
      </w:r>
    </w:p>
    <w:p w:rsidR="60A80FC6" w:rsidP="60A80FC6" w:rsidRDefault="60A80FC6" w14:paraId="6922F572" w14:textId="5BD8F34B">
      <w:pPr>
        <w:pStyle w:val="HTMLPreformatted"/>
        <w:jc w:val="both"/>
        <w:rPr>
          <w:rStyle w:val="c1"/>
          <w:rFonts w:ascii="MS Reference Sans Serif" w:hAnsi="MS Reference Sans Serif"/>
          <w:color w:val="212121"/>
          <w:sz w:val="26"/>
          <w:szCs w:val="26"/>
        </w:rPr>
      </w:pPr>
    </w:p>
    <w:p w:rsidR="0AC96819" w:rsidP="60A80FC6" w:rsidRDefault="0AC96819" w14:paraId="44179FDA" w14:textId="62BEFBCB">
      <w:pPr>
        <w:pStyle w:val="HTMLPreformatted"/>
        <w:jc w:val="both"/>
      </w:pPr>
      <w:r w:rsidR="0AC96819">
        <w:drawing>
          <wp:inline wp14:editId="224DE5F9" wp14:anchorId="2486D630">
            <wp:extent cx="5724524" cy="447675"/>
            <wp:effectExtent l="0" t="0" r="0" b="0"/>
            <wp:docPr id="520049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c61c7adf5c4f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4A672D" w:rsidR="004A672D" w:rsidP="004A672D" w:rsidRDefault="004A672D" w14:paraId="3656B9A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S Reference Sans Serif" w:hAnsi="MS Reference Sans Serif" w:eastAsia="Times New Roman" w:cs="Courier New"/>
          <w:b/>
          <w:color w:val="212121"/>
          <w:sz w:val="44"/>
          <w:szCs w:val="20"/>
          <w:lang w:eastAsia="en-IN"/>
        </w:rPr>
      </w:pPr>
      <w:bookmarkStart w:name="_GoBack" w:id="0"/>
      <w:bookmarkEnd w:id="0"/>
    </w:p>
    <w:p w:rsidR="7BD37141" w:rsidP="60A80FC6" w:rsidRDefault="7BD37141" w14:paraId="3DC5DB5B" w14:textId="4D30661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60A80FC6" w:rsidR="7BD37141">
        <w:rPr>
          <w:b w:val="1"/>
          <w:bCs w:val="1"/>
          <w:sz w:val="32"/>
          <w:szCs w:val="32"/>
        </w:rPr>
        <w:t>Model Comparison</w:t>
      </w:r>
      <w:r w:rsidR="13B155D5">
        <w:drawing>
          <wp:inline wp14:editId="74ABB9D4" wp14:anchorId="3CF8232A">
            <wp:extent cx="5724524" cy="2333625"/>
            <wp:effectExtent l="0" t="0" r="0" b="0"/>
            <wp:docPr id="1490957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031d919afa40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4A672D" w:rsidR="004A672D" w:rsidSect="00B61398">
      <w:pgSz w:w="11906" w:h="16838" w:orient="portrait"/>
      <w:pgMar w:top="1440" w:right="1440" w:bottom="1440" w:left="1440" w:header="708" w:footer="708" w:gutter="0"/>
      <w:pgBorders w:offsetFrom="page">
        <w:top w:val="single" w:color="auto" w:sz="24" w:space="24"/>
        <w:left w:val="single" w:color="auto" w:sz="24" w:space="24"/>
        <w:bottom w:val="single" w:color="auto" w:sz="24" w:space="24"/>
        <w:right w:val="single" w:color="auto" w:sz="2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D56D6"/>
    <w:multiLevelType w:val="hybridMultilevel"/>
    <w:tmpl w:val="161CB56A"/>
    <w:lvl w:ilvl="0" w:tplc="40090001">
      <w:start w:val="1"/>
      <w:numFmt w:val="bullet"/>
      <w:lvlText w:val=""/>
      <w:lvlJc w:val="left"/>
      <w:pPr>
        <w:ind w:left="864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398"/>
    <w:rsid w:val="0005219F"/>
    <w:rsid w:val="000639B7"/>
    <w:rsid w:val="002D1D9D"/>
    <w:rsid w:val="004A672D"/>
    <w:rsid w:val="007911DC"/>
    <w:rsid w:val="008E6612"/>
    <w:rsid w:val="00B61398"/>
    <w:rsid w:val="00C658DB"/>
    <w:rsid w:val="00DB34AC"/>
    <w:rsid w:val="00E21FF2"/>
    <w:rsid w:val="00E36C23"/>
    <w:rsid w:val="048853B5"/>
    <w:rsid w:val="07B6B05E"/>
    <w:rsid w:val="08CB11C9"/>
    <w:rsid w:val="0AC96819"/>
    <w:rsid w:val="11673BDC"/>
    <w:rsid w:val="13B155D5"/>
    <w:rsid w:val="15C77C27"/>
    <w:rsid w:val="1F137BA1"/>
    <w:rsid w:val="24AB7BFE"/>
    <w:rsid w:val="26F60545"/>
    <w:rsid w:val="33BA6FB8"/>
    <w:rsid w:val="344155B0"/>
    <w:rsid w:val="344E8FCF"/>
    <w:rsid w:val="357AC33A"/>
    <w:rsid w:val="39566EFA"/>
    <w:rsid w:val="39FADC2C"/>
    <w:rsid w:val="432803F5"/>
    <w:rsid w:val="460501F8"/>
    <w:rsid w:val="4C22CDF6"/>
    <w:rsid w:val="4D7BDD30"/>
    <w:rsid w:val="4E9CCA94"/>
    <w:rsid w:val="4F50E320"/>
    <w:rsid w:val="5AEF782C"/>
    <w:rsid w:val="5AFB7C98"/>
    <w:rsid w:val="60A80FC6"/>
    <w:rsid w:val="624BFE2B"/>
    <w:rsid w:val="638A6A77"/>
    <w:rsid w:val="6A38D8CB"/>
    <w:rsid w:val="6D8604F9"/>
    <w:rsid w:val="729BA96E"/>
    <w:rsid w:val="73ECC84C"/>
    <w:rsid w:val="7808F063"/>
    <w:rsid w:val="789D9470"/>
    <w:rsid w:val="7BD37141"/>
    <w:rsid w:val="7EF2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A776"/>
  <w15:chartTrackingRefBased/>
  <w15:docId w15:val="{E527C4CF-432E-4A4F-A1E2-6F44F42EDD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61398"/>
    <w:rPr>
      <w:b/>
      <w:bCs/>
    </w:rPr>
  </w:style>
  <w:style w:type="paragraph" w:styleId="ListParagraph">
    <w:name w:val="List Paragraph"/>
    <w:basedOn w:val="Normal"/>
    <w:uiPriority w:val="34"/>
    <w:qFormat/>
    <w:rsid w:val="00C658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4A672D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c1" w:customStyle="1">
    <w:name w:val="c1"/>
    <w:basedOn w:val="DefaultParagraphFont"/>
    <w:rsid w:val="004A6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3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diagramQuickStyle" Target="diagrams/quickStyle1.xml" Id="rId8" /><Relationship Type="http://schemas.openxmlformats.org/officeDocument/2006/relationships/image" Target="media/image3.png" Id="rId13" /><Relationship Type="http://schemas.openxmlformats.org/officeDocument/2006/relationships/styles" Target="styles.xml" Id="rId3" /><Relationship Type="http://schemas.openxmlformats.org/officeDocument/2006/relationships/diagramLayout" Target="diagrams/layout1.xml" Id="rId7" /><Relationship Type="http://schemas.openxmlformats.org/officeDocument/2006/relationships/image" Target="media/image2.png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diagramData" Target="diagrams/data1.xml" Id="rId6" /><Relationship Type="http://schemas.openxmlformats.org/officeDocument/2006/relationships/image" Target="media/image1.png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microsoft.com/office/2007/relationships/diagramDrawing" Target="diagrams/drawing1.xml" Id="rId10" /><Relationship Type="http://schemas.openxmlformats.org/officeDocument/2006/relationships/settings" Target="settings.xml" Id="rId4" /><Relationship Type="http://schemas.openxmlformats.org/officeDocument/2006/relationships/diagramColors" Target="diagrams/colors1.xml" Id="rId9" /><Relationship Type="http://schemas.openxmlformats.org/officeDocument/2006/relationships/fontTable" Target="fontTable.xml" Id="rId14" /><Relationship Type="http://schemas.openxmlformats.org/officeDocument/2006/relationships/image" Target="/media/image.jpg" Id="R49954e7ed8414e85" /><Relationship Type="http://schemas.openxmlformats.org/officeDocument/2006/relationships/image" Target="/media/image4.png" Id="R969eff8aea414ba2" /><Relationship Type="http://schemas.openxmlformats.org/officeDocument/2006/relationships/image" Target="/media/image5.png" Id="R5fbe3c5a68194f49" /><Relationship Type="http://schemas.openxmlformats.org/officeDocument/2006/relationships/image" Target="/media/image6.png" Id="R08c61c7adf5c4fc3" /><Relationship Type="http://schemas.openxmlformats.org/officeDocument/2006/relationships/image" Target="/media/image7.png" Id="R00031d919afa4016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4A6C6C-8677-44C9-A635-836FC5FB297E}" type="doc">
      <dgm:prSet loTypeId="urn:microsoft.com/office/officeart/2005/8/layout/pyramid2" loCatId="pyramid" qsTypeId="urn:microsoft.com/office/officeart/2005/8/quickstyle/simple1" qsCatId="simple" csTypeId="urn:microsoft.com/office/officeart/2005/8/colors/accent1_2" csCatId="accent1" phldr="1"/>
      <dgm:spPr/>
    </dgm:pt>
    <dgm:pt modelId="{BDED39E1-00FA-4906-94EB-F69E1855EF99}">
      <dgm:prSet phldrT="[Text]" phldr="0"/>
      <dgm:spPr/>
      <dgm:t>
        <a:bodyPr/>
        <a:lstStyle/>
        <a:p>
          <a:pPr rtl="0"/>
          <a:r>
            <a:rPr lang="en-US" dirty="0">
              <a:solidFill>
                <a:srgbClr val="000000"/>
              </a:solidFill>
              <a:latin typeface="Calibri"/>
              <a:ea typeface="Calibri"/>
              <a:cs typeface="Calibri"/>
            </a:rPr>
            <a:t>Business Valuation</a:t>
          </a:r>
          <a:endParaRPr lang="en-US" dirty="0"/>
        </a:p>
      </dgm:t>
    </dgm:pt>
    <dgm:pt modelId="{87AD365C-25AF-4649-A834-9E16294D1FAB}" type="parTrans" cxnId="{1A6AE674-55BB-46DC-81D8-344451432441}">
      <dgm:prSet/>
      <dgm:spPr/>
      <dgm:t>
        <a:bodyPr/>
        <a:lstStyle/>
        <a:p>
          <a:endParaRPr lang="en-US"/>
        </a:p>
      </dgm:t>
    </dgm:pt>
    <dgm:pt modelId="{53B2AFEC-16AA-4991-96F6-9FE2E376126E}" type="sibTrans" cxnId="{1A6AE674-55BB-46DC-81D8-344451432441}">
      <dgm:prSet/>
      <dgm:spPr/>
      <dgm:t>
        <a:bodyPr/>
        <a:lstStyle/>
        <a:p>
          <a:endParaRPr lang="en-US"/>
        </a:p>
      </dgm:t>
    </dgm:pt>
    <dgm:pt modelId="{A2FA2535-3A33-4381-B5A4-B74E847ABE38}">
      <dgm:prSet phldrT="[Text]" phldr="0"/>
      <dgm:spPr/>
      <dgm:t>
        <a:bodyPr/>
        <a:lstStyle/>
        <a:p>
          <a:pPr rtl="0"/>
          <a:r>
            <a:rPr lang="en-US" dirty="0">
              <a:solidFill>
                <a:srgbClr val="000000"/>
              </a:solidFill>
              <a:latin typeface="Calibri"/>
              <a:ea typeface="Calibri"/>
              <a:cs typeface="Calibri"/>
            </a:rPr>
            <a:t>Financial Forecasting</a:t>
          </a:r>
          <a:endParaRPr lang="en-US" dirty="0"/>
        </a:p>
      </dgm:t>
    </dgm:pt>
    <dgm:pt modelId="{4C9FDE09-B144-4735-B180-29F0B8E85153}" type="parTrans" cxnId="{BBA58015-70FB-4E8C-826B-8591C1DD6D5A}">
      <dgm:prSet/>
      <dgm:spPr/>
      <dgm:t>
        <a:bodyPr/>
        <a:lstStyle/>
        <a:p>
          <a:endParaRPr lang="en-US"/>
        </a:p>
      </dgm:t>
    </dgm:pt>
    <dgm:pt modelId="{6255BA00-FD10-4209-A4CD-5EBE07318E24}" type="sibTrans" cxnId="{BBA58015-70FB-4E8C-826B-8591C1DD6D5A}">
      <dgm:prSet/>
      <dgm:spPr/>
      <dgm:t>
        <a:bodyPr/>
        <a:lstStyle/>
        <a:p>
          <a:endParaRPr lang="en-US"/>
        </a:p>
      </dgm:t>
    </dgm:pt>
    <dgm:pt modelId="{9DD28FB7-B5C2-4922-876E-81CAA4657276}">
      <dgm:prSet phldrT="[Text]" phldr="0"/>
      <dgm:spPr/>
      <dgm:t>
        <a:bodyPr/>
        <a:lstStyle/>
        <a:p>
          <a:pPr rtl="0"/>
          <a:r>
            <a:rPr lang="en-US" dirty="0">
              <a:solidFill>
                <a:srgbClr val="000000"/>
              </a:solidFill>
              <a:latin typeface="Calibri"/>
              <a:ea typeface="Calibri"/>
              <a:cs typeface="Calibri"/>
            </a:rPr>
            <a:t>Risk Management</a:t>
          </a:r>
          <a:endParaRPr lang="en-US" dirty="0"/>
        </a:p>
      </dgm:t>
    </dgm:pt>
    <dgm:pt modelId="{B63684F6-C8BF-4139-BBFE-366CE22D41E7}" type="parTrans" cxnId="{3B258245-672E-4120-B836-47C734E2DB1D}">
      <dgm:prSet/>
      <dgm:spPr/>
      <dgm:t>
        <a:bodyPr/>
        <a:lstStyle/>
        <a:p>
          <a:endParaRPr lang="en-US"/>
        </a:p>
      </dgm:t>
    </dgm:pt>
    <dgm:pt modelId="{9CFFEABF-4896-4345-AD6C-E517656E7259}" type="sibTrans" cxnId="{3B258245-672E-4120-B836-47C734E2DB1D}">
      <dgm:prSet/>
      <dgm:spPr/>
      <dgm:t>
        <a:bodyPr/>
        <a:lstStyle/>
        <a:p>
          <a:endParaRPr lang="en-US"/>
        </a:p>
      </dgm:t>
    </dgm:pt>
    <dgm:pt modelId="{70A8EE05-FE9D-4B9A-A663-1836CD176A61}">
      <dgm:prSet phldr="0"/>
      <dgm:spPr/>
      <dgm:t>
        <a:bodyPr/>
        <a:lstStyle/>
        <a:p>
          <a:pPr rtl="0"/>
          <a:r>
            <a:rPr lang="en-US" dirty="0">
              <a:solidFill>
                <a:srgbClr val="444444"/>
              </a:solidFill>
              <a:latin typeface="Calibri"/>
              <a:ea typeface="Calibri"/>
              <a:cs typeface="Calibri"/>
            </a:rPr>
            <a:t>Strategic Business Decisions</a:t>
          </a:r>
        </a:p>
      </dgm:t>
    </dgm:pt>
    <dgm:pt modelId="{94EADA33-861D-461B-BD50-FC7AC90EB2E2}" type="parTrans" cxnId="{C48FF216-9741-4327-8548-1E3252716834}">
      <dgm:prSet/>
      <dgm:spPr/>
      <dgm:t>
        <a:bodyPr/>
        <a:lstStyle/>
        <a:p>
          <a:endParaRPr lang="en-US"/>
        </a:p>
      </dgm:t>
    </dgm:pt>
    <dgm:pt modelId="{1E5CAF01-2289-45A8-BB43-7D183DF1CF83}" type="sibTrans" cxnId="{C48FF216-9741-4327-8548-1E3252716834}">
      <dgm:prSet/>
      <dgm:spPr/>
      <dgm:t>
        <a:bodyPr/>
        <a:lstStyle/>
        <a:p>
          <a:endParaRPr lang="en-US"/>
        </a:p>
      </dgm:t>
    </dgm:pt>
    <dgm:pt modelId="{2967C220-0AAF-498F-AEB5-992B82150EDC}">
      <dgm:prSet phldr="0"/>
      <dgm:spPr/>
      <dgm:t>
        <a:bodyPr/>
        <a:lstStyle/>
        <a:p>
          <a:pPr rtl="0"/>
          <a:r>
            <a:rPr lang="en-US" dirty="0">
              <a:solidFill>
                <a:srgbClr val="000000"/>
              </a:solidFill>
              <a:latin typeface="Calibri"/>
              <a:ea typeface="Calibri"/>
              <a:cs typeface="Calibri"/>
            </a:rPr>
            <a:t>Regulatory Compliance</a:t>
          </a:r>
          <a:endParaRPr lang="en-US" dirty="0">
            <a:latin typeface="Calibri"/>
            <a:ea typeface="Calibri"/>
            <a:cs typeface="Calibri"/>
          </a:endParaRPr>
        </a:p>
      </dgm:t>
    </dgm:pt>
    <dgm:pt modelId="{4ADF71EA-028C-4A62-B890-3DEF3E572D9B}" type="parTrans" cxnId="{691DBB5D-8146-40FE-9C73-86F5AC93A9F2}">
      <dgm:prSet/>
      <dgm:spPr/>
      <dgm:t>
        <a:bodyPr/>
        <a:lstStyle/>
        <a:p>
          <a:endParaRPr lang="en-US"/>
        </a:p>
      </dgm:t>
    </dgm:pt>
    <dgm:pt modelId="{78B1FB64-AE59-4BC5-862E-0B9266C41641}" type="sibTrans" cxnId="{691DBB5D-8146-40FE-9C73-86F5AC93A9F2}">
      <dgm:prSet/>
      <dgm:spPr/>
      <dgm:t>
        <a:bodyPr/>
        <a:lstStyle/>
        <a:p>
          <a:endParaRPr lang="en-US"/>
        </a:p>
      </dgm:t>
    </dgm:pt>
    <dgm:pt modelId="{13A0829D-1AE3-4144-8A79-1F2CF10581DA}" type="pres">
      <dgm:prSet presAssocID="{044A6C6C-8677-44C9-A635-836FC5FB297E}" presName="compositeShape" presStyleCnt="0">
        <dgm:presLayoutVars>
          <dgm:dir/>
          <dgm:resizeHandles/>
        </dgm:presLayoutVars>
      </dgm:prSet>
      <dgm:spPr/>
    </dgm:pt>
    <dgm:pt modelId="{9CD18127-7A53-4664-835D-BD766336B502}" type="pres">
      <dgm:prSet presAssocID="{044A6C6C-8677-44C9-A635-836FC5FB297E}" presName="pyramid" presStyleLbl="node1" presStyleIdx="0" presStyleCnt="1" custLinFactNeighborX="1008" custLinFactNeighborY="1612"/>
      <dgm:spPr/>
      <dgm:t>
        <a:bodyPr/>
        <a:lstStyle/>
        <a:p>
          <a:endParaRPr lang="en-US"/>
        </a:p>
      </dgm:t>
    </dgm:pt>
    <dgm:pt modelId="{97C41DCC-703E-493A-BFC4-76F8420AF057}" type="pres">
      <dgm:prSet presAssocID="{044A6C6C-8677-44C9-A635-836FC5FB297E}" presName="theList" presStyleCnt="0"/>
      <dgm:spPr/>
    </dgm:pt>
    <dgm:pt modelId="{033E0873-4B42-4D97-B5C3-78C3EA2E8D6D}" type="pres">
      <dgm:prSet presAssocID="{70A8EE05-FE9D-4B9A-A663-1836CD176A61}" presName="aNode" presStyleLbl="fgAcc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C976131-91F3-4F49-977F-9465233CE141}" type="pres">
      <dgm:prSet presAssocID="{70A8EE05-FE9D-4B9A-A663-1836CD176A61}" presName="aSpace" presStyleCnt="0"/>
      <dgm:spPr/>
    </dgm:pt>
    <dgm:pt modelId="{F08C681E-08C3-4ADA-93C2-A300CC48F0D3}" type="pres">
      <dgm:prSet presAssocID="{BDED39E1-00FA-4906-94EB-F69E1855EF99}" presName="aNode" presStyleLbl="fgAcc1" presStyleIdx="1" presStyleCnt="5" custLinFactNeighborX="636" custLinFactNeighborY="2937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0C0F189-D023-44C1-879A-B3AD0C948E70}" type="pres">
      <dgm:prSet presAssocID="{BDED39E1-00FA-4906-94EB-F69E1855EF99}" presName="aSpace" presStyleCnt="0"/>
      <dgm:spPr/>
    </dgm:pt>
    <dgm:pt modelId="{85C3D75B-A7E0-42C7-A36A-2183822B502E}" type="pres">
      <dgm:prSet presAssocID="{A2FA2535-3A33-4381-B5A4-B74E847ABE38}" presName="aNode" presStyleLbl="fgAcc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12D6901-818E-42C3-81DE-75C858D5078A}" type="pres">
      <dgm:prSet presAssocID="{A2FA2535-3A33-4381-B5A4-B74E847ABE38}" presName="aSpace" presStyleCnt="0"/>
      <dgm:spPr/>
    </dgm:pt>
    <dgm:pt modelId="{67783725-6A67-4A14-B482-E027BEA271F3}" type="pres">
      <dgm:prSet presAssocID="{9DD28FB7-B5C2-4922-876E-81CAA4657276}" presName="aNode" presStyleLbl="fgAcc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898BB74-D0EA-48F2-B636-DC193D529349}" type="pres">
      <dgm:prSet presAssocID="{9DD28FB7-B5C2-4922-876E-81CAA4657276}" presName="aSpace" presStyleCnt="0"/>
      <dgm:spPr/>
    </dgm:pt>
    <dgm:pt modelId="{ED095B89-6D1C-4625-9D63-2518535FEDDA}" type="pres">
      <dgm:prSet presAssocID="{2967C220-0AAF-498F-AEB5-992B82150EDC}" presName="aNode" presStyleLbl="fgAcc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947A938-896A-4B0E-A26B-0CF895A7A3F8}" type="pres">
      <dgm:prSet presAssocID="{2967C220-0AAF-498F-AEB5-992B82150EDC}" presName="aSpace" presStyleCnt="0"/>
      <dgm:spPr/>
    </dgm:pt>
  </dgm:ptLst>
  <dgm:cxnLst>
    <dgm:cxn modelId="{B1ECA8F6-6B87-4A55-ADB3-FE8EC9E72F69}" type="presOf" srcId="{70A8EE05-FE9D-4B9A-A663-1836CD176A61}" destId="{033E0873-4B42-4D97-B5C3-78C3EA2E8D6D}" srcOrd="0" destOrd="0" presId="urn:microsoft.com/office/officeart/2005/8/layout/pyramid2"/>
    <dgm:cxn modelId="{550D9DD4-C62B-440D-AB8F-A807FBC3BABC}" type="presOf" srcId="{044A6C6C-8677-44C9-A635-836FC5FB297E}" destId="{13A0829D-1AE3-4144-8A79-1F2CF10581DA}" srcOrd="0" destOrd="0" presId="urn:microsoft.com/office/officeart/2005/8/layout/pyramid2"/>
    <dgm:cxn modelId="{D41E1204-36A6-4333-8099-DE0C9D072FCF}" type="presOf" srcId="{A2FA2535-3A33-4381-B5A4-B74E847ABE38}" destId="{85C3D75B-A7E0-42C7-A36A-2183822B502E}" srcOrd="0" destOrd="0" presId="urn:microsoft.com/office/officeart/2005/8/layout/pyramid2"/>
    <dgm:cxn modelId="{1F77764A-8579-4419-9759-365B220B89AF}" type="presOf" srcId="{2967C220-0AAF-498F-AEB5-992B82150EDC}" destId="{ED095B89-6D1C-4625-9D63-2518535FEDDA}" srcOrd="0" destOrd="0" presId="urn:microsoft.com/office/officeart/2005/8/layout/pyramid2"/>
    <dgm:cxn modelId="{9A998CB9-9CF1-45AF-9423-630F70B7295D}" type="presOf" srcId="{9DD28FB7-B5C2-4922-876E-81CAA4657276}" destId="{67783725-6A67-4A14-B482-E027BEA271F3}" srcOrd="0" destOrd="0" presId="urn:microsoft.com/office/officeart/2005/8/layout/pyramid2"/>
    <dgm:cxn modelId="{691DBB5D-8146-40FE-9C73-86F5AC93A9F2}" srcId="{044A6C6C-8677-44C9-A635-836FC5FB297E}" destId="{2967C220-0AAF-498F-AEB5-992B82150EDC}" srcOrd="4" destOrd="0" parTransId="{4ADF71EA-028C-4A62-B890-3DEF3E572D9B}" sibTransId="{78B1FB64-AE59-4BC5-862E-0B9266C41641}"/>
    <dgm:cxn modelId="{C48FF216-9741-4327-8548-1E3252716834}" srcId="{044A6C6C-8677-44C9-A635-836FC5FB297E}" destId="{70A8EE05-FE9D-4B9A-A663-1836CD176A61}" srcOrd="0" destOrd="0" parTransId="{94EADA33-861D-461B-BD50-FC7AC90EB2E2}" sibTransId="{1E5CAF01-2289-45A8-BB43-7D183DF1CF83}"/>
    <dgm:cxn modelId="{3B258245-672E-4120-B836-47C734E2DB1D}" srcId="{044A6C6C-8677-44C9-A635-836FC5FB297E}" destId="{9DD28FB7-B5C2-4922-876E-81CAA4657276}" srcOrd="3" destOrd="0" parTransId="{B63684F6-C8BF-4139-BBFE-366CE22D41E7}" sibTransId="{9CFFEABF-4896-4345-AD6C-E517656E7259}"/>
    <dgm:cxn modelId="{E51285CE-C286-4F87-BF55-EBD05D468107}" type="presOf" srcId="{BDED39E1-00FA-4906-94EB-F69E1855EF99}" destId="{F08C681E-08C3-4ADA-93C2-A300CC48F0D3}" srcOrd="0" destOrd="0" presId="urn:microsoft.com/office/officeart/2005/8/layout/pyramid2"/>
    <dgm:cxn modelId="{1A6AE674-55BB-46DC-81D8-344451432441}" srcId="{044A6C6C-8677-44C9-A635-836FC5FB297E}" destId="{BDED39E1-00FA-4906-94EB-F69E1855EF99}" srcOrd="1" destOrd="0" parTransId="{87AD365C-25AF-4649-A834-9E16294D1FAB}" sibTransId="{53B2AFEC-16AA-4991-96F6-9FE2E376126E}"/>
    <dgm:cxn modelId="{BBA58015-70FB-4E8C-826B-8591C1DD6D5A}" srcId="{044A6C6C-8677-44C9-A635-836FC5FB297E}" destId="{A2FA2535-3A33-4381-B5A4-B74E847ABE38}" srcOrd="2" destOrd="0" parTransId="{4C9FDE09-B144-4735-B180-29F0B8E85153}" sibTransId="{6255BA00-FD10-4209-A4CD-5EBE07318E24}"/>
    <dgm:cxn modelId="{0F27255A-1890-497E-9150-8A75E950DA28}" type="presParOf" srcId="{13A0829D-1AE3-4144-8A79-1F2CF10581DA}" destId="{9CD18127-7A53-4664-835D-BD766336B502}" srcOrd="0" destOrd="0" presId="urn:microsoft.com/office/officeart/2005/8/layout/pyramid2"/>
    <dgm:cxn modelId="{0B76CF0B-F6E1-446E-883D-190612AD1C46}" type="presParOf" srcId="{13A0829D-1AE3-4144-8A79-1F2CF10581DA}" destId="{97C41DCC-703E-493A-BFC4-76F8420AF057}" srcOrd="1" destOrd="0" presId="urn:microsoft.com/office/officeart/2005/8/layout/pyramid2"/>
    <dgm:cxn modelId="{F193F50D-A627-45F8-A808-8D3589EF9E96}" type="presParOf" srcId="{97C41DCC-703E-493A-BFC4-76F8420AF057}" destId="{033E0873-4B42-4D97-B5C3-78C3EA2E8D6D}" srcOrd="0" destOrd="0" presId="urn:microsoft.com/office/officeart/2005/8/layout/pyramid2"/>
    <dgm:cxn modelId="{32CEAF29-8F86-4E26-ADEB-F105749C684C}" type="presParOf" srcId="{97C41DCC-703E-493A-BFC4-76F8420AF057}" destId="{3C976131-91F3-4F49-977F-9465233CE141}" srcOrd="1" destOrd="0" presId="urn:microsoft.com/office/officeart/2005/8/layout/pyramid2"/>
    <dgm:cxn modelId="{1EFE0F86-CD91-4B80-A309-EDE147014C6B}" type="presParOf" srcId="{97C41DCC-703E-493A-BFC4-76F8420AF057}" destId="{F08C681E-08C3-4ADA-93C2-A300CC48F0D3}" srcOrd="2" destOrd="0" presId="urn:microsoft.com/office/officeart/2005/8/layout/pyramid2"/>
    <dgm:cxn modelId="{536CF2D8-758C-4DBA-B72A-50552551E2CC}" type="presParOf" srcId="{97C41DCC-703E-493A-BFC4-76F8420AF057}" destId="{00C0F189-D023-44C1-879A-B3AD0C948E70}" srcOrd="3" destOrd="0" presId="urn:microsoft.com/office/officeart/2005/8/layout/pyramid2"/>
    <dgm:cxn modelId="{520876BB-43FD-4218-90CC-13EE70863FCF}" type="presParOf" srcId="{97C41DCC-703E-493A-BFC4-76F8420AF057}" destId="{85C3D75B-A7E0-42C7-A36A-2183822B502E}" srcOrd="4" destOrd="0" presId="urn:microsoft.com/office/officeart/2005/8/layout/pyramid2"/>
    <dgm:cxn modelId="{482E9A0A-F5D1-4D1D-AB4E-7DC4B124346D}" type="presParOf" srcId="{97C41DCC-703E-493A-BFC4-76F8420AF057}" destId="{912D6901-818E-42C3-81DE-75C858D5078A}" srcOrd="5" destOrd="0" presId="urn:microsoft.com/office/officeart/2005/8/layout/pyramid2"/>
    <dgm:cxn modelId="{4761539A-918A-48FA-959E-B4F5F305F744}" type="presParOf" srcId="{97C41DCC-703E-493A-BFC4-76F8420AF057}" destId="{67783725-6A67-4A14-B482-E027BEA271F3}" srcOrd="6" destOrd="0" presId="urn:microsoft.com/office/officeart/2005/8/layout/pyramid2"/>
    <dgm:cxn modelId="{0BA0DDCC-D990-4B10-B347-32DC0BCEF83D}" type="presParOf" srcId="{97C41DCC-703E-493A-BFC4-76F8420AF057}" destId="{9898BB74-D0EA-48F2-B636-DC193D529349}" srcOrd="7" destOrd="0" presId="urn:microsoft.com/office/officeart/2005/8/layout/pyramid2"/>
    <dgm:cxn modelId="{E8AA62F8-041A-4F7E-9838-A85C3C728692}" type="presParOf" srcId="{97C41DCC-703E-493A-BFC4-76F8420AF057}" destId="{ED095B89-6D1C-4625-9D63-2518535FEDDA}" srcOrd="8" destOrd="0" presId="urn:microsoft.com/office/officeart/2005/8/layout/pyramid2"/>
    <dgm:cxn modelId="{17B20115-9568-44D5-86D4-31F30743756E}" type="presParOf" srcId="{97C41DCC-703E-493A-BFC4-76F8420AF057}" destId="{B947A938-896A-4B0E-A26B-0CF895A7A3F8}" srcOrd="9" destOrd="0" presId="urn:microsoft.com/office/officeart/2005/8/layout/pyramid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D18127-7A53-4664-835D-BD766336B502}">
      <dsp:nvSpPr>
        <dsp:cNvPr id="0" name=""/>
        <dsp:cNvSpPr/>
      </dsp:nvSpPr>
      <dsp:spPr>
        <a:xfrm>
          <a:off x="893406" y="0"/>
          <a:ext cx="2377440" cy="2377440"/>
        </a:xfrm>
        <a:prstGeom prst="triangl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33E0873-4B42-4D97-B5C3-78C3EA2E8D6D}">
      <dsp:nvSpPr>
        <dsp:cNvPr id="0" name=""/>
        <dsp:cNvSpPr/>
      </dsp:nvSpPr>
      <dsp:spPr>
        <a:xfrm>
          <a:off x="2058161" y="237976"/>
          <a:ext cx="1545336" cy="338042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>
              <a:solidFill>
                <a:srgbClr val="444444"/>
              </a:solidFill>
              <a:latin typeface="Calibri"/>
              <a:ea typeface="Calibri"/>
              <a:cs typeface="Calibri"/>
            </a:rPr>
            <a:t>Strategic Business Decisions</a:t>
          </a:r>
        </a:p>
      </dsp:txBody>
      <dsp:txXfrm>
        <a:off x="2074663" y="254478"/>
        <a:ext cx="1512332" cy="305038"/>
      </dsp:txXfrm>
    </dsp:sp>
    <dsp:sp modelId="{F08C681E-08C3-4ADA-93C2-A300CC48F0D3}">
      <dsp:nvSpPr>
        <dsp:cNvPr id="0" name=""/>
        <dsp:cNvSpPr/>
      </dsp:nvSpPr>
      <dsp:spPr>
        <a:xfrm>
          <a:off x="2067990" y="630684"/>
          <a:ext cx="1545336" cy="338042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>
              <a:solidFill>
                <a:srgbClr val="000000"/>
              </a:solidFill>
              <a:latin typeface="Calibri"/>
              <a:ea typeface="Calibri"/>
              <a:cs typeface="Calibri"/>
            </a:rPr>
            <a:t>Business Valuation</a:t>
          </a:r>
          <a:endParaRPr lang="en-US" sz="900" kern="1200" dirty="0"/>
        </a:p>
      </dsp:txBody>
      <dsp:txXfrm>
        <a:off x="2084492" y="647186"/>
        <a:ext cx="1512332" cy="305038"/>
      </dsp:txXfrm>
    </dsp:sp>
    <dsp:sp modelId="{85C3D75B-A7E0-42C7-A36A-2183822B502E}">
      <dsp:nvSpPr>
        <dsp:cNvPr id="0" name=""/>
        <dsp:cNvSpPr/>
      </dsp:nvSpPr>
      <dsp:spPr>
        <a:xfrm>
          <a:off x="2058161" y="998571"/>
          <a:ext cx="1545336" cy="338042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>
              <a:solidFill>
                <a:srgbClr val="000000"/>
              </a:solidFill>
              <a:latin typeface="Calibri"/>
              <a:ea typeface="Calibri"/>
              <a:cs typeface="Calibri"/>
            </a:rPr>
            <a:t>Financial Forecasting</a:t>
          </a:r>
          <a:endParaRPr lang="en-US" sz="900" kern="1200" dirty="0"/>
        </a:p>
      </dsp:txBody>
      <dsp:txXfrm>
        <a:off x="2074663" y="1015073"/>
        <a:ext cx="1512332" cy="305038"/>
      </dsp:txXfrm>
    </dsp:sp>
    <dsp:sp modelId="{67783725-6A67-4A14-B482-E027BEA271F3}">
      <dsp:nvSpPr>
        <dsp:cNvPr id="0" name=""/>
        <dsp:cNvSpPr/>
      </dsp:nvSpPr>
      <dsp:spPr>
        <a:xfrm>
          <a:off x="2058161" y="1378868"/>
          <a:ext cx="1545336" cy="338042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>
              <a:solidFill>
                <a:srgbClr val="000000"/>
              </a:solidFill>
              <a:latin typeface="Calibri"/>
              <a:ea typeface="Calibri"/>
              <a:cs typeface="Calibri"/>
            </a:rPr>
            <a:t>Risk Management</a:t>
          </a:r>
          <a:endParaRPr lang="en-US" sz="900" kern="1200" dirty="0"/>
        </a:p>
      </dsp:txBody>
      <dsp:txXfrm>
        <a:off x="2074663" y="1395370"/>
        <a:ext cx="1512332" cy="305038"/>
      </dsp:txXfrm>
    </dsp:sp>
    <dsp:sp modelId="{ED095B89-6D1C-4625-9D63-2518535FEDDA}">
      <dsp:nvSpPr>
        <dsp:cNvPr id="0" name=""/>
        <dsp:cNvSpPr/>
      </dsp:nvSpPr>
      <dsp:spPr>
        <a:xfrm>
          <a:off x="2058161" y="1759166"/>
          <a:ext cx="1545336" cy="338042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>
              <a:solidFill>
                <a:srgbClr val="000000"/>
              </a:solidFill>
              <a:latin typeface="Calibri"/>
              <a:ea typeface="Calibri"/>
              <a:cs typeface="Calibri"/>
            </a:rPr>
            <a:t>Regulatory Compliance</a:t>
          </a:r>
          <a:endParaRPr lang="en-US" sz="900" kern="1200" dirty="0">
            <a:latin typeface="Calibri"/>
            <a:ea typeface="Calibri"/>
            <a:cs typeface="Calibri"/>
          </a:endParaRPr>
        </a:p>
      </dsp:txBody>
      <dsp:txXfrm>
        <a:off x="2074663" y="1775668"/>
        <a:ext cx="1512332" cy="3050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2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alg type="composite"/>
    <dgm:shape xmlns:r="http://schemas.openxmlformats.org/officeDocument/2006/relationships" r:blip="">
      <dgm:adjLst/>
    </dgm:shape>
    <dgm:presOf/>
    <dgm:varLst>
      <dgm:dir/>
      <dgm:resizeHandles/>
    </dgm:varLst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66FC-BFFE-4B40-8066-09C7692EB58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Mohammed Saud</dc:creator>
  <keywords/>
  <dc:description/>
  <lastModifiedBy>Kafeel Basha I</lastModifiedBy>
  <revision>8</revision>
  <dcterms:created xsi:type="dcterms:W3CDTF">2024-12-29T04:04:00.0000000Z</dcterms:created>
  <dcterms:modified xsi:type="dcterms:W3CDTF">2024-12-31T12:00:19.2059158Z</dcterms:modified>
</coreProperties>
</file>