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FinSight AI: ফোরকাস্টিং-চালিত ও টুল-গ্রাউন্ডেড LLM কোপাইলট দিয়ে ক্ষুদ্র ও মাঝারি ব্যবসার (SME) নগদ প্রবাহ ঝুঁকি শনাক্তকরণ — একটি প্রি-রেজিস্টার্ড, ওয়াক-ফরওয়ার্ড মূল্যায়ন</w:t>
      </w:r>
    </w:p>
    <w:p>
      <w:pPr/>
      <w:r>
        <w:rPr>
          <w:b/>
        </w:rPr>
        <w:t xml:space="preserve">লেখক:</w:t>
      </w:r>
      <w:r>
        <w:t xml:space="preserve"> Arman ও সহ-লেখকবৃন্দ</w:t>
      </w:r>
      <w:r>
        <w:br/>
      </w:r>
      <w:r>
        <w:rPr>
          <w:b/>
        </w:rPr>
        <w:t xml:space="preserve">লক্ষ্য জার্নাল ধরন:</w:t>
      </w:r>
      <w:r>
        <w:t xml:space="preserve"> Q1 (Decision Support Systems / Expert Systems with Applications / International Journal of Forecasting ধরনের)</w:t>
      </w:r>
      <w:r>
        <w:br/>
      </w:r>
      <w:r>
        <w:rPr>
          <w:b/>
        </w:rPr>
        <w:t xml:space="preserve">পাণ্ডুলিপির অবস্থা:</w:t>
      </w:r>
      <w:r>
        <w:t xml:space="preserve"> খসড়া v1.0 — ফলাফল সারণি পরীক্ষা চালানোর পর পূরণ করতে হবে</w:t>
      </w:r>
    </w:p>
    <w:p>
      <w:pPr>
        <w:pStyle w:val="Quote"/>
      </w:pPr>
      <w:r>
        <w:rPr>
          <w:b/>
        </w:rPr>
        <w:t xml:space="preserve">গুরুত্বপূর্ণ নোট:</w:t>
      </w:r>
      <w:r>
        <w:t xml:space="preserve"> এই খসড়ায় কোনো সংখ্যাগত ফলাফল বানানো হয়নি। আপনার প্রোটোকল অনুযায়ী সব পরীক্ষা চালিয়ে প্রাপ্ত মান [ ] চিহ্নিত জায়গায় বসাতে হবে। জমা দেওয়ার আগে প্রতিটি দাবি (বিশেষত ৩৫% উন্নতি ও ০% হ্যালুসিনেশন) প্রমাণিত ফলাফলের সাথে মিলিয়ে নরম বা সংশোধন করতে হবে।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সারসংক্ষেপ (Abstract)</w:t>
      </w:r>
    </w:p>
    <w:p>
      <w:pPr/>
      <w:r>
        <w:rPr>
          <w:b/>
        </w:rPr>
        <w:t xml:space="preserve">প্রেক্ষাপট:</w:t>
      </w:r>
      <w:r>
        <w:t xml:space="preserve"> ক্ষুদ্র ও মাঝারি ব্যবসা (SME) প্রায়ই নগদ প্রবাহের অদৃশ্যতার কারণে তারল্য সংকটে পড়ে। প্রচলিত স্থির ড্যাশবোর্ড কেবল বর্তমান ব্যালেন্স দেখায় (প্রতিক্রিয়াশীল), আর সাধারণ LLM আর্থিক পাটিগণিতে হ্যালুসিনেশন করে।</w:t>
      </w:r>
    </w:p>
    <w:p>
      <w:pPr/>
      <w:r>
        <w:rPr>
          <w:b/>
        </w:rPr>
        <w:t xml:space="preserve">উদ্দেশ্য:</w:t>
      </w:r>
      <w:r>
        <w:t xml:space="preserve"> আমরা এমন একটি সিস্টেম প্রস্তাব ও মূল্যায়ন করি যেখানে (ক) কোয়ান্টাইল গ্রেডিয়েন্ট-বুস্টিং ফোরকাস্ট, (খ) নির্ধারিত (deterministic) হিসাবরক্ষণ ইঞ্জিন, (গ) স্ট্রেস-সিমুলেটর এবং (ঘ) স্কিমা-নিয়ন্ত্রিত টুল-কলিং LLM একত্রে কাজ করে।</w:t>
      </w:r>
    </w:p>
    <w:p>
      <w:pPr/>
      <w:r>
        <w:rPr>
          <w:b/>
        </w:rPr>
        <w:t xml:space="preserve">পদ্ধতি:</w:t>
      </w:r>
      <w:r>
        <w:t xml:space="preserve"> ব্রাজিলীয় Olist ই-কমার্স (B2C, ২০১৬–২০১৮) প্রাথমিক ডেটা এবং UCI Online Retail (UK B2B, ২০১০–২০১১) ক্রস-ডোমেইন OOD ডেটা থেকে দৈনিক বিক্রয় তৈরি করে একটি অ্যাকাউন্টিং-সংগত আধা-কৃত্রিম (semi-synthetic) লেজার ইনজেক্ট করা হয়েছে। পরিশোধিত ৭-দিনের embargo-সহ ওয়াক-ফরওয়ার্ড ব্যাকটেস্টিং, Diebold–Mariano পরীক্ষা, PICP/MPIW ক্যালিব্রেশন, ৬০টি প্রম্পটের ব্লাইন্ড রুব্রিক মূল্যায়ন এবং পাঁচ-স্তরের অ্যাবলেশন ব্যবহৃত হয়েছে।</w:t>
      </w:r>
    </w:p>
    <w:p>
      <w:pPr/>
      <w:r>
        <w:rPr>
          <w:b/>
        </w:rPr>
        <w:t xml:space="preserve">ফলাফল:</w:t>
      </w:r>
      <w:r>
        <w:t xml:space="preserve"> [A3 বনাম Seasonal Naive-এ WAPE/MASE হ্রাস: ___; ৮০% কভারেজ: ___; B2-এর PR-AUC ও লিড টাইম: ___; D1-এর Critical Failure Rate: ___ বনাম D0: ___ — পরীক্ষার পর পূরণ করুন]</w:t>
      </w:r>
    </w:p>
    <w:p>
      <w:pPr/>
      <w:r>
        <w:rPr>
          <w:b/>
        </w:rPr>
        <w:t xml:space="preserve">অবদান:</w:t>
      </w:r>
      <w:r>
        <w:t xml:space="preserve"> আমাদের মূল অবদান হলো ‘LLM শুধু ব্যাখ্যা করে, গণনা করে না’ — এই স্থাপত্যিক নীতির পরিমাণগত যাচাই, এবং প্রতিটি উপাদানের আলাদা অবদান পরিমাপ।</w:t>
      </w:r>
    </w:p>
    <w:p>
      <w:pPr/>
      <w:r>
        <w:rPr>
          <w:b/>
        </w:rPr>
        <w:t xml:space="preserve">কীওয়ার্ড:</w:t>
      </w:r>
      <w:r>
        <w:t xml:space="preserve"> SME cash-flow; quantile forecasting; LightGBM; tool-augmented LLM; decision support; liquidity risk; walk-forward validation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১. ভূমিকা (Introduction)</w:t>
      </w:r>
    </w:p>
    <w:p>
      <w:pPr>
        <w:pStyle w:val="Heading3"/>
      </w:pPr>
      <w:r>
        <w:t xml:space="preserve">১.১ সমস্যার গুরুত্ব</w:t>
      </w:r>
    </w:p>
    <w:p>
      <w:pPr/>
      <w:r>
        <w:t xml:space="preserve">SME-এর ব্যর্থতার একটি প্রধান কারণ মুনাফার অভাব নয়, বরং </w:t>
      </w:r>
      <w:r>
        <w:rPr>
          <w:b/>
        </w:rPr>
        <w:t xml:space="preserve">সময়মতো নগদের অভাব</w:t>
      </w:r>
      <w:r>
        <w:t xml:space="preserve">। বিক্রয় থাকলেও গ্রাহকের পেমেন্ট বিলম্ব, সরবরাহকারীর বাকি এবং বেতন-ভাড়ার নির্দিষ্ট তারিখ — এসবের সংঘাতে নগদ ঘাটতি তৈরি হয়। মালিকদের সামনে সাধারণত দুটি বিকল্প থাকে: স্থির ড্যাশবোর্ড (যা দেরিতে সতর্ক করে) অথবা সাধারণ-উদ্দেশ্যের LLM (যা সাবলীল কিন্তু সংখ্যায় অনির্ভরযোগ্য)।</w:t>
      </w:r>
    </w:p>
    <w:p>
      <w:pPr>
        <w:pStyle w:val="Heading3"/>
      </w:pPr>
      <w:r>
        <w:t xml:space="preserve">১.২ গবেষণা ফাঁক</w:t>
      </w:r>
    </w:p>
    <w:p>
      <w:pPr/>
      <w:r>
        <w:t xml:space="preserve">১. ফোরকাস্টিং সাহিত্য সাধারণত নির্ভুলতা (MAE/RMSE) মাপে, </w:t>
      </w:r>
      <w:r>
        <w:rPr>
          <w:b/>
        </w:rPr>
        <w:t xml:space="preserve">ডাউনস্ট্রিম আর্থিক সিদ্ধান্ত</w:t>
      </w:r>
      <w:r>
        <w:t xml:space="preserve"> (রিজার্ভ ব্রিচ, আগাম সতর্কতা) মাপে না।</w:t>
      </w:r>
      <w:r>
        <w:br/>
      </w:r>
      <w:r>
        <w:t xml:space="preserve">২. LLM-ভিত্তিক আর্থিক সহকারীর মূল্যায়ন প্রায়ই গুণগত, এবং সংখ্যাগত হ্যালুসিনেশন আলাদা করে পরিমাপ করা হয় না।</w:t>
      </w:r>
      <w:r>
        <w:br/>
      </w:r>
      <w:r>
        <w:t xml:space="preserve">৩. উপাদান-ভিত্তিক (ablation) প্রমাণ অনুপস্থিত: ফোরকাস্ট, নির্ধারিত ইঞ্জিন, সিমুলেটর ও LLM — কোনটি কতটা মূল্য যোগ করে?</w:t>
      </w:r>
    </w:p>
    <w:p>
      <w:pPr>
        <w:pStyle w:val="Heading3"/>
      </w:pPr>
      <w:r>
        <w:t xml:space="preserve">১.৩ গবেষণা প্রশ্ন ও অবদান</w:t>
      </w:r>
    </w:p>
    <w:p>
      <w:pPr>
        <w:pStyle w:val="Quote"/>
      </w:pPr>
      <w:r>
        <w:rPr>
          <w:b/>
        </w:rPr>
        <w:t xml:space="preserve">RQ:</w:t>
      </w:r>
      <w:r>
        <w:t xml:space="preserve"> ফোরকাস্টিং-চালিত, টুল-গ্রাউন্ডেড LLM কোপাইলট স্থির ড্যাশবোর্ড ও আনঅগমেন্টেড LLM-এর তুলনায় SME-এর নগদ প্রবাহ দৃশ্যমানতা, ঝুঁকি শনাক্তকরণ ও সিদ্ধান্তের মান কতটা উন্নত করে?</w:t>
      </w:r>
    </w:p>
    <w:p>
      <w:pPr/>
      <w:r>
        <w:t xml:space="preserve">আমাদের চারটি অবদান: ১. </w:t>
      </w:r>
      <w:r>
        <w:rPr>
          <w:b/>
        </w:rPr>
        <w:t xml:space="preserve">দ্বৈত-ডোমেইন বৈধতা:</w:t>
      </w:r>
      <w:r>
        <w:t xml:space="preserve"> Olist (in-sample) + UCI (OOD) এবং সেলার-স্তরের SME স্লাইস।</w:t>
      </w:r>
      <w:r>
        <w:br/>
      </w:r>
      <w:r>
        <w:t xml:space="preserve">২. </w:t>
      </w:r>
      <w:r>
        <w:rPr>
          <w:b/>
        </w:rPr>
        <w:t xml:space="preserve">সিদ্ধান্ত-কেন্দ্রিক মেট্রিক:</w:t>
      </w:r>
      <w:r>
        <w:t xml:space="preserve"> PR-AUC, গড় আগাম সতর্কতা সময় (L_warning), শর্টফল MAE।</w:t>
      </w:r>
      <w:r>
        <w:br/>
      </w:r>
      <w:r>
        <w:t xml:space="preserve">৩. </w:t>
      </w:r>
      <w:r>
        <w:rPr>
          <w:b/>
        </w:rPr>
        <w:t xml:space="preserve">নির্ধারিত সিমুলেটর + গোল্ডেন টেস্ট:</w:t>
      </w:r>
      <w:r>
        <w:t xml:space="preserve"> শূন্য-ভেরিয়েন্স যাচাই।</w:t>
      </w:r>
      <w:r>
        <w:br/>
      </w:r>
      <w:r>
        <w:t xml:space="preserve">৪. </w:t>
      </w:r>
      <w:r>
        <w:rPr>
          <w:b/>
        </w:rPr>
        <w:t xml:space="preserve">হ্যালুসিনেশনের প্রমাণ-ভিত্তিক পরিমাপ:</w:t>
      </w:r>
      <w:r>
        <w:t xml:space="preserve"> Critical Failure Rate এবং ৫-অক্ষ রুব্রিক।</w:t>
      </w:r>
    </w:p>
    <w:p>
      <w:pPr>
        <w:pStyle w:val="Heading3"/>
      </w:pPr>
      <w:r>
        <w:t xml:space="preserve">১.৪ প্রি-রেজিস্টার্ড হাইপোথিসিস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নাল (H0)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বিকল্প (H1)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H1</w:t>
            </w:r>
          </w:p>
        </w:tc>
        <w:tc>
          <w:tcPr>
            <w:tcW w:w="3120" w:type="dxa"/>
          </w:tcPr>
          <w:p>
            <w:pPr/>
            <w:r>
              <w:t xml:space="preserve">গ্রেডিয়েন্ট-বুস্টেড কোয়ান্টাইল মডেল WAPE/MASE-এ Seasonal Naive-এর চেয়ে ভালো নয়</w:t>
            </w:r>
          </w:p>
        </w:tc>
        <w:tc>
          <w:tcPr>
            <w:tcW w:w="3120" w:type="dxa"/>
          </w:tcPr>
          <w:p>
            <w:pPr/>
            <w:r>
              <w:t xml:space="preserve">৭, ১৪, ৩০ দিন হরাইজনে উল্লেখযোগ্যভাবে ভালো (DM, p &lt; 0.05)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H2</w:t>
            </w:r>
          </w:p>
        </w:tc>
        <w:tc>
          <w:tcPr>
            <w:tcW w:w="3120" w:type="dxa"/>
          </w:tcPr>
          <w:p>
            <w:pPr/>
            <w:r>
              <w:t xml:space="preserve">LLM-এর সরাসরি নগদ অনুমান নির্ধারিত ইঞ্জিনের সমান বা ভালো</w:t>
            </w:r>
          </w:p>
        </w:tc>
        <w:tc>
          <w:tcPr>
            <w:tcW w:w="3120" w:type="dxa"/>
          </w:tcPr>
          <w:p>
            <w:pPr/>
            <w:r>
              <w:t xml:space="preserve">ফোরকাস্ট-গ্রাউন্ডেড ইঞ্জিন PR-AUC-তে ≥ ৩৫% (আপেক্ষিক) এগিয়ে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H3</w:t>
            </w:r>
          </w:p>
        </w:tc>
        <w:tc>
          <w:tcPr>
            <w:tcW w:w="3120" w:type="dxa"/>
          </w:tcPr>
          <w:p>
            <w:pPr/>
            <w:r>
              <w:t xml:space="preserve">—</w:t>
            </w:r>
          </w:p>
        </w:tc>
        <w:tc>
          <w:tcPr>
            <w:tcW w:w="3120" w:type="dxa"/>
          </w:tcPr>
          <w:p>
            <w:pPr/>
            <w:r>
              <w:t xml:space="preserve">সিমুলেটর শূন্য-ভেরিয়েন্স ও বিশ্লেষণাত্মক সমাধানের সাথে হুবহু মিল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H4</w:t>
            </w:r>
          </w:p>
        </w:tc>
        <w:tc>
          <w:tcPr>
            <w:tcW w:w="3120" w:type="dxa"/>
          </w:tcPr>
          <w:p>
            <w:pPr/>
            <w:r>
              <w:t xml:space="preserve">—</w:t>
            </w:r>
          </w:p>
        </w:tc>
        <w:tc>
          <w:tcPr>
            <w:tcW w:w="3120" w:type="dxa"/>
          </w:tcPr>
          <w:p>
            <w:pPr/>
            <w:r>
              <w:t xml:space="preserve">টুল-গ্রাউন্ডেড LLM-এর রুব্রিক স্কোর ≥ ৮.৫/১০ এবং Critical Failure &lt; ২% (আনঅগমেন্টেড &gt; ৪০%-এর বিপরীতে)</w:t>
            </w:r>
          </w:p>
        </w:tc>
      </w:tr>
    </w:tbl>
    <w:p>
      <w:pPr>
        <w:pStyle w:val="Quote"/>
      </w:pPr>
      <w:r>
        <w:rPr>
          <w:b/>
        </w:rPr>
        <w:t xml:space="preserve">পর্যালোচকের সতর্কতা:</w:t>
      </w:r>
      <w:r>
        <w:t xml:space="preserve"> H3 একটি যাচাই (verification) — পরিসংখ্যানগত হাইপোথিসিস নয়; একে ‘সফটওয়্যার সঠিকতা পরীক্ষা’ হিসেবে উপস্থাপন করুন। H2/H4-এর সংখ্যাগত থ্রেশহোল্ড (৩৫%, ২%, ৪০%) আগে থেকে নির্ধারিত হলে তা প্রি-রেজিস্ট্রেশনের (OSF/AsPredicted) সময়-স্ট্যাম্পসহ উল্লেখ করুন, নইলে এগুলো লক্ষ্য হিসেবে নয়, প্রত্যাশা হিসেবে লিখুন।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২. সম্পর্কিত গবেষণা (Related Work)</w:t>
      </w:r>
    </w:p>
    <w:p>
      <w:pPr/>
      <w:r>
        <w:rPr>
          <w:b/>
        </w:rPr>
        <w:t xml:space="preserve">২.১ বিক্রয় ফোরকাস্টিং।</w:t>
      </w:r>
      <w:r>
        <w:t xml:space="preserve"> M5 প্রতিযোগিতা (Makridakis et al., 2022) দেখিয়েছে গ্রেডিয়েন্ট-বুস্টিং ও ফিচার-ইঞ্জিনিয়ারিং খুচরা বিক্রয় ফোরকাস্টে প্রতিযোগিতামূলক। আমরা LightGBM (Ke et al., 2017) ও CatBoost (Prokhorenkova et al., 2018) ব্যবহার করি; কোয়ান্টাইল রিগ্রেশনের ভিত্তি Koenker &amp; Bassett (1978); সম্ভাব্যতা-ফোরকাস্টের মূল্যায়ন-দর্শন Gneiting &amp; Raftery (2007)।</w:t>
      </w:r>
    </w:p>
    <w:p>
      <w:pPr/>
      <w:r>
        <w:rPr>
          <w:b/>
        </w:rPr>
        <w:t xml:space="preserve">২.২ নির্ভুলতা মেট্রিক ও তুলনা-পরীক্ষা।</w:t>
      </w:r>
      <w:r>
        <w:t xml:space="preserve"> MASE (Hyndman &amp; Koehler, 2006) স্কেল-নিরপেক্ষ তুলনা দেয়; ফোরকাস্টের পরিসংখ্যানগত তুলনায় Diebold–Mariano (1995) এবং ছোট-নমুনা সংশোধনী Harvey–Leybourne–Newbold (1997) ব্যবহৃত হয়।</w:t>
      </w:r>
    </w:p>
    <w:p>
      <w:pPr/>
      <w:r>
        <w:rPr>
          <w:b/>
        </w:rPr>
        <w:t xml:space="preserve">২.৩ টুল-অগমেন্টেড ও রিট্রিভাল-অগমেন্টেড LLM।</w:t>
      </w:r>
      <w:r>
        <w:t xml:space="preserve"> ReAct (Yao et al., 2023), Toolformer (Schick et al., 2023) ও RAG (Lewis et al., 2020) দেখায় বাহ্যিক টুল/জ্ঞান LLM-এর তথ্যগত নির্ভরযোগ্যতা বাড়াতে পারে। আমাদের নতুনত্ব এগুলোকে </w:t>
      </w:r>
      <w:r>
        <w:rPr>
          <w:b/>
        </w:rPr>
        <w:t xml:space="preserve">আর্থিক সিদ্ধান্তের বাধ্যতামূলক নির্ধারিত গণনা-স্তরের</w:t>
      </w:r>
      <w:r>
        <w:t xml:space="preserve"> সাথে যুক্ত করে পরিমাণগতভাবে অ্যাবলেট করা।</w:t>
      </w:r>
    </w:p>
    <w:p>
      <w:pPr/>
      <w:r>
        <w:rPr>
          <w:b/>
        </w:rPr>
        <w:t xml:space="preserve">২.৪ গবেষণা-ফাঁক সারাংশ।</w:t>
      </w:r>
      <w:r>
        <w:t xml:space="preserve"> আমাদের জানা মতে, ফোরকাস্ট → নির্ধারিত নগদ ইঞ্জিন → স্ট্রেস-সিমুলেটর → টুল-কলিং LLM — এই পুরো শৃঙ্খল একই প্রোটোকলে পাঁচ-স্তরের অ্যাবলেশনসহ মূল্যায়ন করা কাজ সীমিত। </w:t>
      </w:r>
      <w:r>
        <w:rPr>
          <w:i/>
        </w:rPr>
        <w:t xml:space="preserve">(সাহিত্য পর্যালোচনা আরও গভীর করে সাম্প্রতিক ২০২৩–২০২৬ কাজ যোগ করুন এবং এই ‘সীমিত’ দাবি যাচাই করুন।)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৩. ডেটা ও লেজার ইনজেকশন</w:t>
      </w:r>
    </w:p>
    <w:p>
      <w:pPr>
        <w:pStyle w:val="Heading3"/>
      </w:pPr>
      <w:r>
        <w:t xml:space="preserve">৩.১ ডেটাসেট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ডোমেইন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ডেটাসেট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সময়কাল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ভূমিকা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 (B2C)</w:t>
            </w:r>
          </w:p>
        </w:tc>
        <w:tc>
          <w:tcPr>
            <w:tcW w:w="2340" w:type="dxa"/>
          </w:tcPr>
          <w:p>
            <w:pPr/>
            <w:r>
              <w:t xml:space="preserve">Olist Brazilian E-Commerce</w:t>
            </w:r>
          </w:p>
        </w:tc>
        <w:tc>
          <w:tcPr>
            <w:tcW w:w="2340" w:type="dxa"/>
          </w:tcPr>
          <w:p>
            <w:pPr/>
            <w:r>
              <w:t xml:space="preserve">~২ বছর (২০১৬–২০১৮)</w:t>
            </w:r>
          </w:p>
        </w:tc>
        <w:tc>
          <w:tcPr>
            <w:tcW w:w="2340" w:type="dxa"/>
          </w:tcPr>
          <w:p>
            <w:pPr/>
            <w:r>
              <w:t xml:space="preserve">প্রাথমিক টাইম-সিরিজ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 (B2B)</w:t>
            </w:r>
          </w:p>
        </w:tc>
        <w:tc>
          <w:tcPr>
            <w:tcW w:w="2340" w:type="dxa"/>
          </w:tcPr>
          <w:p>
            <w:pPr/>
            <w:r>
              <w:t xml:space="preserve">UCI Online Retail (UK)</w:t>
            </w:r>
          </w:p>
        </w:tc>
        <w:tc>
          <w:tcPr>
            <w:tcW w:w="2340" w:type="dxa"/>
          </w:tcPr>
          <w:p>
            <w:pPr/>
            <w:r>
              <w:t xml:space="preserve">~১ বছর (২০১০–২০১১)</w:t>
            </w:r>
          </w:p>
        </w:tc>
        <w:tc>
          <w:tcPr>
            <w:tcW w:w="2340" w:type="dxa"/>
          </w:tcPr>
          <w:p>
            <w:pPr/>
            <w:r>
              <w:t xml:space="preserve">ক্রস-ডোমেইন OOD</w:t>
            </w:r>
          </w:p>
        </w:tc>
      </w:tr>
    </w:tbl>
    <w:p>
      <w:pPr>
        <w:pStyle w:val="Heading3"/>
      </w:pPr>
      <w:r>
        <w:t xml:space="preserve">৩.২ Olist প্রসেসিং</w:t>
      </w:r>
    </w:p>
    <w:p>
      <w:pPr/>
      <w:r>
        <w:t xml:space="preserve">১. </w:t>
      </w:r>
      <w:r>
        <w:rPr>
          <w:rStyle w:val="CodeChar"/>
        </w:rPr>
        <w:t xml:space="preserve">orders</w:t>
      </w:r>
      <w:r>
        <w:t xml:space="preserve"> ও </w:t>
      </w:r>
      <w:r>
        <w:rPr>
          <w:rStyle w:val="CodeChar"/>
        </w:rPr>
        <w:t xml:space="preserve">order_items</w:t>
      </w:r>
      <w:r>
        <w:t xml:space="preserve">-কে </w:t>
      </w:r>
      <w:r>
        <w:rPr>
          <w:rStyle w:val="CodeChar"/>
        </w:rPr>
        <w:t xml:space="preserve">order_id</w:t>
      </w:r>
      <w:r>
        <w:t xml:space="preserve">-তে জয়েন; কেবল </w:t>
      </w:r>
      <w:r>
        <w:rPr>
          <w:rStyle w:val="CodeChar"/>
        </w:rPr>
        <w:t xml:space="preserve">order_status = delivered</w:t>
      </w:r>
      <w:r>
        <w:t xml:space="preserve">।</w:t>
      </w:r>
      <w:r>
        <w:br/>
      </w:r>
      <w:r>
        <w:t xml:space="preserve">২. </w:t>
      </w:r>
      <w:r>
        <w:rPr>
          <w:b/>
        </w:rPr>
        <w:t xml:space="preserve">ডাবল-কাউন্টিং প্রতিরোধ:</w:t>
      </w:r>
      <w:r>
        <w:t xml:space="preserve"> রাজস্বের জন্য </w:t>
      </w:r>
      <w:r>
        <w:rPr>
          <w:rStyle w:val="CodeChar"/>
        </w:rPr>
        <w:t xml:space="preserve">order_payments</w:t>
      </w:r>
      <w:r>
        <w:t xml:space="preserve"> জয়েন করা হয়নি, কারণ কিস্তি-বিভাজিত পেমেন্ট মোট লেনদেন ফুলিয়ে দেয় (প্রোটোকলে উল্লিখিত সর্বোচ্চ ১৮.৪% — </w:t>
      </w:r>
      <w:r>
        <w:rPr>
          <w:i/>
        </w:rPr>
        <w:t xml:space="preserve">এই সংখ্যাটি নিজস্ব ডেটায় পুনরায় গণনা করে নিশ্চিত করুন</w:t>
      </w:r>
      <w:r>
        <w:t xml:space="preserve">)।</w:t>
      </w:r>
      <w:r>
        <w:br/>
      </w:r>
      <w:r>
        <w:t xml:space="preserve">৩. দৈনিক সিরিজ = </w:t>
      </w:r>
      <w:r>
        <w:rPr>
          <w:rStyle w:val="CodeChar"/>
        </w:rPr>
        <w:t xml:space="preserve">price + freight_value</w:t>
      </w:r>
      <w:r>
        <w:t xml:space="preserve">-এর যোগফল, </w:t>
      </w:r>
      <w:r>
        <w:rPr>
          <w:rStyle w:val="CodeChar"/>
        </w:rPr>
        <w:t xml:space="preserve">order_purchase_timestamp</w:t>
      </w:r>
      <w:r>
        <w:t xml:space="preserve">-এর তারিখ অনুযায়ী।</w:t>
      </w:r>
      <w:r>
        <w:br/>
      </w:r>
      <w:r>
        <w:t xml:space="preserve">৪. অবিচ্ছিন্ন ক্যালেন্ডারে রিইনডেক্স; শূন্য-বিক্রয় দিন </w:t>
      </w:r>
      <w:r>
        <w:rPr>
          <w:rStyle w:val="CodeChar"/>
        </w:rPr>
        <w:t xml:space="preserve">0.0</w:t>
      </w:r>
      <w:r>
        <w:t xml:space="preserve">।</w:t>
      </w:r>
      <w:r>
        <w:br/>
      </w:r>
      <w:r>
        <w:t xml:space="preserve">৫. </w:t>
      </w:r>
      <w:r>
        <w:rPr>
          <w:b/>
        </w:rPr>
        <w:t xml:space="preserve">সেলার-স্তর SME স্লাইস:</w:t>
      </w:r>
      <w:r>
        <w:t xml:space="preserve"> সবচেয়ে ধারাবাহিক শীর্ষ k = ৩ </w:t>
      </w:r>
      <w:r>
        <w:rPr>
          <w:rStyle w:val="CodeChar"/>
        </w:rPr>
        <w:t xml:space="preserve">seller_id</w:t>
      </w:r>
      <w:r>
        <w:t xml:space="preserve">।</w:t>
      </w:r>
    </w:p>
    <w:p>
      <w:pPr>
        <w:pStyle w:val="Heading3"/>
      </w:pPr>
      <w:r>
        <w:t xml:space="preserve">৩.৩ UCI প্রসেসিং</w:t>
      </w:r>
    </w:p>
    <w:p>
      <w:pPr/>
      <w:r>
        <w:t xml:space="preserve">১. Excel → Parquet রূপান্তর (I/O দ্রুত করতে)।</w:t>
      </w:r>
      <w:r>
        <w:br/>
      </w:r>
      <w:r>
        <w:t xml:space="preserve">২. অ-পণ্য কোড (</w:t>
      </w:r>
      <w:r>
        <w:rPr>
          <w:rStyle w:val="CodeChar"/>
        </w:rPr>
        <w:t xml:space="preserve">POST</w:t>
      </w:r>
      <w:r>
        <w:t xml:space="preserve">, </w:t>
      </w:r>
      <w:r>
        <w:rPr>
          <w:rStyle w:val="CodeChar"/>
        </w:rPr>
        <w:t xml:space="preserve">D</w:t>
      </w:r>
      <w:r>
        <w:t xml:space="preserve">, </w:t>
      </w:r>
      <w:r>
        <w:rPr>
          <w:rStyle w:val="CodeChar"/>
        </w:rPr>
        <w:t xml:space="preserve">M</w:t>
      </w:r>
      <w:r>
        <w:t xml:space="preserve">, </w:t>
      </w:r>
      <w:r>
        <w:rPr>
          <w:rStyle w:val="CodeChar"/>
        </w:rPr>
        <w:t xml:space="preserve">CRATE</w:t>
      </w:r>
      <w:r>
        <w:t xml:space="preserve">) বাদ; </w:t>
      </w:r>
      <w:r>
        <w:rPr>
          <w:rStyle w:val="CodeChar"/>
        </w:rPr>
        <w:t xml:space="preserve">C</w:t>
      </w:r>
      <w:r>
        <w:t xml:space="preserve">-দিয়ে-শুরু ইনভয়েস আলাদা রিটার্ন-স্ট্রিমে; </w:t>
      </w:r>
      <w:r>
        <w:rPr>
          <w:rStyle w:val="CodeChar"/>
        </w:rPr>
        <w:t xml:space="preserve">Quantity &gt; 0</w:t>
      </w:r>
      <w:r>
        <w:t xml:space="preserve">, </w:t>
      </w:r>
      <w:r>
        <w:rPr>
          <w:rStyle w:val="CodeChar"/>
        </w:rPr>
        <w:t xml:space="preserve">UnitPrice &gt; 0</w:t>
      </w:r>
      <w:r>
        <w:t xml:space="preserve">।</w:t>
      </w:r>
      <w:r>
        <w:br/>
      </w:r>
      <w:r>
        <w:t xml:space="preserve">৩. </w:t>
      </w:r>
      <w:r>
        <w:rPr>
          <w:rStyle w:val="CodeChar"/>
        </w:rPr>
        <w:t xml:space="preserve">Country = United Kingdom</w:t>
      </w:r>
      <w:r>
        <w:t xml:space="preserve"> ফিল্টার।</w:t>
      </w:r>
      <w:r>
        <w:br/>
      </w:r>
      <w:r>
        <w:t xml:space="preserve">৪. বন্ধের দিনে স্পষ্ট শূন্য রাজস্ব এন্ট্রি।</w:t>
      </w:r>
    </w:p>
    <w:p>
      <w:pPr>
        <w:pStyle w:val="Heading3"/>
      </w:pPr>
      <w:r>
        <w:t xml:space="preserve">৩.৪ আধা-কৃত্রিম SME লেজার ও এর সীমাবদ্ধতা</w:t>
      </w:r>
    </w:p>
    <w:p>
      <w:pPr/>
      <w:r>
        <w:t xml:space="preserve">Olist/UCI-তে বাস্তব ব্যবসার ব্যয়, বেতন, ভাড়া, ঋণ বা নগদ ব্যালেন্স নেই। তাই আমরা বিক্রয়ের ওপর একটি </w:t>
      </w:r>
      <w:r>
        <w:rPr>
          <w:b/>
        </w:rPr>
        <w:t xml:space="preserve">অ্যাকাউন্টিং-সংগত লেজার ইনজেক্ট</w:t>
      </w:r>
      <w:r>
        <w:t xml:space="preserve"> করি (§৪.২)। এটি পদ্ধতিগত সুবিধা দেয় (ground truth জানা, পুনরুৎপাদনযোগ্যতা), কিন্তু </w:t>
      </w:r>
      <w:r>
        <w:rPr>
          <w:b/>
        </w:rPr>
        <w:t xml:space="preserve">বাহ্যিক বৈধতার সীমা</w:t>
      </w:r>
      <w:r>
        <w:t xml:space="preserve"> তৈরি করে: ব্রিচ-লেবেল আমাদের নির্ধারিত প্যারামিটার (β, লেগ, রিজার্ভ) দ্বারা সংজ্ঞায়িত। এজন্য আমরা প্যারামিটার-সংবেদনশীলতা বিশ্লেষণ (β ∈ [0.55, 0.65], লেগ ও রিজার্ভ বৈচিত্র্য) বাধ্যতামূলক করছি এবং মূল ফলাফলে ‘আধা-কৃত্রিম’ কথাটি স্পষ্ট রাখছি।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৪. পদ্ধতি (Methodology)</w:t>
      </w:r>
    </w:p>
    <w:p>
      <w:pPr>
        <w:pStyle w:val="Heading3"/>
      </w:pPr>
      <w:r>
        <w:t xml:space="preserve">৪.১ সিস্টেম স্থাপত্য</w:t>
      </w:r>
    </w:p>
    <w:p>
      <w:pPr/>
      <w:r>
        <w:t xml:space="preserve">FinSight AI চার স্তরে কাজ করে: </w:t>
      </w:r>
      <w:r>
        <w:rPr>
          <w:b/>
        </w:rPr>
        <w:t xml:space="preserve">(১)</w:t>
      </w:r>
      <w:r>
        <w:t xml:space="preserve"> বিক্রয় ফোরকাস্ট মডিউল, </w:t>
      </w:r>
      <w:r>
        <w:rPr>
          <w:b/>
        </w:rPr>
        <w:t xml:space="preserve">(২)</w:t>
      </w:r>
      <w:r>
        <w:t xml:space="preserve"> নির্ধারিত নগদ-প্রবাহ ইঞ্জিন, </w:t>
      </w:r>
      <w:r>
        <w:rPr>
          <w:b/>
        </w:rPr>
        <w:t xml:space="preserve">(৩)</w:t>
      </w:r>
      <w:r>
        <w:t xml:space="preserve"> স্ট্রেস-শক সিমুলেটর, </w:t>
      </w:r>
      <w:r>
        <w:rPr>
          <w:b/>
        </w:rPr>
        <w:t xml:space="preserve">(৪)</w:t>
      </w:r>
      <w:r>
        <w:t xml:space="preserve"> টুল-গ্রাউন্ডেড LLM কোপাইলট। মূল নকশা-নীতি: LLM কখনো আর্থিক পাটিগণিত করে না; সে শুধু (২) ও (৩) স্তরের নির্ধারিত আউটপুট ডাকে ও ব্যাখ্যা করে।</w:t>
      </w:r>
    </w:p>
    <w:p>
      <w:pPr>
        <w:pStyle w:val="Heading3"/>
      </w:pPr>
      <w:r>
        <w:t xml:space="preserve">৪.২ নির্ধারিত নগদ-প্রবাহ অবস্থা-যন্ত্র</w:t>
      </w:r>
    </w:p>
    <w:p>
      <w:pPr/>
      <w:r>
        <w:t xml:space="preserve">দিন t-র সমাপনী নগদ ব্যালেন্স C_t নিম্নরূপ:</w:t>
      </w:r>
    </w:p>
    <w:p>
      <w:pPr>
        <w:pStyle w:val="Code"/>
      </w:pPr>
      <w:bookmarkStart w:id="1" w:name="bongo_lang_latex_1"/>
      <w:bookmarkEnd w:id="1"/>
      <w:r>
        <w:t xml:space="preserve">C_t = C_{t-1} + I_t - O_t</w:t>
      </w:r>
    </w:p>
    <w:p/>
    <w:p>
      <w:pPr>
        <w:pStyle w:val="Code"/>
      </w:pPr>
      <w:bookmarkStart w:id="2" w:name="bongo_lang_latex_2"/>
      <w:bookmarkEnd w:id="2"/>
      <w:r>
        <w:t xml:space="preserve">I_t = \text{SalesCash}_{t-L_{\text{settlement}}} + \text{ReceivablesCollected}_t</w:t>
      </w:r>
    </w:p>
    <w:p/>
    <w:p>
      <w:pPr>
        <w:pStyle w:val="Code"/>
      </w:pPr>
      <w:bookmarkStart w:id="3" w:name="bongo_lang_latex_3"/>
      <w:bookmarkEnd w:id="3"/>
      <w:r>
        <w:t xml:space="preserve">O_t = \text{COGS}_t + \text{Payroll}_t + \text{Rent}_t + \text{Tax}_t + \text{DebtService}_t</w:t>
      </w:r>
    </w:p>
    <w:p/>
    <w:p>
      <w:pPr>
        <w:pStyle w:val="Code"/>
      </w:pPr>
      <w:bookmarkStart w:id="4" w:name="bongo_lang_latex_4"/>
      <w:bookmarkEnd w:id="4"/>
      <w:r>
        <w:t xml:space="preserve">\text{COGS}_t = \beta \cdot \text{Sales}_{t-L_{\text{supplier}}}, \quad \beta \in [0.55, 0.65], \; L_{\text{supplier}} = 15</w:t>
      </w:r>
    </w:p>
    <w:p>
      <w:pPr>
        <w:pStyle w:val="ListParagraph"/>
        <w:numPr>
          <w:ilvl w:val="0"/>
          <w:numId w:val="2"/>
        </w:numPr>
      </w:pPr>
      <w:r>
        <w:t xml:space="preserve">বেতন: প্রতি মাসের ১ ও ১৫ তারিখে; ভাড়া: প্রতি মাসের ৫ তারিখে।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ন্যূনতম পরিচালন রিজার্ভ R</w:t>
      </w:r>
      <w:r>
        <w:t xml:space="preserve"> = গড় স্থির OPEX-এর ৩০ দিন।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ব্রিচ অবস্থা:</w:t>
      </w:r>
      <w:r>
        <w:t xml:space="preserve"> B_t = 1 যদি C_t &lt; R, নইলে 0।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তারল্য ঘাটতি:</w:t>
      </w:r>
      <w:r>
        <w:t xml:space="preserve"> S_t = max(0, R − C_t)।</w:t>
      </w:r>
    </w:p>
    <w:p>
      <w:pPr>
        <w:pStyle w:val="Quote"/>
      </w:pPr>
      <w:r>
        <w:rPr>
          <w:b/>
        </w:rPr>
        <w:t xml:space="preserve">পদ্ধতিগত নোট:</w:t>
      </w:r>
      <w:r>
        <w:t xml:space="preserve"> β, L_settlement, বেতন-ভাড়ার পরিমাণ, ও R-এর মান কীভাবে নির্ধারিত হয়েছে (যেমন বিক্রয়ের অনুপাত হিসেবে OPEX) তা টেবিলে দিন এবং সেলার-ভেদে র‍্যান্ডম সিড সহ পুনরুৎপাদনযোগ্য ভাবে প্রকাশ করুন। না হলে রিভিউয়ার ‘সিনারিও-ইঞ্জিনিয়ারড ground truth’ নিয়ে আপত্তি তুলবেন।</w:t>
      </w:r>
    </w:p>
    <w:p>
      <w:pPr>
        <w:pStyle w:val="Heading3"/>
      </w:pPr>
      <w:r>
        <w:t xml:space="preserve">৪.৩ ফোরকাস্টিং মডেল স্যুট (Experiment A)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মডেল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বিবরণ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A0</w:t>
            </w:r>
          </w:p>
        </w:tc>
        <w:tc>
          <w:tcPr>
            <w:tcW w:w="3120" w:type="dxa"/>
          </w:tcPr>
          <w:p>
            <w:pPr/>
            <w:r>
              <w:t xml:space="preserve">Last-Value Naive</w:t>
            </w:r>
          </w:p>
        </w:tc>
        <w:tc>
          <w:tcPr>
            <w:tcW w:w="3120" w:type="dxa"/>
          </w:tcPr>
          <w:p>
            <w:pPr/>
            <w:r>
              <w:t xml:space="preserve">y(t+h) = y(t)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A1</w:t>
            </w:r>
          </w:p>
        </w:tc>
        <w:tc>
          <w:tcPr>
            <w:tcW w:w="3120" w:type="dxa"/>
          </w:tcPr>
          <w:p>
            <w:pPr/>
            <w:r>
              <w:t xml:space="preserve">Seasonal Naive (৭ দিন)</w:t>
            </w:r>
          </w:p>
        </w:tc>
        <w:tc>
          <w:tcPr>
            <w:tcW w:w="3120" w:type="dxa"/>
          </w:tcPr>
          <w:p>
            <w:pPr/>
            <w:r>
              <w:t xml:space="preserve">একই সাপ্তাহিক দিনের শেষ পর্যবেক্ষণ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A2</w:t>
            </w:r>
          </w:p>
        </w:tc>
        <w:tc>
          <w:tcPr>
            <w:tcW w:w="3120" w:type="dxa"/>
          </w:tcPr>
          <w:p>
            <w:pPr/>
            <w:r>
              <w:t xml:space="preserve">EMA</w:t>
            </w:r>
          </w:p>
        </w:tc>
        <w:tc>
          <w:tcPr>
            <w:tcW w:w="3120" w:type="dxa"/>
          </w:tcPr>
          <w:p>
            <w:pPr/>
            <w:r>
              <w:t xml:space="preserve">২৮ দিনের ক্ষয়িষ্ণু উইন্ডো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A3</w:t>
            </w:r>
          </w:p>
        </w:tc>
        <w:tc>
          <w:tcPr>
            <w:tcW w:w="3120" w:type="dxa"/>
          </w:tcPr>
          <w:p>
            <w:pPr/>
            <w:r>
              <w:t xml:space="preserve">LightGBM Quantile (প্রস্তাবিত)</w:t>
            </w:r>
          </w:p>
        </w:tc>
        <w:tc>
          <w:tcPr>
            <w:tcW w:w="3120" w:type="dxa"/>
          </w:tcPr>
          <w:p>
            <w:pPr/>
            <w:r>
              <w:t xml:space="preserve">pinball loss, α ∈ {0.10, 0.50, 0.90}; ডাইরেক্ট মাল্টি-হরাইজন h ∈ {7, 14, 30}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A4</w:t>
            </w:r>
          </w:p>
        </w:tc>
        <w:tc>
          <w:tcPr>
            <w:tcW w:w="3120" w:type="dxa"/>
          </w:tcPr>
          <w:p>
            <w:pPr/>
            <w:r>
              <w:t xml:space="preserve">CatBoost MultiQuantile (চ্যালেঞ্জার)</w:t>
            </w:r>
          </w:p>
        </w:tc>
        <w:tc>
          <w:tcPr>
            <w:tcW w:w="3120" w:type="dxa"/>
          </w:tcPr>
          <w:p>
            <w:pPr/>
            <w:r>
              <w:t xml:space="preserve">সিমেট্রিক ট্রি</w:t>
            </w:r>
          </w:p>
        </w:tc>
      </w:tr>
    </w:tbl>
    <w:p>
      <w:pPr/>
      <w:r>
        <w:rPr>
          <w:b/>
        </w:rPr>
        <w:t xml:space="preserve">পিনবল লস:</w:t>
      </w:r>
    </w:p>
    <w:p>
      <w:pPr>
        <w:pStyle w:val="Code"/>
      </w:pPr>
      <w:bookmarkStart w:id="5" w:name="bongo_lang_latex_5"/>
      <w:bookmarkEnd w:id="5"/>
      <w:r>
        <w:t xml:space="preserve">L_\alpha(y,\hat{q}) = \max\big(\alpha (y-\hat{q}),\; (\alpha-1)(y-\hat{q})\big)</w:t>
      </w:r>
    </w:p>
    <w:p>
      <w:pPr/>
      <w:r>
        <w:rPr>
          <w:b/>
        </w:rPr>
        <w:t xml:space="preserve">ফিচার সেট: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অটোরিগ্রেসিভ ল্যাগ:</w:t>
      </w:r>
      <w:r>
        <w:t xml:space="preserve"> y(t−1), y(t−2), y(t−3), y(t−7), y(t−14), y(t−21), y(t−28)।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রোলিং পরিসংখ্যান:</w:t>
      </w:r>
      <w:r>
        <w:t xml:space="preserve"> W ∈ {7, 14, 28}-এ গড়, স্ট্যান্ডার্ড ডেভিয়েশন, স্কিউ, ন্যূনতম, সর্বোচ্চ (সবই ১ দিন ল্যাগড)।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ক্যালেন্ডার ও ফুরিয়ার:</w:t>
      </w:r>
      <w:r>
        <w:t xml:space="preserve"> সপ্তাহের দিন, মাসের দিন, মাস, সপ্তাহান্ত, sin/cos(2π·day/7)।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অর্থনৈতিক সূচক:</w:t>
      </w:r>
      <w:r>
        <w:t xml:space="preserve"> বেতন-নৈকট্য (মাসের ২৫ তারিখ থেকে ৫ তারিখ) ও ব্রাজিল/ইউকে সরকারি ছুটি।</w:t>
      </w:r>
    </w:p>
    <w:p>
      <w:pPr>
        <w:pStyle w:val="Heading3"/>
      </w:pPr>
      <w:r>
        <w:t xml:space="preserve">৪.৪ ডেটা-ফুটো প্রতিরোধ ও ক্রস-ভ্যালিডেশন</w:t>
      </w:r>
    </w:p>
    <w:p>
      <w:pPr/>
      <w:r>
        <w:t xml:space="preserve">Random k-fold নিষিদ্ধ (অটোকোরিলেশন ও ভবিষ্যৎ-ফুটো)। আমরা </w:t>
      </w:r>
      <w:r>
        <w:rPr>
          <w:b/>
        </w:rPr>
        <w:t xml:space="preserve">প্রসারণশীল উইন্ডো, পরিশোধিত ওয়াক-ফরওয়ার্ড (purged walk-forward)</w:t>
      </w:r>
      <w:r>
        <w:t xml:space="preserve"> ব্যবহার করি, যেখানে ট্রেন/ভ্যালিডেশন/টেস্টের মাঝে </w:t>
      </w:r>
      <w:r>
        <w:rPr>
          <w:b/>
        </w:rPr>
        <w:t xml:space="preserve">৭ দিনের embargo</w:t>
      </w:r>
      <w:r>
        <w:t xml:space="preserve"> থাকে: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ফোল্ড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ট্রেন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ভ্যালিডেশন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টেস্ট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১</w:t>
            </w:r>
          </w:p>
        </w:tc>
        <w:tc>
          <w:tcPr>
            <w:tcW w:w="2340" w:type="dxa"/>
          </w:tcPr>
          <w:p>
            <w:pPr/>
            <w:r>
              <w:t xml:space="preserve">৬০%</w:t>
            </w:r>
          </w:p>
        </w:tc>
        <w:tc>
          <w:tcPr>
            <w:tcW w:w="2340" w:type="dxa"/>
          </w:tcPr>
          <w:p>
            <w:pPr/>
            <w:r>
              <w:t xml:space="preserve">১০%</w:t>
            </w:r>
          </w:p>
        </w:tc>
        <w:tc>
          <w:tcPr>
            <w:tcW w:w="2340" w:type="dxa"/>
          </w:tcPr>
          <w:p>
            <w:pPr/>
            <w:r>
              <w:t xml:space="preserve">১০%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২</w:t>
            </w:r>
          </w:p>
        </w:tc>
        <w:tc>
          <w:tcPr>
            <w:tcW w:w="2340" w:type="dxa"/>
          </w:tcPr>
          <w:p>
            <w:pPr/>
            <w:r>
              <w:t xml:space="preserve">৭০%</w:t>
            </w:r>
          </w:p>
        </w:tc>
        <w:tc>
          <w:tcPr>
            <w:tcW w:w="2340" w:type="dxa"/>
          </w:tcPr>
          <w:p>
            <w:pPr/>
            <w:r>
              <w:t xml:space="preserve">১০%</w:t>
            </w:r>
          </w:p>
        </w:tc>
        <w:tc>
          <w:tcPr>
            <w:tcW w:w="2340" w:type="dxa"/>
          </w:tcPr>
          <w:p>
            <w:pPr/>
            <w:r>
              <w:t xml:space="preserve">১০%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৩</w:t>
            </w:r>
          </w:p>
        </w:tc>
        <w:tc>
          <w:tcPr>
            <w:tcW w:w="2340" w:type="dxa"/>
          </w:tcPr>
          <w:p>
            <w:pPr/>
            <w:r>
              <w:t xml:space="preserve">৮০%</w:t>
            </w:r>
          </w:p>
        </w:tc>
        <w:tc>
          <w:tcPr>
            <w:tcW w:w="2340" w:type="dxa"/>
          </w:tcPr>
          <w:p>
            <w:pPr/>
            <w:r>
              <w:t xml:space="preserve">১০%</w:t>
            </w:r>
          </w:p>
        </w:tc>
        <w:tc>
          <w:tcPr>
            <w:tcW w:w="2340" w:type="dxa"/>
          </w:tcPr>
          <w:p>
            <w:pPr/>
            <w:r>
              <w:t xml:space="preserve">১০%</w:t>
            </w:r>
          </w:p>
        </w:tc>
      </w:tr>
    </w:tbl>
    <w:p>
      <w:pPr/>
      <w:r>
        <w:t xml:space="preserve">সব স্কেলার, এনকোডার ও ইম্পিউটেশন পরিসংখ্যান </w:t>
      </w:r>
      <w:r>
        <w:rPr>
          <w:b/>
        </w:rPr>
        <w:t xml:space="preserve">শুধু ট্রেন উইন্ডোতে</w:t>
      </w:r>
      <w:r>
        <w:t xml:space="preserve"> ফিট করা হয়। হাইপারপ্যারামিটার টিউনিং শুধু ভ্যালিডেশন অংশে; টেস্ট একবারই ব্যবহৃত।</w:t>
      </w:r>
    </w:p>
    <w:p>
      <w:pPr>
        <w:pStyle w:val="Quote"/>
      </w:pPr>
      <w:r>
        <w:rPr>
          <w:b/>
        </w:rPr>
        <w:t xml:space="preserve">পরামর্শ:</w:t>
      </w:r>
      <w:r>
        <w:t xml:space="preserve"> ৩০ দিনের হরাইজনে ৭ দিনের embargo যথেষ্ট কি না তা আলোচনা করুন — রোলিং ফিচার ও টার্গেট উইন্ডোর ওভারল্যাপ বিবেচনায় embargo ≥ সর্বোচ্চ হরাইজন (৩০ দিন) রাখলে সবচেয়ে কঠোর হয়। অন্তত সংবেদনশীলতা বিশ্লেষণ (embargo = ৭, ১৪, ৩০) দিন।</w:t>
      </w:r>
    </w:p>
    <w:p>
      <w:pPr>
        <w:pStyle w:val="Heading3"/>
      </w:pPr>
      <w:r>
        <w:t xml:space="preserve">৪.৫ মূল্যায়ন মেট্রিক</w:t>
      </w:r>
    </w:p>
    <w:p>
      <w:pPr>
        <w:pStyle w:val="Code"/>
      </w:pPr>
      <w:bookmarkStart w:id="6" w:name="bongo_lang_latex_6"/>
      <w:bookmarkEnd w:id="6"/>
      <w:r>
        <w:t xml:space="preserve">\text{WAPE} = \frac{\sum_{t=1}^{H} |y_t - \hat{y}_t|}{\sum_{t=1}^{H} y_t} \times 100</w:t>
      </w:r>
    </w:p>
    <w:p/>
    <w:p>
      <w:pPr>
        <w:pStyle w:val="Code"/>
      </w:pPr>
      <w:bookmarkStart w:id="7" w:name="bongo_lang_latex_7"/>
      <w:bookmarkEnd w:id="7"/>
      <w:r>
        <w:t xml:space="preserve">\text{MASE} = \frac{\frac{1}{H}\sum_{t=1}^{H} |y_t - \hat{y}_t|}{\frac{1}{T_{\text{train}}-7}\sum_{i=8}^{T_{\text{train}}} |y_i - y_{i-7}|}</w:t>
      </w:r>
    </w:p>
    <w:p>
      <w:pPr/>
      <w:r>
        <w:t xml:space="preserve">MASE &lt; 1 মানে মডেল ইন-স্যাম্পল সিজনাল-নাইভের চেয়ে ভালো (এটি আউট-অব-স্যাম্পল সিজনাল-নাইভের সাথে হুবহু তুলনা নয়, তাই DM পরীক্ষা আলাদাভাবে চালান)।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অনিশ্চয়তা:</w:t>
      </w:r>
      <w:r>
        <w:t xml:space="preserve"> PICP (লক্ষ্য ৮০% ± ৩%) ও MPIW (গড় ব্যবধান-প্রস্থ)। অতিরিক্ত হিসেবে পিনবল লস ও ইন্টারভ্যাল স্কোর রিপোর্ট করুন।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পরিসংখ্যানগত তুলনা:</w:t>
      </w:r>
      <w:r>
        <w:t xml:space="preserve"> Diebold–Mariano পরীক্ষা, </w:t>
      </w:r>
      <w:r>
        <w:rPr>
          <w:b/>
        </w:rPr>
        <w:t xml:space="preserve">Harvey–Leybourne–Newbold ছোট-নমুনা সংশোধন সহ</w:t>
      </w:r>
      <w:r>
        <w:t xml:space="preserve">, এবং মাল্টি-স্টেপ হরাইজনে HAC (Newey–West) ভ্যারিয়েন্স; একাধিক তুলনায় Holm বা Benjamini–Hochberg সংশোধন।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৫. পরীক্ষামূলক নকশা (Experimental Design)</w:t>
      </w:r>
    </w:p>
    <w:p>
      <w:pPr>
        <w:pStyle w:val="Heading3"/>
      </w:pPr>
      <w:r>
        <w:t xml:space="preserve">৫.১ Experiment B — নগদ-প্রবাহ ঝুঁকি ও রিজার্ভ ব্রিচ শনাক্তকরণ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পদ্ধতি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বর্ণনা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B0</w:t>
            </w:r>
          </w:p>
        </w:tc>
        <w:tc>
          <w:tcPr>
            <w:tcW w:w="3120" w:type="dxa"/>
          </w:tcPr>
          <w:p>
            <w:pPr/>
            <w:r>
              <w:t xml:space="preserve">স্থির থ্রেশহোল্ড</w:t>
            </w:r>
          </w:p>
        </w:tc>
        <w:tc>
          <w:tcPr>
            <w:tcW w:w="3120" w:type="dxa"/>
          </w:tcPr>
          <w:p>
            <w:pPr/>
            <w:r>
              <w:t xml:space="preserve">C_t &lt; R হলেই সতর্কতা (প্রতিক্রিয়াশীল, লিড টাইম ০)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B1</w:t>
            </w:r>
          </w:p>
        </w:tc>
        <w:tc>
          <w:tcPr>
            <w:tcW w:w="3120" w:type="dxa"/>
          </w:tcPr>
          <w:p>
            <w:pPr/>
            <w:r>
              <w:t xml:space="preserve">পয়েন্ট-ফোরকাস্ট এক্সট্রাপোলেশন</w:t>
            </w:r>
          </w:p>
        </w:tc>
        <w:tc>
          <w:tcPr>
            <w:tcW w:w="3120" w:type="dxa"/>
          </w:tcPr>
          <w:p>
            <w:pPr/>
            <w:r>
              <w:t xml:space="preserve">মিডিয়ান ফোরকাস্ট দিয়ে পরবর্তী ৩০ দিনের ব্যালেন্স প্রজেক্ট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B2</w:t>
            </w:r>
          </w:p>
        </w:tc>
        <w:tc>
          <w:tcPr>
            <w:tcW w:w="3120" w:type="dxa"/>
          </w:tcPr>
          <w:p>
            <w:pPr/>
            <w:r>
              <w:t xml:space="preserve">P10 ডাউনসাইড স্ট্রেস ইঞ্জিন (FinSight মূল)</w:t>
            </w:r>
          </w:p>
        </w:tc>
        <w:tc>
          <w:tcPr>
            <w:tcW w:w="3120" w:type="dxa"/>
          </w:tcPr>
          <w:p>
            <w:pPr/>
            <w:r>
              <w:t xml:space="preserve">১০ম পার্সেন্টাইল বিক্রয় ফোরকাস্ট দিয়ে রক্ষণশীল প্রজেক্শন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B3</w:t>
            </w:r>
          </w:p>
        </w:tc>
        <w:tc>
          <w:tcPr>
            <w:tcW w:w="3120" w:type="dxa"/>
          </w:tcPr>
          <w:p>
            <w:pPr/>
            <w:r>
              <w:t xml:space="preserve">আনঅগমেন্টেড LLM</w:t>
            </w:r>
          </w:p>
        </w:tc>
        <w:tc>
          <w:tcPr>
            <w:tcW w:w="3120" w:type="dxa"/>
          </w:tcPr>
          <w:p>
            <w:pPr/>
            <w:r>
              <w:t xml:space="preserve">লেজার সারাংশ দিয়ে ব্রিচ তারিখ ও ঘাটতির পরিমাণ অনুমান করতে বলা</w:t>
            </w:r>
          </w:p>
        </w:tc>
      </w:tr>
    </w:tbl>
    <w:p>
      <w:pPr/>
      <w:r>
        <w:rPr>
          <w:b/>
        </w:rPr>
        <w:t xml:space="preserve">মেট্রিক:</w:t>
      </w:r>
      <w:r>
        <w:t xml:space="preserve"> ব্রিচ ইভেন্টে Precision, Recall, F1, PR-AUC; গড় আগাম সতর্কতা সময়:</w:t>
      </w:r>
    </w:p>
    <w:p>
      <w:pPr>
        <w:pStyle w:val="Code"/>
      </w:pPr>
      <w:bookmarkStart w:id="8" w:name="bongo_lang_latex_8"/>
      <w:bookmarkEnd w:id="8"/>
      <w:r>
        <w:t xml:space="preserve">\bar{L}_{\text{warning}} = \frac{1}{|K|}\sum_{k\in K}\big(t_k^{*} - t_{k,\text{alert}}\big)</w:t>
      </w:r>
    </w:p>
    <w:p>
      <w:pPr/>
      <w:r>
        <w:t xml:space="preserve">এবং ঘাটতি পরিমাণের MAE = |S_t − Ŝ_t|।</w:t>
      </w:r>
    </w:p>
    <w:p>
      <w:pPr>
        <w:pStyle w:val="Quote"/>
      </w:pPr>
      <w:r>
        <w:rPr>
          <w:b/>
        </w:rPr>
        <w:t xml:space="preserve">গুরুত্বপূর্ণ সতর্কতা:</w:t>
      </w:r>
      <w:r>
        <w:t xml:space="preserve"> B2 (P10) স্বভাবতই বেশি সতর্কতা দেয়, ফলে Recall বাড়ে কিন্তু False Alarm-ও বাড়তে পারে। তাই শুধু F1 নয়, </w:t>
      </w:r>
      <w:r>
        <w:rPr>
          <w:b/>
        </w:rPr>
        <w:t xml:space="preserve">প্রতি মাসে মিথ্যা সতর্কতার সংখ্যা</w:t>
      </w:r>
      <w:r>
        <w:t xml:space="preserve"> ও </w:t>
      </w:r>
      <w:r>
        <w:rPr>
          <w:b/>
        </w:rPr>
        <w:t xml:space="preserve">অ্যালার্ট-ক্লান্তি খরচ</w:t>
      </w:r>
      <w:r>
        <w:t xml:space="preserve"> রিপোর্ট করুন, এবং P20/P30 থ্রেশহোল্ডের সাথে তুলনা দিন। ব্রিচ ইভেন্ট বিরল হলে PR-AUC-এর সাথে বেসলাইন প্রচলন (prevalence) উল্লেখ করুন।</w:t>
      </w:r>
    </w:p>
    <w:p>
      <w:pPr>
        <w:pStyle w:val="Heading3"/>
      </w:pPr>
      <w:r>
        <w:t xml:space="preserve">৫.২ Experiment C — সিনারিও সিমুলেটরের নির্ধারণশীলতা ও ইউনিট টেস্ট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শক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বিবরণ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প্যারামিটার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C1</w:t>
            </w:r>
          </w:p>
        </w:tc>
        <w:tc>
          <w:tcPr>
            <w:tcW w:w="3120" w:type="dxa"/>
          </w:tcPr>
          <w:p>
            <w:pPr/>
            <w:r>
              <w:t xml:space="preserve">চাহিদা সংকোচন</w:t>
            </w:r>
          </w:p>
        </w:tc>
        <w:tc>
          <w:tcPr>
            <w:tcW w:w="3120" w:type="dxa"/>
          </w:tcPr>
          <w:p>
            <w:pPr/>
            <w:r>
              <w:t xml:space="preserve">বিক্রয় × (1 − δ_sales), δ ∈ {0.10, 0.20, 0.30}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C2</w:t>
            </w:r>
          </w:p>
        </w:tc>
        <w:tc>
          <w:tcPr>
            <w:tcW w:w="3120" w:type="dxa"/>
          </w:tcPr>
          <w:p>
            <w:pPr/>
            <w:r>
              <w:t xml:space="preserve">সরবরাহ-ব্যয় মূল্যস্ফীতি</w:t>
            </w:r>
          </w:p>
        </w:tc>
        <w:tc>
          <w:tcPr>
            <w:tcW w:w="3120" w:type="dxa"/>
          </w:tcPr>
          <w:p>
            <w:pPr/>
            <w:r>
              <w:t xml:space="preserve">সরবরাহকারী আউটফ্লো × (1 + δ_cogs), δ ∈ {0.10, 0.20}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C3</w:t>
            </w:r>
          </w:p>
        </w:tc>
        <w:tc>
          <w:tcPr>
            <w:tcW w:w="3120" w:type="dxa"/>
          </w:tcPr>
          <w:p>
            <w:pPr/>
            <w:r>
              <w:t xml:space="preserve">তারল্য-জমাট / নিষ্পত্তি-বিলম্ব</w:t>
            </w:r>
          </w:p>
        </w:tc>
        <w:tc>
          <w:tcPr>
            <w:tcW w:w="3120" w:type="dxa"/>
          </w:tcPr>
          <w:p>
            <w:pPr/>
            <w:r>
              <w:t xml:space="preserve">লেগ L → L + τ, τ ∈ {3, 7, 14} দিন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C4</w:t>
            </w:r>
          </w:p>
        </w:tc>
        <w:tc>
          <w:tcPr>
            <w:tcW w:w="3120" w:type="dxa"/>
          </w:tcPr>
          <w:p>
            <w:pPr/>
            <w:r>
              <w:t xml:space="preserve">যৌগিক সংকট (Black Swan)</w:t>
            </w:r>
          </w:p>
        </w:tc>
        <w:tc>
          <w:tcPr>
            <w:tcW w:w="3120" w:type="dxa"/>
          </w:tcPr>
          <w:p>
            <w:pPr/>
            <w:r>
              <w:t xml:space="preserve">δ_sales = 0.25, δ_cogs = 0.15, τ = 7 একসাথে</w:t>
            </w:r>
          </w:p>
        </w:tc>
      </w:tr>
    </w:tbl>
    <w:p>
      <w:pPr/>
      <w:r>
        <w:rPr>
          <w:b/>
        </w:rPr>
        <w:t xml:space="preserve">পূর্ব-নিবন্ধিত PyTest গোল্ডেন স্যুট</w:t>
      </w:r>
      <w:r>
        <w:t xml:space="preserve"> (হাতে-গণনা করা ৫টি সিন্থেটিক লেজার; ১০০% সঠিকতা):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test_zero_inflow_runway()</w:t>
      </w:r>
      <w:r>
        <w:t xml:space="preserve"> — শূন্য আয়ে রিজার্ভ ফুরানোর সঠিক দিন।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test_payroll_collision()</w:t>
      </w:r>
      <w:r>
        <w:t xml:space="preserve"> — সরবরাহকারী পেমেন্ট ও বেতন একই দিনে পড়লে ঘাটতি।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test_settlement_shift_conservation()</w:t>
      </w:r>
      <w:r>
        <w:t xml:space="preserve"> — বিলম্বে অর্থ হারায় না, শুধু পিছোয় (সংরক্ষণ নীতি)।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test_negative_floor_invariance()</w:t>
      </w:r>
      <w:r>
        <w:t xml:space="preserve"> — ঋণাত্মক ব্যালেন্সে সর্বোচ্চ তীব্রতার সতর্কতা।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test_idempotency()</w:t>
      </w:r>
      <w:r>
        <w:t xml:space="preserve"> — ১০০ বার একই ইনপুটে ভ্যারিয়েন্স = 0।</w:t>
      </w:r>
    </w:p>
    <w:p>
      <w:pPr>
        <w:pStyle w:val="Quote"/>
      </w:pPr>
      <w:r>
        <w:rPr>
          <w:b/>
        </w:rPr>
        <w:t xml:space="preserve">পদ্ধতিগত নোট:</w:t>
      </w:r>
      <w:r>
        <w:t xml:space="preserve"> "শূন্য floating-point error" দাবি করতে হলে হয় পূর্ণসংখ্যা সেন্ট/পয়সা (integer minor units) বা Python </w:t>
      </w:r>
      <w:r>
        <w:rPr>
          <w:rStyle w:val="CodeChar"/>
        </w:rPr>
        <w:t xml:space="preserve">Decimal</w:t>
      </w:r>
      <w:r>
        <w:t xml:space="preserve"> ব্যবহার করুন এবং তা লিখুন; float-এ একটি সহনসীমা (যেমন 1e-9) দিয়ে তুলনা করা বাস্তবসম্মত। উপরন্তু, গোল্ডেন টেস্ট ইঞ্জিনের নিজের সূত্রের সঠিকতা যাচাই করে, ফোরকাস্ট-ঝুঁকি বা বাস্তব-জগতের সঠিকতা নয় — তা স্পষ্ট করুন।</w:t>
      </w:r>
    </w:p>
    <w:p>
      <w:pPr>
        <w:pStyle w:val="Heading3"/>
      </w:pPr>
      <w:r>
        <w:t xml:space="preserve">৫.৩ Experiment D — টুল-গ্রাউন্ডেড LLM কোপাইলট মূল্যায়ন</w:t>
      </w:r>
    </w:p>
    <w:p>
      <w:pPr/>
      <w:r>
        <w:rPr>
          <w:b/>
        </w:rPr>
        <w:t xml:space="preserve">স্কিমা-সুরক্ষা:</w:t>
      </w:r>
      <w:r>
        <w:t xml:space="preserve"> LLM সরাসরি পাটিগণিত করতে পারে না; সে নিচের টাইপড (Pydantic) টুল-চুক্তির মাধ্যমে কাজ করে:</w:t>
      </w:r>
    </w:p>
    <w:p>
      <w:pPr>
        <w:pStyle w:val="Code"/>
      </w:pPr>
      <w:bookmarkStart w:id="9" w:name="bongo_lang_python_9"/>
      <w:bookmarkEnd w:id="9"/>
      <w:r>
        <w:t xml:space="preserve">tools = [</w:t>
        <w:br/>
        <w:t xml:space="preserve">    get_sales_forecast(horizon_days: int, quantile: float),</w:t>
        <w:br/>
        <w:t xml:space="preserve">    get_cashflow_projection(days: int, scenario_type: str),</w:t>
        <w:br/>
        <w:t xml:space="preserve">    simulate_scenario(sales_shock_pct: float, cost_shock_pct: float, delay_days: int),</w:t>
        <w:br/>
        <w:t xml:space="preserve">    get_reserve_status(),</w:t>
        <w:br/>
        <w:t xml:space="preserve">]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ভ্যারিয়েন্ট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D0</w:t>
            </w:r>
          </w:p>
        </w:tc>
        <w:tc>
          <w:tcPr>
            <w:tcW w:w="4680" w:type="dxa"/>
          </w:tcPr>
          <w:p>
            <w:pPr/>
            <w:r>
              <w:t xml:space="preserve">আনঅগমেন্টেড LLM (শুধু টেক্সট প্রেক্ষাপট, অভ্যন্তরীণ ওয়েটে পাটিগণিত)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D1</w:t>
            </w:r>
          </w:p>
        </w:tc>
        <w:tc>
          <w:tcPr>
            <w:tcW w:w="4680" w:type="dxa"/>
          </w:tcPr>
          <w:p>
            <w:pPr/>
            <w:r>
              <w:t xml:space="preserve">টুল-কলিং LLM (FinSight মূল)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D2</w:t>
            </w:r>
          </w:p>
        </w:tc>
        <w:tc>
          <w:tcPr>
            <w:tcW w:w="4680" w:type="dxa"/>
          </w:tcPr>
          <w:p>
            <w:pPr/>
            <w:r>
              <w:t xml:space="preserve">D1 + কিউরেটেড RAG (SME ওয়ার্কিং-ক্যাপিটাল প্লেবুক)</w:t>
            </w:r>
          </w:p>
        </w:tc>
      </w:tr>
    </w:tbl>
    <w:p>
      <w:pPr/>
      <w:r>
        <w:rPr>
          <w:b/>
        </w:rPr>
        <w:t xml:space="preserve">টেস্টবেড:</w:t>
      </w:r>
      <w:r>
        <w:t xml:space="preserve"> ৬টি ক্যাটাগরি × ১০টি প্রম্পট = ৬০টি: (১) ফোরকাস্ট ও ট্রেন্ড ব্যাখ্যা, (২) রিজার্ভ ব্রিচ ও তারল্য ক্ষয়, (৩) স্ট্রেস/"হোয়াট-ইফ", (৪) সরবরাহকারী নিষ্পত্তি-বিলম্ব, (৫) পরস্পরবিরোধী/অসম্পূর্ণ লেজার, (৬) সুযোগ-বহির্ভূত/বিপজ্জনক আর্থিক পরামর্শ।</w:t>
      </w:r>
    </w:p>
    <w:p>
      <w:pPr/>
      <w:r>
        <w:rPr>
          <w:b/>
        </w:rPr>
        <w:t xml:space="preserve">ব্লাইন্ড রুব্রিক (প্রতি অক্ষে ০–২, মোট ১০):</w:t>
      </w:r>
      <w:r>
        <w:t xml:space="preserve"> সংখ্যাগত সঠিকতা; প্রমাণ-ভিত্তিকতা; পূর্ণাঙ্গতা; কার্যকরতা; অনিশ্চয়তার স্বচ্ছতা।</w:t>
      </w:r>
    </w:p>
    <w:p>
      <w:pPr/>
      <w:r>
        <w:rPr>
          <w:b/>
        </w:rPr>
        <w:t xml:space="preserve">ক্রিটিক্যাল ফেইলিউর (শূন্য সহনশীলতা):</w:t>
      </w:r>
      <w:r>
        <w:t xml:space="preserve"> (ক) টুল-বহির্ভূত সংখ্যা উদ্ভাবন; (খ) নির্ধারিত ইঞ্জিনের সাথে বিরোধ; (গ) সতর্কতা ছাড়াই রিজার্ভ-লঙ্ঘনকারী পরামর্শ।</w:t>
      </w:r>
    </w:p>
    <w:p>
      <w:pPr>
        <w:pStyle w:val="Quote"/>
      </w:pPr>
      <w:r>
        <w:rPr>
          <w:b/>
        </w:rPr>
        <w:t xml:space="preserve">Q1 মানের জন্য বাড়তি দরকার:</w:t>
      </w:r>
      <w:r>
        <w:t xml:space="preserve"> (১) কমপক্ষে ২ জন স্বাধীন ব্লাইন্ড র‍্যাটার ও </w:t>
      </w:r>
      <w:r>
        <w:rPr>
          <w:b/>
        </w:rPr>
        <w:t xml:space="preserve">Cohen's κ / Krippendorff's α</w:t>
      </w:r>
      <w:r>
        <w:t xml:space="preserve"> আন্তঃ-র‍্যাটার সম্মতি; (২) ৬০টি প্রম্পট ও এক প্রম্পটে একাধিক রান (temperature সহ) নিয়ে </w:t>
      </w:r>
      <w:r>
        <w:rPr>
          <w:b/>
        </w:rPr>
        <w:t xml:space="preserve">বুটস্ট্র্যাপ ৯৫% CI</w:t>
      </w:r>
      <w:r>
        <w:t xml:space="preserve">; (৩) "LLM-as-judge" ব্যবহার করলে মানব-র‍্যাটারের সাথে ক্যালিব্রেশন; (৪) মডেল নাম, সংস্করণ, তাপমাত্রা ও সিস্টেম-প্রম্পট প্রকাশ; (৫) মাত্র ৬০ প্রম্পট ও একটি/দুটি LLM হওয়ায় সাধারণীকরণ-সীমা স্পষ্ট করুন; (৬) ক্রিটিক্যাল ফেইলিউর রেট ২% প্রমাণ করতে ন্যূনতম নমুনা-আকার (বিরল-ইভেন্ট, যেমন rule of three) হিসাব করুন — ৬০ প্রম্পটে ০ ব্যর্থতা দেখালে ৯৫% উচ্চ-সীমা প্রায় ৫% (৩/৬০), অর্থাৎ "&lt; ২%" দাবি এই নমুনায় পরিসংখ্যানগতভাবে প্রমাণযোগ্য নয়; হয় নমুনা বাড়ান নয়তো দাবি নরম করুন।</w:t>
      </w:r>
    </w:p>
    <w:p>
      <w:pPr>
        <w:pStyle w:val="Heading3"/>
      </w:pPr>
      <w:r>
        <w:t xml:space="preserve">৫.৪ Experiment E — সিস্টেম অ্যাবলেশন ম্যাট্রিক্স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w="1337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সিস্টেম</w:t>
            </w:r>
          </w:p>
        </w:tc>
        <w:tc>
          <w:tcPr>
            <w:tcW w:w="1337" w:type="dxa"/>
            <w:shd w:val="clear" w:color="auto" w:fill="F2F2F2"/>
          </w:tcPr>
          <w:p>
            <w:pPr>
              <w:jc w:val="center"/>
            </w:pPr>
            <w:r>
              <w:t xml:space="preserve">ফোরকাস্ট</w:t>
            </w:r>
          </w:p>
        </w:tc>
        <w:tc>
          <w:tcPr>
            <w:tcW w:w="1337" w:type="dxa"/>
            <w:shd w:val="clear" w:color="auto" w:fill="F2F2F2"/>
          </w:tcPr>
          <w:p>
            <w:pPr>
              <w:jc w:val="center"/>
            </w:pPr>
            <w:r>
              <w:t xml:space="preserve">নগদ-ইঞ্জিন</w:t>
            </w:r>
          </w:p>
        </w:tc>
        <w:tc>
          <w:tcPr>
            <w:tcW w:w="1337" w:type="dxa"/>
            <w:shd w:val="clear" w:color="auto" w:fill="F2F2F2"/>
          </w:tcPr>
          <w:p>
            <w:pPr>
              <w:jc w:val="center"/>
            </w:pPr>
            <w:r>
              <w:t xml:space="preserve">শক সিমুলেটর</w:t>
            </w:r>
          </w:p>
        </w:tc>
        <w:tc>
          <w:tcPr>
            <w:tcW w:w="1337" w:type="dxa"/>
            <w:shd w:val="clear" w:color="auto" w:fill="F2F2F2"/>
          </w:tcPr>
          <w:p>
            <w:pPr>
              <w:jc w:val="center"/>
            </w:pPr>
            <w:r>
              <w:t xml:space="preserve">LLM টুল-কলিং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উদ্দেশ্য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E0</w:t>
            </w:r>
          </w:p>
        </w:tc>
        <w:tc>
          <w:tcPr>
            <w:tcW w:w="1337" w:type="dxa"/>
          </w:tcPr>
          <w:p>
            <w:pPr/>
            <w:r>
              <w:t xml:space="preserve">স্থির ড্যাশবোর্ড</w:t>
            </w:r>
          </w:p>
        </w:tc>
        <w:tc>
          <w:tcPr>
            <w:tcW w:w="1337" w:type="dxa"/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tcW w:w="1337" w:type="dxa"/>
          </w:tcPr>
          <w:p>
            <w:pPr>
              <w:jc w:val="center"/>
            </w:pPr>
            <w:r>
              <w:t xml:space="preserve">মৌলিক নিয়ম</w:t>
            </w:r>
          </w:p>
        </w:tc>
        <w:tc>
          <w:tcPr>
            <w:tcW w:w="1337" w:type="dxa"/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tcW w:w="1337" w:type="dxa"/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tcW w:w="1337" w:type="dxa"/>
          </w:tcPr>
          <w:p>
            <w:pPr/>
            <w:r>
              <w:t xml:space="preserve">ন্যূনতম বেসলাইন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E1</w:t>
            </w:r>
          </w:p>
        </w:tc>
        <w:tc>
          <w:tcPr>
            <w:tcW w:w="1337" w:type="dxa"/>
          </w:tcPr>
          <w:p>
            <w:pPr/>
            <w:r>
              <w:t xml:space="preserve">ফোরকাস্ট ড্যাশবোর্ড</w:t>
            </w:r>
          </w:p>
        </w:tc>
        <w:tc>
          <w:tcPr>
            <w:tcW w:w="1337" w:type="dxa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w="1337" w:type="dxa"/>
          </w:tcPr>
          <w:p>
            <w:pPr>
              <w:jc w:val="center"/>
            </w:pPr>
            <w:r>
              <w:t xml:space="preserve">মৌলিক নিয়ম</w:t>
            </w:r>
          </w:p>
        </w:tc>
        <w:tc>
          <w:tcPr>
            <w:tcW w:w="1337" w:type="dxa"/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tcW w:w="1337" w:type="dxa"/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tcW w:w="1337" w:type="dxa"/>
          </w:tcPr>
          <w:p>
            <w:pPr/>
            <w:r>
              <w:t xml:space="preserve">ML ফোরকাস্টের মূল্য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E2</w:t>
            </w:r>
          </w:p>
        </w:tc>
        <w:tc>
          <w:tcPr>
            <w:tcW w:w="1337" w:type="dxa"/>
          </w:tcPr>
          <w:p>
            <w:pPr/>
            <w:r>
              <w:t xml:space="preserve">ঝুঁকি ইঞ্জিন</w:t>
            </w:r>
          </w:p>
        </w:tc>
        <w:tc>
          <w:tcPr>
            <w:tcW w:w="1337" w:type="dxa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w="1337" w:type="dxa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w="1337" w:type="dxa"/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tcW w:w="1337" w:type="dxa"/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tcW w:w="1337" w:type="dxa"/>
          </w:tcPr>
          <w:p>
            <w:pPr/>
            <w:r>
              <w:t xml:space="preserve">নির্ধারিত ইঞ্জিনের মূল্য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E3</w:t>
            </w:r>
          </w:p>
        </w:tc>
        <w:tc>
          <w:tcPr>
            <w:tcW w:w="1337" w:type="dxa"/>
          </w:tcPr>
          <w:p>
            <w:pPr/>
            <w:r>
              <w:t xml:space="preserve">সিনারিও ইঞ্জিন</w:t>
            </w:r>
          </w:p>
        </w:tc>
        <w:tc>
          <w:tcPr>
            <w:tcW w:w="1337" w:type="dxa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w="1337" w:type="dxa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w="1337" w:type="dxa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w="1337" w:type="dxa"/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tcW w:w="1337" w:type="dxa"/>
          </w:tcPr>
          <w:p>
            <w:pPr/>
            <w:r>
              <w:t xml:space="preserve">স্ট্রেস-টেস্টের মূল্য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E4</w:t>
            </w:r>
          </w:p>
        </w:tc>
        <w:tc>
          <w:tcPr>
            <w:tcW w:w="1337" w:type="dxa"/>
          </w:tcPr>
          <w:p>
            <w:pPr/>
            <w:r>
              <w:t xml:space="preserve">FinSight AI (পূর্ণ)</w:t>
            </w:r>
          </w:p>
        </w:tc>
        <w:tc>
          <w:tcPr>
            <w:tcW w:w="1337" w:type="dxa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w="1337" w:type="dxa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w="1337" w:type="dxa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w="1337" w:type="dxa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w="1337" w:type="dxa"/>
          </w:tcPr>
          <w:p>
            <w:pPr/>
            <w:r>
              <w:t xml:space="preserve">কোপাইলট গ্রাউন্ডিং ও সংশ্লেষণ</w:t>
            </w:r>
          </w:p>
        </w:tc>
      </w:tr>
    </w:tbl>
    <w:p>
      <w:pPr>
        <w:pStyle w:val="Heading3"/>
      </w:pPr>
      <w:r>
        <w:t xml:space="preserve">৫.৫ Experiment F — নির্ভরযোগ্যতা, ক্যালিব্রেশন ও চাপ-পরীক্ষা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ক্যালিব্রেশন কার্ভ:</w:t>
      </w:r>
      <w:r>
        <w:t xml:space="preserve"> নামমাত্র কোয়ান্টাইল α বনাম অভিজ্ঞতালব্ধ কভারেজ।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ডেটা-স্বল্পতা:</w:t>
      </w:r>
      <w:r>
        <w:t xml:space="preserve"> ৩০, ৬০, ৯০, ১৮০, ৩৬৫ দিনের ইতিহাসে প্রশিক্ষণ — নতুন SME-র জন্য ন্যূনতম ডেটা-সীমা বের করা।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সুন্দর অবনতি (graceful degradation):</w:t>
      </w:r>
      <w:r>
        <w:t xml:space="preserve"> API টাইমআউট, অনুপস্থিত তারিখ, null ইনপুট ইনজেক্ট; সিস্টেমকে স্পষ্ট ইউজার-সতর্কতাসহ রক্ষণশীল প্রজেকশনে ফিরতে হবে।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৬. ফলাফল (Results) — পূরণযোগ্য টেমপ্লেট</w:t>
      </w:r>
    </w:p>
    <w:p>
      <w:pPr>
        <w:pStyle w:val="Quote"/>
      </w:pPr>
      <w:r>
        <w:rPr>
          <w:b/>
        </w:rPr>
        <w:t xml:space="preserve">নোট:</w:t>
      </w:r>
      <w:r>
        <w:t xml:space="preserve"> নিচের সব ঘর </w:t>
      </w:r>
      <w:r>
        <w:rPr>
          <w:rStyle w:val="CodeChar"/>
        </w:rPr>
        <w:t xml:space="preserve">[ ]</w:t>
      </w:r>
      <w:r>
        <w:t xml:space="preserve"> খালি। পরীক্ষা চালানোর পর প্রাপ্ত মান বসান। কোনো ঘরে আনুমানিক বা প্রত্যাশিত মান বসাবেন না।</w:t>
      </w:r>
    </w:p>
    <w:p>
      <w:pPr>
        <w:pStyle w:val="Heading3"/>
      </w:pPr>
      <w:r>
        <w:t xml:space="preserve">সারণি ১: Experiment A — বিক্রয় ফোরকাস্টিং (টেস্ট হোল্ডআউট; ৩ ফোল্ডের গড় ± SD)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/>
        </w:trPr>
        <w:tc>
          <w:tcPr>
            <w:tcW w:w="936" w:type="dxa"/>
            <w:shd w:val="clear" w:color="auto" w:fill="F2F2F2"/>
          </w:tcPr>
          <w:p>
            <w:pPr/>
            <w:r>
              <w:t xml:space="preserve">ডেটাসেট</w:t>
            </w:r>
          </w:p>
        </w:tc>
        <w:tc>
          <w:tcPr>
            <w:tcW w:w="936" w:type="dxa"/>
            <w:shd w:val="clear" w:color="auto" w:fill="F2F2F2"/>
          </w:tcPr>
          <w:p>
            <w:pPr>
              <w:jc w:val="center"/>
            </w:pPr>
            <w:r>
              <w:t xml:space="preserve">হরাইজন</w:t>
            </w:r>
          </w:p>
        </w:tc>
        <w:tc>
          <w:tcPr>
            <w:tcW w:w="936" w:type="dxa"/>
            <w:shd w:val="clear" w:color="auto" w:fill="F2F2F2"/>
          </w:tcPr>
          <w:p>
            <w:pPr/>
            <w:r>
              <w:t xml:space="preserve">মডেল</w:t>
            </w:r>
          </w:p>
        </w:tc>
        <w:tc>
          <w:tcPr>
            <w:tcW w:w="936" w:type="dxa"/>
            <w:shd w:val="clear" w:color="auto" w:fill="F2F2F2"/>
          </w:tcPr>
          <w:p>
            <w:pPr>
              <w:jc w:val="center"/>
            </w:pPr>
            <w:r>
              <w:t xml:space="preserve">MAE</w:t>
            </w:r>
          </w:p>
        </w:tc>
        <w:tc>
          <w:tcPr>
            <w:tcW w:w="936" w:type="dxa"/>
            <w:shd w:val="clear" w:color="auto" w:fill="F2F2F2"/>
          </w:tcPr>
          <w:p>
            <w:pPr>
              <w:jc w:val="center"/>
            </w:pPr>
            <w:r>
              <w:t xml:space="preserve">RMSE</w:t>
            </w:r>
          </w:p>
        </w:tc>
        <w:tc>
          <w:tcPr>
            <w:tcW w:w="936" w:type="dxa"/>
            <w:shd w:val="clear" w:color="auto" w:fill="F2F2F2"/>
          </w:tcPr>
          <w:p>
            <w:pPr>
              <w:jc w:val="center"/>
            </w:pPr>
            <w:r>
              <w:t xml:space="preserve">WAPE (%)</w:t>
            </w:r>
          </w:p>
        </w:tc>
        <w:tc>
          <w:tcPr>
            <w:tcW w:w="936" w:type="dxa"/>
            <w:shd w:val="clear" w:color="auto" w:fill="F2F2F2"/>
          </w:tcPr>
          <w:p>
            <w:pPr>
              <w:jc w:val="center"/>
            </w:pPr>
            <w:r>
              <w:t xml:space="preserve">MASE</w:t>
            </w:r>
          </w:p>
        </w:tc>
        <w:tc>
          <w:tcPr>
            <w:tcW w:w="936" w:type="dxa"/>
            <w:shd w:val="clear" w:color="auto" w:fill="F2F2F2"/>
          </w:tcPr>
          <w:p>
            <w:pPr>
              <w:jc w:val="center"/>
            </w:pPr>
            <w:r>
              <w:t xml:space="preserve">৮০% কভারেজ</w:t>
            </w:r>
          </w:p>
        </w:tc>
        <w:tc>
          <w:tcPr>
            <w:tcW w:w="936" w:type="dxa"/>
            <w:shd w:val="clear" w:color="auto" w:fill="F2F2F2"/>
          </w:tcPr>
          <w:p>
            <w:pPr>
              <w:jc w:val="center"/>
            </w:pPr>
            <w:r>
              <w:t xml:space="preserve">MPIW</w:t>
            </w:r>
          </w:p>
        </w:tc>
        <w:tc>
          <w:tcPr>
            <w:tcW w:w="936" w:type="dxa"/>
            <w:shd w:val="clear" w:color="auto" w:fill="F2F2F2"/>
          </w:tcPr>
          <w:p>
            <w:pPr>
              <w:jc w:val="center"/>
            </w:pPr>
            <w:r>
              <w:t xml:space="preserve">DM p-মান</w:t>
            </w:r>
          </w:p>
        </w:tc>
      </w:tr>
      <w:tr>
        <w:tc>
          <w:tcPr>
            <w:tcW w:w="936" w:type="dxa"/>
          </w:tcPr>
          <w:p>
            <w:pPr/>
            <w:r>
              <w:t xml:space="preserve">Olist (B2C)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৭ দিন</w:t>
            </w:r>
          </w:p>
        </w:tc>
        <w:tc>
          <w:tcPr>
            <w:tcW w:w="936" w:type="dxa"/>
          </w:tcPr>
          <w:p>
            <w:pPr/>
            <w:r>
              <w:t xml:space="preserve">A0 Last-Value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N/A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N/A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[ ]</w:t>
            </w:r>
          </w:p>
        </w:tc>
      </w:tr>
      <w:tr>
        <w:tc>
          <w:tcPr>
            <w:tcW w:w="936" w:type="dxa"/>
          </w:tcPr>
          <w:p>
            <w:pPr/>
          </w:p>
        </w:tc>
        <w:tc>
          <w:tcPr>
            <w:tcW w:w="936" w:type="dxa"/>
          </w:tcPr>
          <w:p>
            <w:pPr>
              <w:jc w:val="center"/>
            </w:pPr>
          </w:p>
        </w:tc>
        <w:tc>
          <w:tcPr>
            <w:tcW w:w="936" w:type="dxa"/>
          </w:tcPr>
          <w:p>
            <w:pPr/>
            <w:r>
              <w:t xml:space="preserve">A1 Seasonal Naive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1.000 (ref)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N/A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N/A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রেফারেন্স</w:t>
            </w:r>
          </w:p>
        </w:tc>
      </w:tr>
      <w:tr>
        <w:tc>
          <w:tcPr>
            <w:tcW w:w="936" w:type="dxa"/>
          </w:tcPr>
          <w:p>
            <w:pPr/>
          </w:p>
        </w:tc>
        <w:tc>
          <w:tcPr>
            <w:tcW w:w="936" w:type="dxa"/>
          </w:tcPr>
          <w:p>
            <w:pPr>
              <w:jc w:val="center"/>
            </w:pPr>
          </w:p>
        </w:tc>
        <w:tc>
          <w:tcPr>
            <w:tcW w:w="936" w:type="dxa"/>
          </w:tcPr>
          <w:p>
            <w:pPr/>
            <w:r>
              <w:t xml:space="preserve">A2 EMA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N/A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N/A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[ ]</w:t>
            </w:r>
          </w:p>
        </w:tc>
      </w:tr>
      <w:tr>
        <w:tc>
          <w:tcPr>
            <w:tcW w:w="936" w:type="dxa"/>
          </w:tcPr>
          <w:p>
            <w:pPr/>
          </w:p>
        </w:tc>
        <w:tc>
          <w:tcPr>
            <w:tcW w:w="936" w:type="dxa"/>
          </w:tcPr>
          <w:p>
            <w:pPr>
              <w:jc w:val="center"/>
            </w:pPr>
          </w:p>
        </w:tc>
        <w:tc>
          <w:tcPr>
            <w:tcW w:w="936" w:type="dxa"/>
          </w:tcPr>
          <w:p>
            <w:pPr/>
            <w:r>
              <w:rPr>
                <w:b/>
              </w:rPr>
              <w:t xml:space="preserve">A3 LightGBM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[ ]</w:t>
            </w:r>
          </w:p>
        </w:tc>
      </w:tr>
      <w:tr>
        <w:tc>
          <w:tcPr>
            <w:tcW w:w="936" w:type="dxa"/>
          </w:tcPr>
          <w:p>
            <w:pPr/>
          </w:p>
        </w:tc>
        <w:tc>
          <w:tcPr>
            <w:tcW w:w="936" w:type="dxa"/>
          </w:tcPr>
          <w:p>
            <w:pPr>
              <w:jc w:val="center"/>
            </w:pPr>
          </w:p>
        </w:tc>
        <w:tc>
          <w:tcPr>
            <w:tcW w:w="936" w:type="dxa"/>
          </w:tcPr>
          <w:p>
            <w:pPr/>
            <w:r>
              <w:t xml:space="preserve">A4 CatBoost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[ ]</w:t>
            </w:r>
          </w:p>
        </w:tc>
      </w:tr>
      <w:tr>
        <w:tc>
          <w:tcPr>
            <w:tcW w:w="936" w:type="dxa"/>
          </w:tcPr>
          <w:p>
            <w:pPr/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১৪ দিন</w:t>
            </w:r>
          </w:p>
        </w:tc>
        <w:tc>
          <w:tcPr>
            <w:tcW w:w="936" w:type="dxa"/>
          </w:tcPr>
          <w:p>
            <w:pPr/>
            <w:r>
              <w:t xml:space="preserve">A1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1.000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N/A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N/A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রেফারেন্স</w:t>
            </w:r>
          </w:p>
        </w:tc>
      </w:tr>
      <w:tr>
        <w:tc>
          <w:tcPr>
            <w:tcW w:w="936" w:type="dxa"/>
          </w:tcPr>
          <w:p>
            <w:pPr/>
          </w:p>
        </w:tc>
        <w:tc>
          <w:tcPr>
            <w:tcW w:w="936" w:type="dxa"/>
          </w:tcPr>
          <w:p>
            <w:pPr>
              <w:jc w:val="center"/>
            </w:pPr>
          </w:p>
        </w:tc>
        <w:tc>
          <w:tcPr>
            <w:tcW w:w="936" w:type="dxa"/>
          </w:tcPr>
          <w:p>
            <w:pPr/>
            <w:r>
              <w:rPr>
                <w:b/>
              </w:rPr>
              <w:t xml:space="preserve">A3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[ ]</w:t>
            </w:r>
          </w:p>
        </w:tc>
      </w:tr>
      <w:tr>
        <w:tc>
          <w:tcPr>
            <w:tcW w:w="936" w:type="dxa"/>
          </w:tcPr>
          <w:p>
            <w:pPr/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৩০ দিন</w:t>
            </w:r>
          </w:p>
        </w:tc>
        <w:tc>
          <w:tcPr>
            <w:tcW w:w="936" w:type="dxa"/>
          </w:tcPr>
          <w:p>
            <w:pPr/>
            <w:r>
              <w:t xml:space="preserve">A1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1.000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N/A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N/A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রেফারেন্স</w:t>
            </w:r>
          </w:p>
        </w:tc>
      </w:tr>
      <w:tr>
        <w:tc>
          <w:tcPr>
            <w:tcW w:w="936" w:type="dxa"/>
          </w:tcPr>
          <w:p>
            <w:pPr/>
          </w:p>
        </w:tc>
        <w:tc>
          <w:tcPr>
            <w:tcW w:w="936" w:type="dxa"/>
          </w:tcPr>
          <w:p>
            <w:pPr>
              <w:jc w:val="center"/>
            </w:pPr>
          </w:p>
        </w:tc>
        <w:tc>
          <w:tcPr>
            <w:tcW w:w="936" w:type="dxa"/>
          </w:tcPr>
          <w:p>
            <w:pPr/>
            <w:r>
              <w:rPr>
                <w:b/>
              </w:rPr>
              <w:t xml:space="preserve">A3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[ ]</w:t>
            </w:r>
          </w:p>
        </w:tc>
      </w:tr>
      <w:tr>
        <w:tc>
          <w:tcPr>
            <w:tcW w:w="936" w:type="dxa"/>
          </w:tcPr>
          <w:p>
            <w:pPr/>
            <w:r>
              <w:t xml:space="preserve">UCI (B2B, OOD)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৭ দিন</w:t>
            </w:r>
          </w:p>
        </w:tc>
        <w:tc>
          <w:tcPr>
            <w:tcW w:w="936" w:type="dxa"/>
          </w:tcPr>
          <w:p>
            <w:pPr/>
            <w:r>
              <w:t xml:space="preserve">A1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1.000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N/A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N/A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রেফারেন্স</w:t>
            </w:r>
          </w:p>
        </w:tc>
      </w:tr>
      <w:tr>
        <w:tc>
          <w:tcPr>
            <w:tcW w:w="936" w:type="dxa"/>
          </w:tcPr>
          <w:p>
            <w:pPr/>
          </w:p>
        </w:tc>
        <w:tc>
          <w:tcPr>
            <w:tcW w:w="936" w:type="dxa"/>
          </w:tcPr>
          <w:p>
            <w:pPr>
              <w:jc w:val="center"/>
            </w:pPr>
          </w:p>
        </w:tc>
        <w:tc>
          <w:tcPr>
            <w:tcW w:w="936" w:type="dxa"/>
          </w:tcPr>
          <w:p>
            <w:pPr/>
            <w:r>
              <w:rPr>
                <w:b/>
              </w:rPr>
              <w:t xml:space="preserve">A3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[ ]</w:t>
            </w:r>
          </w:p>
        </w:tc>
      </w:tr>
    </w:tbl>
    <w:p>
      <w:pPr/>
      <w:r>
        <w:rPr>
          <w:b/>
        </w:rPr>
        <w:t xml:space="preserve">ব্যাখ্যা-নির্দেশিকা:</w:t>
      </w:r>
      <w:r>
        <w:t xml:space="preserve"> A3-এর MASE &lt; 1 ও DM p &lt; 0.05 (সংশোধিত) হলে H1 সমর্থিত। কভারেজ ৭৭–৮৩% সীমার বাইরে হলে ক্যালিব্রেশনের ঘাটতি আলোচনা করুন (প্রয়োজনে conformal সংশোধন)।</w:t>
      </w:r>
    </w:p>
    <w:p>
      <w:pPr>
        <w:pStyle w:val="Heading3"/>
      </w:pPr>
      <w:r>
        <w:t xml:space="preserve">সারণি ২: Experiment B — নগদ-প্রবাহ ঝুঁকি শনাক্তকরণ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w="1170" w:type="dxa"/>
            <w:shd w:val="clear" w:color="auto" w:fill="F2F2F2"/>
          </w:tcPr>
          <w:p>
            <w:pPr/>
            <w:r>
              <w:t xml:space="preserve">পদ্ধতি</w:t>
            </w:r>
          </w:p>
        </w:tc>
        <w:tc>
          <w:tcPr>
            <w:tcW w:w="1170" w:type="dxa"/>
            <w:shd w:val="clear" w:color="auto" w:fill="F2F2F2"/>
          </w:tcPr>
          <w:p>
            <w:pPr>
              <w:jc w:val="center"/>
            </w:pPr>
            <w:r>
              <w:t xml:space="preserve">Precision</w:t>
            </w:r>
          </w:p>
        </w:tc>
        <w:tc>
          <w:tcPr>
            <w:tcW w:w="1170" w:type="dxa"/>
            <w:shd w:val="clear" w:color="auto" w:fill="F2F2F2"/>
          </w:tcPr>
          <w:p>
            <w:pPr>
              <w:jc w:val="center"/>
            </w:pPr>
            <w:r>
              <w:t xml:space="preserve">Recall</w:t>
            </w:r>
          </w:p>
        </w:tc>
        <w:tc>
          <w:tcPr>
            <w:tcW w:w="1170" w:type="dxa"/>
            <w:shd w:val="clear" w:color="auto" w:fill="F2F2F2"/>
          </w:tcPr>
          <w:p>
            <w:pPr>
              <w:jc w:val="center"/>
            </w:pPr>
            <w:r>
              <w:t xml:space="preserve">F1</w:t>
            </w:r>
          </w:p>
        </w:tc>
        <w:tc>
          <w:tcPr>
            <w:tcW w:w="1170" w:type="dxa"/>
            <w:shd w:val="clear" w:color="auto" w:fill="F2F2F2"/>
          </w:tcPr>
          <w:p>
            <w:pPr>
              <w:jc w:val="center"/>
            </w:pPr>
            <w:r>
              <w:t xml:space="preserve">PR-AUC</w:t>
            </w:r>
          </w:p>
        </w:tc>
        <w:tc>
          <w:tcPr>
            <w:tcW w:w="1170" w:type="dxa"/>
            <w:shd w:val="clear" w:color="auto" w:fill="F2F2F2"/>
          </w:tcPr>
          <w:p>
            <w:pPr>
              <w:jc w:val="center"/>
            </w:pPr>
            <w:r>
              <w:t xml:space="preserve">গড় লিড টাইম (দিন)</w:t>
            </w:r>
          </w:p>
        </w:tc>
        <w:tc>
          <w:tcPr>
            <w:tcW w:w="1170" w:type="dxa"/>
            <w:shd w:val="clear" w:color="auto" w:fill="F2F2F2"/>
          </w:tcPr>
          <w:p>
            <w:pPr>
              <w:jc w:val="center"/>
            </w:pPr>
            <w:r>
              <w:t xml:space="preserve">মাসিক মিথ্যা সতর্কতা</w:t>
            </w:r>
          </w:p>
        </w:tc>
        <w:tc>
          <w:tcPr>
            <w:tcW w:w="1170" w:type="dxa"/>
            <w:shd w:val="clear" w:color="auto" w:fill="F2F2F2"/>
          </w:tcPr>
          <w:p>
            <w:pPr>
              <w:jc w:val="center"/>
            </w:pPr>
            <w:r>
              <w:t xml:space="preserve">ঘাটতি MAE</w:t>
            </w:r>
          </w:p>
        </w:tc>
      </w:tr>
      <w:tr>
        <w:tc>
          <w:tcPr>
            <w:tcW w:w="1170" w:type="dxa"/>
          </w:tcPr>
          <w:p>
            <w:pPr/>
            <w:r>
              <w:t xml:space="preserve">B0 থ্রেশহোল্ড</w:t>
            </w:r>
          </w:p>
        </w:tc>
        <w:tc>
          <w:tcPr>
            <w:tcW w:w="1170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1170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1170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1170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1170" w:type="dxa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w="1170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1170" w:type="dxa"/>
          </w:tcPr>
          <w:p>
            <w:pPr>
              <w:jc w:val="center"/>
            </w:pPr>
            <w:r>
              <w:t xml:space="preserve">[ ]</w:t>
            </w:r>
          </w:p>
        </w:tc>
      </w:tr>
      <w:tr>
        <w:tc>
          <w:tcPr>
            <w:tcW w:w="1170" w:type="dxa"/>
          </w:tcPr>
          <w:p>
            <w:pPr/>
            <w:r>
              <w:t xml:space="preserve">B1 ফোরকাস্ট + থ্রেশহোল্ড</w:t>
            </w:r>
          </w:p>
        </w:tc>
        <w:tc>
          <w:tcPr>
            <w:tcW w:w="1170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1170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1170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1170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1170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1170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1170" w:type="dxa"/>
          </w:tcPr>
          <w:p>
            <w:pPr>
              <w:jc w:val="center"/>
            </w:pPr>
            <w:r>
              <w:t xml:space="preserve">[ ]</w:t>
            </w:r>
          </w:p>
        </w:tc>
      </w:tr>
      <w:tr>
        <w:tc>
          <w:tcPr>
            <w:tcW w:w="1170" w:type="dxa"/>
          </w:tcPr>
          <w:p>
            <w:pPr/>
            <w:r>
              <w:rPr>
                <w:b/>
              </w:rPr>
              <w:t xml:space="preserve">B2 P10 ডাউনসাইড</w:t>
            </w:r>
          </w:p>
        </w:tc>
        <w:tc>
          <w:tcPr>
            <w:tcW w:w="1170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1170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1170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1170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1170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1170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1170" w:type="dxa"/>
          </w:tcPr>
          <w:p>
            <w:pPr>
              <w:jc w:val="center"/>
            </w:pPr>
            <w:r>
              <w:t xml:space="preserve">[ ]</w:t>
            </w:r>
          </w:p>
        </w:tc>
      </w:tr>
      <w:tr>
        <w:tc>
          <w:tcPr>
            <w:tcW w:w="1170" w:type="dxa"/>
          </w:tcPr>
          <w:p>
            <w:pPr/>
            <w:r>
              <w:t xml:space="preserve">B3 LLM-শুধু</w:t>
            </w:r>
          </w:p>
        </w:tc>
        <w:tc>
          <w:tcPr>
            <w:tcW w:w="1170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1170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1170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1170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1170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1170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1170" w:type="dxa"/>
          </w:tcPr>
          <w:p>
            <w:pPr>
              <w:jc w:val="center"/>
            </w:pPr>
            <w:r>
              <w:t xml:space="preserve">[ ]</w:t>
            </w:r>
          </w:p>
        </w:tc>
      </w:tr>
    </w:tbl>
    <w:p>
      <w:pPr>
        <w:pStyle w:val="Heading3"/>
      </w:pPr>
      <w:r>
        <w:t xml:space="preserve">সারণি ৩: Experiment C — সিমুলেটর যাচাই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পরীক্ষা</w:t>
            </w:r>
          </w:p>
        </w:tc>
        <w:tc>
          <w:tcPr>
            <w:tcW w:w="2340" w:type="dxa"/>
            <w:shd w:val="clear" w:color="auto" w:fill="F2F2F2"/>
          </w:tcPr>
          <w:p>
            <w:pPr>
              <w:jc w:val="center"/>
            </w:pPr>
            <w:r>
              <w:t xml:space="preserve">পাস/ফেল</w:t>
            </w:r>
          </w:p>
        </w:tc>
        <w:tc>
          <w:tcPr>
            <w:tcW w:w="2340" w:type="dxa"/>
            <w:shd w:val="clear" w:color="auto" w:fill="F2F2F2"/>
          </w:tcPr>
          <w:p>
            <w:pPr>
              <w:jc w:val="center"/>
            </w:pPr>
            <w:r>
              <w:t xml:space="preserve">সর্বোচ্চ পরম ত্রুটি</w:t>
            </w:r>
          </w:p>
        </w:tc>
        <w:tc>
          <w:tcPr>
            <w:tcW w:w="2340" w:type="dxa"/>
            <w:shd w:val="clear" w:color="auto" w:fill="F2F2F2"/>
          </w:tcPr>
          <w:p>
            <w:pPr>
              <w:jc w:val="center"/>
            </w:pPr>
            <w:r>
              <w:t xml:space="preserve">১০০ রানে ভ্যারিয়েন্স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zero_inflow_runway</w:t>
            </w:r>
          </w:p>
        </w:tc>
        <w:tc>
          <w:tcPr>
            <w:tcW w:w="2340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2340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2340" w:type="dxa"/>
          </w:tcPr>
          <w:p>
            <w:pPr>
              <w:jc w:val="center"/>
            </w:pPr>
            <w:r>
              <w:t xml:space="preserve">[ ]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payroll_collision</w:t>
            </w:r>
          </w:p>
        </w:tc>
        <w:tc>
          <w:tcPr>
            <w:tcW w:w="2340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2340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2340" w:type="dxa"/>
          </w:tcPr>
          <w:p>
            <w:pPr>
              <w:jc w:val="center"/>
            </w:pPr>
            <w:r>
              <w:t xml:space="preserve">[ ]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settlement_shift_conservation</w:t>
            </w:r>
          </w:p>
        </w:tc>
        <w:tc>
          <w:tcPr>
            <w:tcW w:w="2340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2340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2340" w:type="dxa"/>
          </w:tcPr>
          <w:p>
            <w:pPr>
              <w:jc w:val="center"/>
            </w:pPr>
            <w:r>
              <w:t xml:space="preserve">[ ]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negative_floor_invariance</w:t>
            </w:r>
          </w:p>
        </w:tc>
        <w:tc>
          <w:tcPr>
            <w:tcW w:w="2340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2340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2340" w:type="dxa"/>
          </w:tcPr>
          <w:p>
            <w:pPr>
              <w:jc w:val="center"/>
            </w:pPr>
            <w:r>
              <w:t xml:space="preserve">[ ]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idempotency</w:t>
            </w:r>
          </w:p>
        </w:tc>
        <w:tc>
          <w:tcPr>
            <w:tcW w:w="2340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2340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2340" w:type="dxa"/>
          </w:tcPr>
          <w:p>
            <w:pPr>
              <w:jc w:val="center"/>
            </w:pPr>
            <w:r>
              <w:t xml:space="preserve">[ ]</w:t>
            </w:r>
          </w:p>
        </w:tc>
      </w:tr>
    </w:tbl>
    <w:p>
      <w:pPr>
        <w:pStyle w:val="Heading3"/>
      </w:pPr>
      <w:r>
        <w:t xml:space="preserve">সারণি ৪: Experiment D — কোপাইলটের মান (৬০ প্রম্পট, বুটস্ট্র্যাপ ৯৫% CI)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w="1337" w:type="dxa"/>
            <w:shd w:val="clear" w:color="auto" w:fill="F2F2F2"/>
          </w:tcPr>
          <w:p>
            <w:pPr/>
            <w:r>
              <w:t xml:space="preserve">ভ্যারিয়েন্ট</w:t>
            </w:r>
          </w:p>
        </w:tc>
        <w:tc>
          <w:tcPr>
            <w:tcW w:w="1337" w:type="dxa"/>
            <w:shd w:val="clear" w:color="auto" w:fill="F2F2F2"/>
          </w:tcPr>
          <w:p>
            <w:pPr>
              <w:jc w:val="center"/>
            </w:pPr>
            <w:r>
              <w:t xml:space="preserve">সংখ্যাগত সঠিকতা (/২)</w:t>
            </w:r>
          </w:p>
        </w:tc>
        <w:tc>
          <w:tcPr>
            <w:tcW w:w="1337" w:type="dxa"/>
            <w:shd w:val="clear" w:color="auto" w:fill="F2F2F2"/>
          </w:tcPr>
          <w:p>
            <w:pPr>
              <w:jc w:val="center"/>
            </w:pPr>
            <w:r>
              <w:t xml:space="preserve">প্রমাণ-ভিত্তিকতা (/২)</w:t>
            </w:r>
          </w:p>
        </w:tc>
        <w:tc>
          <w:tcPr>
            <w:tcW w:w="1337" w:type="dxa"/>
            <w:shd w:val="clear" w:color="auto" w:fill="F2F2F2"/>
          </w:tcPr>
          <w:p>
            <w:pPr>
              <w:jc w:val="center"/>
            </w:pPr>
            <w:r>
              <w:t xml:space="preserve">কার্যকরতা (/২)</w:t>
            </w:r>
          </w:p>
        </w:tc>
        <w:tc>
          <w:tcPr>
            <w:tcW w:w="1337" w:type="dxa"/>
            <w:shd w:val="clear" w:color="auto" w:fill="F2F2F2"/>
          </w:tcPr>
          <w:p>
            <w:pPr>
              <w:jc w:val="center"/>
            </w:pPr>
            <w:r>
              <w:t xml:space="preserve">মোট (/১০)</w:t>
            </w:r>
          </w:p>
        </w:tc>
        <w:tc>
          <w:tcPr>
            <w:tcW w:w="1337" w:type="dxa"/>
            <w:shd w:val="clear" w:color="auto" w:fill="F2F2F2"/>
          </w:tcPr>
          <w:p>
            <w:pPr>
              <w:jc w:val="center"/>
            </w:pPr>
            <w:r>
              <w:t xml:space="preserve">ক্রিটিক্যাল ফেইলিউর (%)</w:t>
            </w:r>
          </w:p>
        </w:tc>
        <w:tc>
          <w:tcPr>
            <w:tcW w:w="1337" w:type="dxa"/>
            <w:shd w:val="clear" w:color="auto" w:fill="F2F2F2"/>
          </w:tcPr>
          <w:p>
            <w:pPr>
              <w:jc w:val="center"/>
            </w:pPr>
            <w:r>
              <w:t xml:space="preserve">আন্তঃ-র‍্যাটার κ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D0 LLM-শুধু</w:t>
            </w:r>
          </w:p>
        </w:tc>
        <w:tc>
          <w:tcPr>
            <w:tcW w:w="1337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1337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1337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1337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1337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1337" w:type="dxa"/>
          </w:tcPr>
          <w:p>
            <w:pPr>
              <w:jc w:val="center"/>
            </w:pPr>
            <w:r>
              <w:t xml:space="preserve">[ ]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D1 টুল-গ্রাউন্ডেড</w:t>
            </w:r>
          </w:p>
        </w:tc>
        <w:tc>
          <w:tcPr>
            <w:tcW w:w="1337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1337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1337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1337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1337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1337" w:type="dxa"/>
          </w:tcPr>
          <w:p>
            <w:pPr>
              <w:jc w:val="center"/>
            </w:pPr>
            <w:r>
              <w:t xml:space="preserve">[ ]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D2 টুল + RAG</w:t>
            </w:r>
          </w:p>
        </w:tc>
        <w:tc>
          <w:tcPr>
            <w:tcW w:w="1337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1337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1337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1337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1337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1337" w:type="dxa"/>
          </w:tcPr>
          <w:p>
            <w:pPr>
              <w:jc w:val="center"/>
            </w:pPr>
            <w:r>
              <w:t xml:space="preserve">[ ]</w:t>
            </w:r>
          </w:p>
        </w:tc>
      </w:tr>
    </w:tbl>
    <w:p>
      <w:pPr>
        <w:pStyle w:val="Heading3"/>
      </w:pPr>
      <w:r>
        <w:t xml:space="preserve">সারণি ৫: Experiment E — অ্যাবলেশন (প্রতিটি উপাদানের প্রান্তিক অবদান)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ভ্যারিয়েন্ট</w:t>
            </w:r>
          </w:p>
        </w:tc>
        <w:tc>
          <w:tcPr>
            <w:tcW w:w="1560" w:type="dxa"/>
            <w:shd w:val="clear" w:color="auto" w:fill="F2F2F2"/>
          </w:tcPr>
          <w:p>
            <w:pPr>
              <w:jc w:val="center"/>
            </w:pPr>
            <w:r>
              <w:t xml:space="preserve">ফোরকাস্ট WAPE</w:t>
            </w:r>
          </w:p>
        </w:tc>
        <w:tc>
          <w:tcPr>
            <w:tcW w:w="1560" w:type="dxa"/>
            <w:shd w:val="clear" w:color="auto" w:fill="F2F2F2"/>
          </w:tcPr>
          <w:p>
            <w:pPr>
              <w:jc w:val="center"/>
            </w:pPr>
            <w:r>
              <w:t xml:space="preserve">ব্রিচ PR-AUC</w:t>
            </w:r>
          </w:p>
        </w:tc>
        <w:tc>
          <w:tcPr>
            <w:tcW w:w="1560" w:type="dxa"/>
            <w:shd w:val="clear" w:color="auto" w:fill="F2F2F2"/>
          </w:tcPr>
          <w:p>
            <w:pPr>
              <w:jc w:val="center"/>
            </w:pPr>
            <w:r>
              <w:t xml:space="preserve">লিড টাইম</w:t>
            </w:r>
          </w:p>
        </w:tc>
        <w:tc>
          <w:tcPr>
            <w:tcW w:w="1560" w:type="dxa"/>
            <w:shd w:val="clear" w:color="auto" w:fill="F2F2F2"/>
          </w:tcPr>
          <w:p>
            <w:pPr>
              <w:jc w:val="center"/>
            </w:pPr>
            <w:r>
              <w:t xml:space="preserve">কোপাইলট স্কোর</w:t>
            </w:r>
          </w:p>
        </w:tc>
        <w:tc>
          <w:tcPr>
            <w:tcW w:w="1560" w:type="dxa"/>
            <w:shd w:val="clear" w:color="auto" w:fill="F2F2F2"/>
          </w:tcPr>
          <w:p>
            <w:pPr>
              <w:jc w:val="center"/>
            </w:pPr>
            <w:r>
              <w:t xml:space="preserve">প্রান্তিক উন্নতি (পূর্ববর্তী ধাপের তুলনায়)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E0</w:t>
            </w:r>
          </w:p>
        </w:tc>
        <w:tc>
          <w:tcPr>
            <w:tcW w:w="1560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1560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1560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1560" w:type="dxa"/>
          </w:tcPr>
          <w:p>
            <w:pPr>
              <w:jc w:val="center"/>
            </w:pPr>
            <w:r>
              <w:t xml:space="preserve">N/A</w:t>
            </w:r>
          </w:p>
        </w:tc>
        <w:tc>
          <w:tcPr>
            <w:tcW w:w="1560" w:type="dxa"/>
          </w:tcPr>
          <w:p>
            <w:pPr>
              <w:jc w:val="center"/>
            </w:pPr>
            <w:r>
              <w:t xml:space="preserve">রেফারেন্স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E1</w:t>
            </w:r>
          </w:p>
        </w:tc>
        <w:tc>
          <w:tcPr>
            <w:tcW w:w="1560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1560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1560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1560" w:type="dxa"/>
          </w:tcPr>
          <w:p>
            <w:pPr>
              <w:jc w:val="center"/>
            </w:pPr>
            <w:r>
              <w:t xml:space="preserve">N/A</w:t>
            </w:r>
          </w:p>
        </w:tc>
        <w:tc>
          <w:tcPr>
            <w:tcW w:w="1560" w:type="dxa"/>
          </w:tcPr>
          <w:p>
            <w:pPr>
              <w:jc w:val="center"/>
            </w:pPr>
            <w:r>
              <w:t xml:space="preserve">[ ]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E2</w:t>
            </w:r>
          </w:p>
        </w:tc>
        <w:tc>
          <w:tcPr>
            <w:tcW w:w="1560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1560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1560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1560" w:type="dxa"/>
          </w:tcPr>
          <w:p>
            <w:pPr>
              <w:jc w:val="center"/>
            </w:pPr>
            <w:r>
              <w:t xml:space="preserve">N/A</w:t>
            </w:r>
          </w:p>
        </w:tc>
        <w:tc>
          <w:tcPr>
            <w:tcW w:w="1560" w:type="dxa"/>
          </w:tcPr>
          <w:p>
            <w:pPr>
              <w:jc w:val="center"/>
            </w:pPr>
            <w:r>
              <w:t xml:space="preserve">[ ]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E3</w:t>
            </w:r>
          </w:p>
        </w:tc>
        <w:tc>
          <w:tcPr>
            <w:tcW w:w="1560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1560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1560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1560" w:type="dxa"/>
          </w:tcPr>
          <w:p>
            <w:pPr>
              <w:jc w:val="center"/>
            </w:pPr>
            <w:r>
              <w:t xml:space="preserve">N/A</w:t>
            </w:r>
          </w:p>
        </w:tc>
        <w:tc>
          <w:tcPr>
            <w:tcW w:w="1560" w:type="dxa"/>
          </w:tcPr>
          <w:p>
            <w:pPr>
              <w:jc w:val="center"/>
            </w:pPr>
            <w:r>
              <w:t xml:space="preserve">[ ]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E4</w:t>
            </w:r>
          </w:p>
        </w:tc>
        <w:tc>
          <w:tcPr>
            <w:tcW w:w="1560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1560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1560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1560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1560" w:type="dxa"/>
          </w:tcPr>
          <w:p>
            <w:pPr>
              <w:jc w:val="center"/>
            </w:pPr>
            <w:r>
              <w:t xml:space="preserve">[ ]</w:t>
            </w:r>
          </w:p>
        </w:tc>
      </w:tr>
    </w:tbl>
    <w:p>
      <w:pPr>
        <w:pStyle w:val="Heading3"/>
      </w:pPr>
      <w:r>
        <w:t xml:space="preserve">সারণি ৬: Experiment F — ডেটা-স্বল্পতা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প্রশিক্ষণ-ইতিহাস</w:t>
            </w:r>
          </w:p>
        </w:tc>
        <w:tc>
          <w:tcPr>
            <w:tcW w:w="2340" w:type="dxa"/>
            <w:shd w:val="clear" w:color="auto" w:fill="F2F2F2"/>
          </w:tcPr>
          <w:p>
            <w:pPr>
              <w:jc w:val="center"/>
            </w:pPr>
            <w:r>
              <w:t xml:space="preserve">WAPE</w:t>
            </w:r>
          </w:p>
        </w:tc>
        <w:tc>
          <w:tcPr>
            <w:tcW w:w="2340" w:type="dxa"/>
            <w:shd w:val="clear" w:color="auto" w:fill="F2F2F2"/>
          </w:tcPr>
          <w:p>
            <w:pPr>
              <w:jc w:val="center"/>
            </w:pPr>
            <w:r>
              <w:t xml:space="preserve">MASE</w:t>
            </w:r>
          </w:p>
        </w:tc>
        <w:tc>
          <w:tcPr>
            <w:tcW w:w="2340" w:type="dxa"/>
            <w:shd w:val="clear" w:color="auto" w:fill="F2F2F2"/>
          </w:tcPr>
          <w:p>
            <w:pPr>
              <w:jc w:val="center"/>
            </w:pPr>
            <w:r>
              <w:t xml:space="preserve">৮০% কভারেজ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৩০ দিন</w:t>
            </w:r>
          </w:p>
        </w:tc>
        <w:tc>
          <w:tcPr>
            <w:tcW w:w="2340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2340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2340" w:type="dxa"/>
          </w:tcPr>
          <w:p>
            <w:pPr>
              <w:jc w:val="center"/>
            </w:pPr>
            <w:r>
              <w:t xml:space="preserve">[ ]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৬০ দিন</w:t>
            </w:r>
          </w:p>
        </w:tc>
        <w:tc>
          <w:tcPr>
            <w:tcW w:w="2340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2340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2340" w:type="dxa"/>
          </w:tcPr>
          <w:p>
            <w:pPr>
              <w:jc w:val="center"/>
            </w:pPr>
            <w:r>
              <w:t xml:space="preserve">[ ]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৯০ দিন</w:t>
            </w:r>
          </w:p>
        </w:tc>
        <w:tc>
          <w:tcPr>
            <w:tcW w:w="2340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2340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2340" w:type="dxa"/>
          </w:tcPr>
          <w:p>
            <w:pPr>
              <w:jc w:val="center"/>
            </w:pPr>
            <w:r>
              <w:t xml:space="preserve">[ ]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১৮০ দিন</w:t>
            </w:r>
          </w:p>
        </w:tc>
        <w:tc>
          <w:tcPr>
            <w:tcW w:w="2340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2340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2340" w:type="dxa"/>
          </w:tcPr>
          <w:p>
            <w:pPr>
              <w:jc w:val="center"/>
            </w:pPr>
            <w:r>
              <w:t xml:space="preserve">[ ]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৩৬৫ দিন</w:t>
            </w:r>
          </w:p>
        </w:tc>
        <w:tc>
          <w:tcPr>
            <w:tcW w:w="2340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2340" w:type="dxa"/>
          </w:tcPr>
          <w:p>
            <w:pPr>
              <w:jc w:val="center"/>
            </w:pPr>
            <w:r>
              <w:t xml:space="preserve">[ ]</w:t>
            </w:r>
          </w:p>
        </w:tc>
        <w:tc>
          <w:tcPr>
            <w:tcW w:w="2340" w:type="dxa"/>
          </w:tcPr>
          <w:p>
            <w:pPr>
              <w:jc w:val="center"/>
            </w:pPr>
            <w:r>
              <w:t xml:space="preserve">[ ]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৭. আলোচনা (Discussion)</w:t>
      </w:r>
    </w:p>
    <w:p>
      <w:pPr/>
      <w:r>
        <w:rPr>
          <w:i/>
        </w:rPr>
        <w:t xml:space="preserve">(ফলাফল পাওয়ার পর নিচের কাঠামো অনুসরণ করে লিখুন।)</w:t>
      </w:r>
    </w:p>
    <w:p>
      <w:pPr/>
      <w:r>
        <w:rPr>
          <w:b/>
        </w:rPr>
        <w:t xml:space="preserve">৭.১ প্রধান ফলাফলের ব্যাখ্যা।</w:t>
      </w:r>
      <w:r>
        <w:t xml:space="preserve"> প্রতিটি হাইপোথিসিস (H1–H4) সমর্থিত/অসমর্থিত — কেন, কোন ডেটাসেটে ও হরাইজনে।</w:t>
      </w:r>
    </w:p>
    <w:p>
      <w:pPr/>
      <w:r>
        <w:rPr>
          <w:b/>
        </w:rPr>
        <w:t xml:space="preserve">৭.২ উপাদানভিত্তিক অবদান।</w:t>
      </w:r>
      <w:r>
        <w:t xml:space="preserve"> অ্যাবলেশন থেকে দেখান কোন ধাপ (ফোরকাস্ট, নির্ধারিত ইঞ্জিন, সিমুলেটর, LLM) সবচেয়ে বেশি মূল্য যোগ করেছে। যদি ফোরকাস্ট-উন্নতি ছোট হয় কিন্তু নির্ধারিত ইঞ্জিন বড় উন্নতি আনে, তবে সেটিই মূল বার্তা।</w:t>
      </w:r>
    </w:p>
    <w:p>
      <w:pPr/>
      <w:r>
        <w:rPr>
          <w:b/>
        </w:rPr>
        <w:t xml:space="preserve">৭.৩ ব্যবহারিক প্রভাব।</w:t>
      </w:r>
      <w:r>
        <w:t xml:space="preserve"> SME মালিকদের জন্য আগাম সতর্কতার দিন-সংখ্যা, মিথ্যা সতর্কতার মূল্য, ও নিয়ন্ত্রক/নৈতিক বিবেচনা।</w:t>
      </w:r>
    </w:p>
    <w:p>
      <w:pPr/>
      <w:r>
        <w:rPr>
          <w:b/>
        </w:rPr>
        <w:t xml:space="preserve">৭.৪ ব্যর্থতা-বিশ্লেষণ।</w:t>
      </w:r>
      <w:r>
        <w:t xml:space="preserve"> কোথায় A3 হারে (যেমন ছুটির সময়, শূন্য-বিক্রয় দিন), কোন ধরনের প্রম্পটে D1-ও ব্যর্থ — ত্রুটি-শ্রেণিবিন্যাস দিন।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৮. বৈধতার হুমকি ও সীমাবদ্ধতা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ধরন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ঝুঁকি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প্রশমন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অভ্যন্তরীণ</w:t>
            </w:r>
          </w:p>
        </w:tc>
        <w:tc>
          <w:tcPr>
            <w:tcW w:w="3120" w:type="dxa"/>
          </w:tcPr>
          <w:p>
            <w:pPr/>
            <w:r>
              <w:t xml:space="preserve">পুরো লেজার কৃত্রিম, তাই ফলাফল আমাদের ধরা-পরামিতির ওপর নির্ভরশীল</w:t>
            </w:r>
          </w:p>
        </w:tc>
        <w:tc>
          <w:tcPr>
            <w:tcW w:w="3120" w:type="dxa"/>
          </w:tcPr>
          <w:p>
            <w:pPr/>
            <w:r>
              <w:t xml:space="preserve">β, লেগ, রিজার্ভ নিয়ে সংবেদনশীলতা বিশ্লেষণ; একাধিক সিড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অভ্যন্তরীণ</w:t>
            </w:r>
          </w:p>
        </w:tc>
        <w:tc>
          <w:tcPr>
            <w:tcW w:w="3120" w:type="dxa"/>
          </w:tcPr>
          <w:p>
            <w:pPr/>
            <w:r>
              <w:t xml:space="preserve">ফিচারে ডেটা-ফুটো</w:t>
            </w:r>
          </w:p>
        </w:tc>
        <w:tc>
          <w:tcPr>
            <w:tcW w:w="3120" w:type="dxa"/>
          </w:tcPr>
          <w:p>
            <w:pPr/>
            <w:r>
              <w:t xml:space="preserve">embargo বৃদ্ধি; ফিচার-ল্যাগ অডিট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বাহ্যিক</w:t>
            </w:r>
          </w:p>
        </w:tc>
        <w:tc>
          <w:tcPr>
            <w:tcW w:w="3120" w:type="dxa"/>
          </w:tcPr>
          <w:p>
            <w:pPr/>
            <w:r>
              <w:t xml:space="preserve">Olist (২০১৬–১৮) ও UCI (২০১০–১১) পুরনো ও বিশেষ বাজারের</w:t>
            </w:r>
          </w:p>
        </w:tc>
        <w:tc>
          <w:tcPr>
            <w:tcW w:w="3120" w:type="dxa"/>
          </w:tcPr>
          <w:p>
            <w:pPr/>
            <w:r>
              <w:t xml:space="preserve">অন্তত একটি সাম্প্রতিক SME ডেটাসেট (সম্ভব হলে বাস্তব লেজার) অন্তর্ভুক্তি বা স্পষ্ট সীমা-ঘোষণা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বাহ্যিক</w:t>
            </w:r>
          </w:p>
        </w:tc>
        <w:tc>
          <w:tcPr>
            <w:tcW w:w="3120" w:type="dxa"/>
          </w:tcPr>
          <w:p>
            <w:pPr/>
            <w:r>
              <w:t xml:space="preserve">UCI ডেটা মাত্র ~১ বছর, ঋতুভিত্তিক বৈধতা দুর্বল</w:t>
            </w:r>
          </w:p>
        </w:tc>
        <w:tc>
          <w:tcPr>
            <w:tcW w:w="3120" w:type="dxa"/>
          </w:tcPr>
          <w:p>
            <w:pPr/>
            <w:r>
              <w:t xml:space="preserve">ক্ষুদ্র ফোল্ড-সংখ্যা স্বীকার; DM-এ ছোট-নমুনা সংশোধন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গঠনগত (construct)</w:t>
            </w:r>
          </w:p>
        </w:tc>
        <w:tc>
          <w:tcPr>
            <w:tcW w:w="3120" w:type="dxa"/>
          </w:tcPr>
          <w:p>
            <w:pPr/>
            <w:r>
              <w:t xml:space="preserve">বিক্রয় ≠ নগদ আয়; রিসিভেবল ও ক্রেডিট আচরণ অনুপস্থিত</w:t>
            </w:r>
          </w:p>
        </w:tc>
        <w:tc>
          <w:tcPr>
            <w:tcW w:w="3120" w:type="dxa"/>
          </w:tcPr>
          <w:p>
            <w:pPr/>
            <w:r>
              <w:t xml:space="preserve">মডেল-করা সরলীকরণ স্পষ্ট লেখা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পরিসংখ্যানগত</w:t>
            </w:r>
          </w:p>
        </w:tc>
        <w:tc>
          <w:tcPr>
            <w:tcW w:w="3120" w:type="dxa"/>
          </w:tcPr>
          <w:p>
            <w:pPr/>
            <w:r>
              <w:t xml:space="preserve">৬০ প্রম্পটে বিরল-ইভেন্ট (&lt;২%) প্রমাণ কঠিন</w:t>
            </w:r>
          </w:p>
        </w:tc>
        <w:tc>
          <w:tcPr>
            <w:tcW w:w="3120" w:type="dxa"/>
          </w:tcPr>
          <w:p>
            <w:pPr/>
            <w:r>
              <w:t xml:space="preserve">নমুনা বাড়ানো বা দাবি নরম করা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LLM-সংক্রান্ত</w:t>
            </w:r>
          </w:p>
        </w:tc>
        <w:tc>
          <w:tcPr>
            <w:tcW w:w="3120" w:type="dxa"/>
          </w:tcPr>
          <w:p>
            <w:pPr/>
            <w:r>
              <w:t xml:space="preserve">মডেল-সংস্করণ বদলালে ফলাফল পরিবর্তন; প্রম্পট-সংবেদনশীলতা</w:t>
            </w:r>
          </w:p>
        </w:tc>
        <w:tc>
          <w:tcPr>
            <w:tcW w:w="3120" w:type="dxa"/>
          </w:tcPr>
          <w:p>
            <w:pPr/>
            <w:r>
              <w:t xml:space="preserve">সংস্করণ লক, একাধিক প্রম্পট-প্যারাফ্রেজ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মূল্যায়ক পক্ষপাত</w:t>
            </w:r>
          </w:p>
        </w:tc>
        <w:tc>
          <w:tcPr>
            <w:tcW w:w="3120" w:type="dxa"/>
          </w:tcPr>
          <w:p>
            <w:pPr/>
            <w:r>
              <w:t xml:space="preserve">র‍্যাটাররা ভ্যারিয়েন্ট আন্দাজ করতে পারেন</w:t>
            </w:r>
          </w:p>
        </w:tc>
        <w:tc>
          <w:tcPr>
            <w:tcW w:w="3120" w:type="dxa"/>
          </w:tcPr>
          <w:p>
            <w:pPr/>
            <w:r>
              <w:t xml:space="preserve">সত্যিকারের ব্লাইন্ডিং, র‍্যান্ডমাইজড ক্রম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৯. নৈতিকতা, দায়িত্বশীল ব্যবহার ও পুনরুৎপাদনযোগ্যতা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আর্থিক পরামর্শের সীমা:</w:t>
      </w:r>
      <w:r>
        <w:t xml:space="preserve"> সিস্টেম লাইসেন্সপ্রাপ্ত আর্থিক উপদেষ্টার বিকল্প নয়; ক্যাটাগরি ৬ প্রম্পটে প্রত্যাখ্যান-আচরণ মূল্যায়িত।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গোপনীয়তা:</w:t>
      </w:r>
      <w:r>
        <w:t xml:space="preserve"> Olist ও UCI অ্যানোনিমাইজড; প্রকৃত SME ডেটা ব্যবহার করলে সম্মতি ও ডেটা-নিরাপত্তা বিবরণ দিন।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পুনরুৎপাদন:</w:t>
      </w:r>
      <w:r>
        <w:t xml:space="preserve"> কোড (ফেজ ১–৬ ফাইল কাঠামো), র‍্যান্ডম সিড, ডেটা-ভার্সন, পরিবেশ (requirements/lockfile), ও প্রম্পট-লগ রিপোজিটরিতে (GitHub + Zenodo DOI) প্রকাশ করুন। Olist ও UCI-এর লাইসেন্স শর্ত মানুন (সরাসরি পুনর্বিতরণ নয়, ডাউনলোড-স্ক্রিপ্ট দিন)।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প্রি-রেজিস্ট্রেশন:</w:t>
      </w:r>
      <w:r>
        <w:t xml:space="preserve"> OSF-এ হাইপোথিসিস, মেট্রিক ও বিশ্লেষণ-পরিকল্পনা টাইম-স্ট্যাম্পসহ জমা দিয়ে লিংক যোগ করুন।</w:t>
      </w:r>
    </w:p>
    <w:p>
      <w:pPr/>
      <w:r>
        <w:rPr>
          <w:b/>
        </w:rPr>
        <w:t xml:space="preserve">কোড কাঠামো (পরিশিষ্ট):</w:t>
      </w:r>
    </w:p>
    <w:p>
      <w:pPr>
        <w:pStyle w:val="Code"/>
      </w:pPr>
      <w:bookmarkStart w:id="10" w:name="bongo_lang_text_10"/>
      <w:bookmarkEnd w:id="10"/>
      <w:r>
        <w:t xml:space="preserve">Phase 1  olist_loader.py, uci_loader.py</w:t>
        <w:br/>
        <w:t xml:space="preserve">Phase 2  engine.py, shocks.py, test_engine.py</w:t>
        <w:br/>
        <w:t xml:space="preserve">Phase 3  features.py, models.py, run_exp_a.py</w:t>
        <w:br/>
        <w:t xml:space="preserve">Phase 4  run_exp_b.py</w:t>
        <w:br/>
        <w:t xml:space="preserve">Phase 5  tools.py, run_exp_d.py</w:t>
        <w:br/>
        <w:t xml:space="preserve">Phase 6  app.py (Streamlit ড্যাশবোর্ড)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১০. উপসংহার</w:t>
      </w:r>
    </w:p>
    <w:p>
      <w:pPr/>
      <w:r>
        <w:t xml:space="preserve">এই গবেষণা দেখাবে (ফলাফল নিশ্চিত হওয়ার পর চূড়ান্ত বাক্য লিখুন) যে SME-র নগদ-প্রবাহ সহায়তায় আসল মূল্য আসে </w:t>
      </w:r>
      <w:r>
        <w:rPr>
          <w:b/>
        </w:rPr>
        <w:t xml:space="preserve">সম্ভাব্যতাভিত্তিক ফোরকাস্ট, নির্ধারিত হিসাবরক্ষণ ইঞ্জিন ও টুল-নিয়ন্ত্রিত LLM-এর সম্মিলিত পাইপলাইন</w:t>
      </w:r>
      <w:r>
        <w:t xml:space="preserve"> থেকে, যেখানে LLM সংখ্যা বানায় না, উৎপন্ন সংখ্যা ব্যাখ্যা করে। ভবিষ্যৎ কাজ: বাস্তব SME লেজারে ক্ষেত্র-পরীক্ষা, conformal prediction, ক্রস-কারেন্সি ও বহুভাষিক (যেমন বাংলা) কোপাইলট মূল্যায়ন।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তথ্যসূত্র (References) — জমা দেওয়ার আগে প্রতিটি যাচাই করুন</w:t>
      </w:r>
    </w:p>
    <w:p>
      <w:pPr>
        <w:pStyle w:val="ListParagraph"/>
        <w:numPr>
          <w:ilvl w:val="0"/>
          <w:numId w:val="8"/>
        </w:numPr>
      </w:pPr>
      <w:r>
        <w:t xml:space="preserve">Bergmeir, C., &amp; Benítez, J. M. (2012). On the use of cross-validation for time series predictor evaluation. </w:t>
      </w:r>
      <w:r>
        <w:rPr>
          <w:i/>
        </w:rPr>
        <w:t xml:space="preserve">Information Sciences</w:t>
      </w:r>
      <w:r>
        <w:t xml:space="preserve">, 191, 192–213.</w:t>
      </w:r>
    </w:p>
    <w:p>
      <w:pPr>
        <w:pStyle w:val="ListParagraph"/>
        <w:numPr>
          <w:ilvl w:val="0"/>
          <w:numId w:val="8"/>
        </w:numPr>
      </w:pPr>
      <w:r>
        <w:t xml:space="preserve">Chen, D., Sain, S. L., &amp; Guo, K. (2012). Data mining for the online retail industry: A case study of RFM model-based customer segmentation using data mining. </w:t>
      </w:r>
      <w:r>
        <w:rPr>
          <w:i/>
        </w:rPr>
        <w:t xml:space="preserve">Journal of Database Marketing &amp; Customer Strategy Management</w:t>
      </w:r>
      <w:r>
        <w:t xml:space="preserve">, 19(3), 197–208. (UCI Online Retail)</w:t>
      </w:r>
    </w:p>
    <w:p>
      <w:pPr>
        <w:pStyle w:val="ListParagraph"/>
        <w:numPr>
          <w:ilvl w:val="0"/>
          <w:numId w:val="8"/>
        </w:numPr>
      </w:pPr>
      <w:r>
        <w:t xml:space="preserve">Davis, J., &amp; Goadrich, M. (2006). The relationship between Precision-Recall and ROC curves. </w:t>
      </w:r>
      <w:r>
        <w:rPr>
          <w:i/>
        </w:rPr>
        <w:t xml:space="preserve">ICML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t xml:space="preserve">Diebold, F. X., &amp; Mariano, R. S. (1995). Comparing predictive accuracy. </w:t>
      </w:r>
      <w:r>
        <w:rPr>
          <w:i/>
        </w:rPr>
        <w:t xml:space="preserve">Journal of Business &amp; Economic Statistics</w:t>
      </w:r>
      <w:r>
        <w:t xml:space="preserve">, 13(3), 253–263.</w:t>
      </w:r>
    </w:p>
    <w:p>
      <w:pPr>
        <w:pStyle w:val="ListParagraph"/>
        <w:numPr>
          <w:ilvl w:val="0"/>
          <w:numId w:val="8"/>
        </w:numPr>
      </w:pPr>
      <w:r>
        <w:t xml:space="preserve">Gneiting, T., &amp; Raftery, A. E. (2007). Strictly proper scoring rules, prediction, and estimation. </w:t>
      </w:r>
      <w:r>
        <w:rPr>
          <w:i/>
        </w:rPr>
        <w:t xml:space="preserve">JASA</w:t>
      </w:r>
      <w:r>
        <w:t xml:space="preserve">, 102(477), 359–378.</w:t>
      </w:r>
    </w:p>
    <w:p>
      <w:pPr>
        <w:pStyle w:val="ListParagraph"/>
        <w:numPr>
          <w:ilvl w:val="0"/>
          <w:numId w:val="8"/>
        </w:numPr>
      </w:pPr>
      <w:r>
        <w:t xml:space="preserve">Harvey, D., Leybourne, S., &amp; Newbold, P. (1997). Testing the equality of prediction mean squared errors. </w:t>
      </w:r>
      <w:r>
        <w:rPr>
          <w:i/>
        </w:rPr>
        <w:t xml:space="preserve">International Journal of Forecasting</w:t>
      </w:r>
      <w:r>
        <w:t xml:space="preserve">, 13(2), 281–291.</w:t>
      </w:r>
    </w:p>
    <w:p>
      <w:pPr>
        <w:pStyle w:val="ListParagraph"/>
        <w:numPr>
          <w:ilvl w:val="0"/>
          <w:numId w:val="8"/>
        </w:numPr>
      </w:pPr>
      <w:r>
        <w:t xml:space="preserve">Hyndman, R. J., &amp; Koehler, A. B. (2006). Another look at measures of forecast accuracy. </w:t>
      </w:r>
      <w:r>
        <w:rPr>
          <w:i/>
        </w:rPr>
        <w:t xml:space="preserve">International Journal of Forecasting</w:t>
      </w:r>
      <w:r>
        <w:t xml:space="preserve">, 22(4), 679–688.</w:t>
      </w:r>
    </w:p>
    <w:p>
      <w:pPr>
        <w:pStyle w:val="ListParagraph"/>
        <w:numPr>
          <w:ilvl w:val="0"/>
          <w:numId w:val="8"/>
        </w:numPr>
      </w:pPr>
      <w:r>
        <w:t xml:space="preserve">Ji, Z., et al. (2023). Survey of hallucination in natural language generation. </w:t>
      </w:r>
      <w:r>
        <w:rPr>
          <w:i/>
        </w:rPr>
        <w:t xml:space="preserve">ACM Computing Surveys</w:t>
      </w:r>
      <w:r>
        <w:t xml:space="preserve">, 55(12).</w:t>
      </w:r>
    </w:p>
    <w:p>
      <w:pPr>
        <w:pStyle w:val="ListParagraph"/>
        <w:numPr>
          <w:ilvl w:val="0"/>
          <w:numId w:val="8"/>
        </w:numPr>
      </w:pPr>
      <w:r>
        <w:t xml:space="preserve">Ke, G., et al. (2017). LightGBM: A highly efficient gradient boosting decision tree. </w:t>
      </w:r>
      <w:r>
        <w:rPr>
          <w:i/>
        </w:rPr>
        <w:t xml:space="preserve">NeurIPS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t xml:space="preserve">Koenker, R., &amp; Bassett, G. (1978). Regression quantiles. </w:t>
      </w:r>
      <w:r>
        <w:rPr>
          <w:i/>
        </w:rPr>
        <w:t xml:space="preserve">Econometrica</w:t>
      </w:r>
      <w:r>
        <w:t xml:space="preserve">, 46(1), 33–50.</w:t>
      </w:r>
    </w:p>
    <w:p>
      <w:pPr>
        <w:pStyle w:val="ListParagraph"/>
        <w:numPr>
          <w:ilvl w:val="0"/>
          <w:numId w:val="8"/>
        </w:numPr>
      </w:pPr>
      <w:r>
        <w:t xml:space="preserve">Lewis, P., et al. (2020). Retrieval-augmented generation for knowledge-intensive NLP tasks. </w:t>
      </w:r>
      <w:r>
        <w:rPr>
          <w:i/>
        </w:rPr>
        <w:t xml:space="preserve">NeurIPS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t xml:space="preserve">López de Prado, M. (2018). </w:t>
      </w:r>
      <w:r>
        <w:rPr>
          <w:i/>
        </w:rPr>
        <w:t xml:space="preserve">Advances in Financial Machine Learning</w:t>
      </w:r>
      <w:r>
        <w:t xml:space="preserve">. Wiley. (purged CV, embargo)</w:t>
      </w:r>
    </w:p>
    <w:p>
      <w:pPr>
        <w:pStyle w:val="ListParagraph"/>
        <w:numPr>
          <w:ilvl w:val="0"/>
          <w:numId w:val="8"/>
        </w:numPr>
      </w:pPr>
      <w:r>
        <w:t xml:space="preserve">Makridakis, S., Spiliotis, E., &amp; Assimakopoulos, V. (2022). M5 accuracy competition: Results, findings, and conclusions. </w:t>
      </w:r>
      <w:r>
        <w:rPr>
          <w:i/>
        </w:rPr>
        <w:t xml:space="preserve">International Journal of Forecasting</w:t>
      </w:r>
      <w:r>
        <w:t xml:space="preserve">, 38(4), 1346–1364.</w:t>
      </w:r>
    </w:p>
    <w:p>
      <w:pPr>
        <w:pStyle w:val="ListParagraph"/>
        <w:numPr>
          <w:ilvl w:val="0"/>
          <w:numId w:val="8"/>
        </w:numPr>
      </w:pPr>
      <w:r>
        <w:t xml:space="preserve">Olist. Brazilian E-Commerce Public Dataset by Olist. Kaggle.</w:t>
      </w:r>
    </w:p>
    <w:p>
      <w:pPr>
        <w:pStyle w:val="ListParagraph"/>
        <w:numPr>
          <w:ilvl w:val="0"/>
          <w:numId w:val="8"/>
        </w:numPr>
      </w:pPr>
      <w:r>
        <w:t xml:space="preserve">Prokhorenkova, L., et al. (2018). CatBoost: Unbiased boosting with categorical features. </w:t>
      </w:r>
      <w:r>
        <w:rPr>
          <w:i/>
        </w:rPr>
        <w:t xml:space="preserve">NeurIPS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t xml:space="preserve">Schick, T., et al. (2023). Toolformer: Language models can teach themselves to use tools. </w:t>
      </w:r>
      <w:r>
        <w:rPr>
          <w:i/>
        </w:rPr>
        <w:t xml:space="preserve">NeurIPS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t xml:space="preserve">Yao, S., et al. (2023). ReAct: Synergizing reasoning and acting in language models. </w:t>
      </w:r>
      <w:r>
        <w:rPr>
          <w:i/>
        </w:rPr>
        <w:t xml:space="preserve">ICLR</w:t>
      </w:r>
      <w:r>
        <w:t xml:space="preserve">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0"/>
  </w:num>
  <w:num w:numId="8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FinSight AI ফোরকাস্টিং-চালিত ও টুল-গ্রাউন্ডেড LLM কোপাইলট দিয়ে ক্ষুদ্র ও মাঝারি</dc:title>
  <dc:description>Claude Docs node/d9e499d5-7e73@3 docx-w6</dc:description>
  <cp:revision>3</cp:revision>
</cp:coreProperties>
</file>