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5B5EC7"/>
          <w:sz w:val="64"/>
          <w:szCs w:val="64"/>
        </w:rPr>
        <w:t xml:space="preserve">TaxSaathi Confidence AI</w:t>
      </w:r>
    </w:p>
    <w:p>
      <w:pPr>
        <w:spacing w:after="120"/>
        <w:jc w:val="center"/>
      </w:pPr>
      <w:r>
        <w:rPr>
          <w:rFonts w:ascii="Arial" w:cs="Arial" w:eastAsia="Arial" w:hAnsi="Arial"/>
          <w:b w:val="false"/>
          <w:bCs w:val="false"/>
          <w:color w:val="4B5563"/>
          <w:sz w:val="36"/>
          <w:szCs w:val="36"/>
        </w:rPr>
        <w:t xml:space="preserve">CTO Architecture Blueprint</w:t>
      </w:r>
    </w:p>
    <w:p>
      <w:pPr>
        <w:spacing w:after="80"/>
        <w:jc w:val="center"/>
      </w:pPr>
      <w:r>
        <w:rPr>
          <w:rFonts w:ascii="Arial" w:cs="Arial" w:eastAsia="Arial" w:hAnsi="Arial"/>
          <w:b w:val="false"/>
          <w:bCs w:val="false"/>
          <w:color w:val="4B5563"/>
          <w:sz w:val="24"/>
          <w:szCs w:val="24"/>
        </w:rPr>
        <w:t xml:space="preserve">Senior System Architect + Product Designer + CTO View</w:t>
      </w:r>
    </w:p>
    <w:p>
      <w:pPr>
        <w:spacing w:after="600"/>
        <w:jc w:val="center"/>
      </w:pPr>
      <w:r>
        <w:rPr>
          <w:rFonts w:ascii="Arial" w:cs="Arial" w:eastAsia="Arial" w:hAnsi="Arial"/>
          <w:b w:val="false"/>
          <w:bCs w:val="false"/>
          <w:color w:val="4B5563"/>
          <w:sz w:val="20"/>
          <w:szCs w:val="20"/>
        </w:rPr>
        <w:t xml:space="preserve">Bootstrap Startup Edition  •  100K Peak Concurrent  •  No Government APIs  •  June 2025</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6"/>
      </w:tblGrid>
      <w:tr>
        <w:tc>
          <w:tcPr>
            <w:tcW w:type="dxa" w:w="2556"/>
            <w:tcBorders>
              <w:top w:val="single" w:color="E5E7EB" w:sz="4"/>
              <w:left w:val="single" w:color="E5E7EB" w:sz="4"/>
              <w:bottom w:val="single" w:color="E5E7EB" w:sz="4"/>
              <w:right w:val="single" w:color="E5E7EB" w:sz="4"/>
            </w:tcBorders>
            <w:shd w:fill="F9FAFB" w:val="clear"/>
            <w:tcMar>
              <w:top w:type="dxa" w:w="120"/>
              <w:left w:type="dxa" w:w="140"/>
              <w:bottom w:type="dxa" w:w="120"/>
              <w:right w:type="dxa" w:w="140"/>
            </w:tcMar>
          </w:tcPr>
          <w:p>
            <w:pPr>
              <w:spacing w:after="40" w:before="0"/>
              <w:jc w:val="left"/>
            </w:pPr>
            <w:r>
              <w:rPr>
                <w:rFonts w:ascii="Arial" w:cs="Arial" w:eastAsia="Arial" w:hAnsi="Arial"/>
                <w:b w:val="false"/>
                <w:bCs w:val="false"/>
                <w:color w:val="4B5563"/>
                <w:sz w:val="18"/>
                <w:szCs w:val="18"/>
              </w:rPr>
              <w:t xml:space="preserve">Peak Concurrent Users</w:t>
            </w:r>
          </w:p>
          <w:p>
            <w:pPr>
              <w:spacing w:after="20" w:before="0"/>
              <w:jc w:val="left"/>
            </w:pPr>
            <w:r>
              <w:rPr>
                <w:rFonts w:ascii="Arial" w:cs="Arial" w:eastAsia="Arial" w:hAnsi="Arial"/>
                <w:b/>
                <w:bCs/>
                <w:color w:val="5B5EC7"/>
                <w:sz w:val="32"/>
                <w:szCs w:val="32"/>
              </w:rPr>
              <w:t xml:space="preserve">1,00,000</w:t>
            </w:r>
          </w:p>
          <w:p>
            <w:pPr>
              <w:spacing w:after="120" w:before="0"/>
              <w:jc w:val="left"/>
            </w:pPr>
            <w:r>
              <w:rPr>
                <w:rFonts w:ascii="Arial" w:cs="Arial" w:eastAsia="Arial" w:hAnsi="Arial"/>
                <w:b w:val="false"/>
                <w:bCs w:val="false"/>
                <w:color w:val="4B5563"/>
                <w:sz w:val="16"/>
                <w:szCs w:val="16"/>
              </w:rPr>
              <w:t xml:space="preserve">July filing season</w:t>
            </w:r>
          </w:p>
        </w:tc>
        <w:tc>
          <w:tcPr>
            <w:tcW w:type="dxa" w:w="2556"/>
            <w:tcBorders>
              <w:top w:val="single" w:color="E5E7EB" w:sz="4"/>
              <w:left w:val="single" w:color="E5E7EB" w:sz="4"/>
              <w:bottom w:val="single" w:color="E5E7EB" w:sz="4"/>
              <w:right w:val="single" w:color="E5E7EB" w:sz="4"/>
            </w:tcBorders>
            <w:shd w:fill="F9FAFB" w:val="clear"/>
            <w:tcMar>
              <w:top w:type="dxa" w:w="120"/>
              <w:left w:type="dxa" w:w="140"/>
              <w:bottom w:type="dxa" w:w="120"/>
              <w:right w:type="dxa" w:w="140"/>
            </w:tcMar>
          </w:tcPr>
          <w:p>
            <w:pPr>
              <w:spacing w:after="40" w:before="0"/>
              <w:jc w:val="left"/>
            </w:pPr>
            <w:r>
              <w:rPr>
                <w:rFonts w:ascii="Arial" w:cs="Arial" w:eastAsia="Arial" w:hAnsi="Arial"/>
                <w:b w:val="false"/>
                <w:bCs w:val="false"/>
                <w:color w:val="4B5563"/>
                <w:sz w:val="18"/>
                <w:szCs w:val="18"/>
              </w:rPr>
              <w:t xml:space="preserve">Off-Peak Monthly Infra</w:t>
            </w:r>
          </w:p>
          <w:p>
            <w:pPr>
              <w:spacing w:after="20" w:before="0"/>
              <w:jc w:val="left"/>
            </w:pPr>
            <w:r>
              <w:rPr>
                <w:rFonts w:ascii="Arial" w:cs="Arial" w:eastAsia="Arial" w:hAnsi="Arial"/>
                <w:b/>
                <w:bCs/>
                <w:color w:val="0F766E"/>
                <w:sz w:val="32"/>
                <w:szCs w:val="32"/>
              </w:rPr>
              <w:t xml:space="preserve">₹16,350</w:t>
            </w:r>
          </w:p>
          <w:p>
            <w:pPr>
              <w:spacing w:after="120" w:before="0"/>
              <w:jc w:val="left"/>
            </w:pPr>
            <w:r>
              <w:rPr>
                <w:rFonts w:ascii="Arial" w:cs="Arial" w:eastAsia="Arial" w:hAnsi="Arial"/>
                <w:b w:val="false"/>
                <w:bCs w:val="false"/>
                <w:color w:val="4B5563"/>
                <w:sz w:val="16"/>
                <w:szCs w:val="16"/>
              </w:rPr>
              <w:t xml:space="preserve">Auto-scales to near-zero</w:t>
            </w:r>
          </w:p>
        </w:tc>
        <w:tc>
          <w:tcPr>
            <w:tcW w:type="dxa" w:w="2556"/>
            <w:tcBorders>
              <w:top w:val="single" w:color="E5E7EB" w:sz="4"/>
              <w:left w:val="single" w:color="E5E7EB" w:sz="4"/>
              <w:bottom w:val="single" w:color="E5E7EB" w:sz="4"/>
              <w:right w:val="single" w:color="E5E7EB" w:sz="4"/>
            </w:tcBorders>
            <w:shd w:fill="F9FAFB" w:val="clear"/>
            <w:tcMar>
              <w:top w:type="dxa" w:w="120"/>
              <w:left w:type="dxa" w:w="140"/>
              <w:bottom w:type="dxa" w:w="120"/>
              <w:right w:type="dxa" w:w="140"/>
            </w:tcMar>
          </w:tcPr>
          <w:p>
            <w:pPr>
              <w:spacing w:after="40" w:before="0"/>
              <w:jc w:val="left"/>
            </w:pPr>
            <w:r>
              <w:rPr>
                <w:rFonts w:ascii="Arial" w:cs="Arial" w:eastAsia="Arial" w:hAnsi="Arial"/>
                <w:b w:val="false"/>
                <w:bCs w:val="false"/>
                <w:color w:val="4B5563"/>
                <w:sz w:val="18"/>
                <w:szCs w:val="18"/>
              </w:rPr>
              <w:t xml:space="preserve">Peak July Total Cost</w:t>
            </w:r>
          </w:p>
          <w:p>
            <w:pPr>
              <w:spacing w:after="20" w:before="0"/>
              <w:jc w:val="left"/>
            </w:pPr>
            <w:r>
              <w:rPr>
                <w:rFonts w:ascii="Arial" w:cs="Arial" w:eastAsia="Arial" w:hAnsi="Arial"/>
                <w:b/>
                <w:bCs/>
                <w:color w:val="993C1D"/>
                <w:sz w:val="32"/>
                <w:szCs w:val="32"/>
              </w:rPr>
              <w:t xml:space="preserve">₹2,29,800</w:t>
            </w:r>
          </w:p>
          <w:p>
            <w:pPr>
              <w:spacing w:after="120" w:before="0"/>
              <w:jc w:val="left"/>
            </w:pPr>
            <w:r>
              <w:rPr>
                <w:rFonts w:ascii="Arial" w:cs="Arial" w:eastAsia="Arial" w:hAnsi="Arial"/>
                <w:b w:val="false"/>
                <w:bCs w:val="false"/>
                <w:color w:val="4B5563"/>
                <w:sz w:val="16"/>
                <w:szCs w:val="16"/>
              </w:rPr>
              <w:t xml:space="preserve">All infra + AI + SMS</w:t>
            </w:r>
          </w:p>
        </w:tc>
        <w:tc>
          <w:tcPr>
            <w:tcW w:type="dxa" w:w="2556"/>
            <w:tcBorders>
              <w:top w:val="single" w:color="E5E7EB" w:sz="4"/>
              <w:left w:val="single" w:color="E5E7EB" w:sz="4"/>
              <w:bottom w:val="single" w:color="E5E7EB" w:sz="4"/>
              <w:right w:val="single" w:color="E5E7EB" w:sz="4"/>
            </w:tcBorders>
            <w:shd w:fill="F9FAFB" w:val="clear"/>
            <w:tcMar>
              <w:top w:type="dxa" w:w="120"/>
              <w:left w:type="dxa" w:w="140"/>
              <w:bottom w:type="dxa" w:w="120"/>
              <w:right w:type="dxa" w:w="140"/>
            </w:tcMar>
          </w:tcPr>
          <w:p>
            <w:pPr>
              <w:spacing w:after="40" w:before="0"/>
              <w:jc w:val="left"/>
            </w:pPr>
            <w:r>
              <w:rPr>
                <w:rFonts w:ascii="Arial" w:cs="Arial" w:eastAsia="Arial" w:hAnsi="Arial"/>
                <w:b w:val="false"/>
                <w:bCs w:val="false"/>
                <w:color w:val="4B5563"/>
                <w:sz w:val="18"/>
                <w:szCs w:val="18"/>
              </w:rPr>
              <w:t xml:space="preserve">AI Cost Per User</w:t>
            </w:r>
          </w:p>
          <w:p>
            <w:pPr>
              <w:spacing w:after="20" w:before="0"/>
              <w:jc w:val="left"/>
            </w:pPr>
            <w:r>
              <w:rPr>
                <w:rFonts w:ascii="Arial" w:cs="Arial" w:eastAsia="Arial" w:hAnsi="Arial"/>
                <w:b/>
                <w:bCs/>
                <w:color w:val="0C447C"/>
                <w:sz w:val="32"/>
                <w:szCs w:val="32"/>
              </w:rPr>
              <w:t xml:space="preserve">₹2.40</w:t>
            </w:r>
          </w:p>
          <w:p>
            <w:pPr>
              <w:spacing w:after="120" w:before="0"/>
              <w:jc w:val="left"/>
            </w:pPr>
            <w:r>
              <w:rPr>
                <w:rFonts w:ascii="Arial" w:cs="Arial" w:eastAsia="Arial" w:hAnsi="Arial"/>
                <w:b w:val="false"/>
                <w:bCs w:val="false"/>
                <w:color w:val="4B5563"/>
                <w:sz w:val="16"/>
                <w:szCs w:val="16"/>
              </w:rPr>
              <w:t xml:space="preserve">Claude + Textract combined</w:t>
            </w:r>
          </w:p>
        </w:tc>
      </w:tr>
    </w:tbl>
    <w:p>
      <w:pPr>
        <w:spacing w:after="120" w:before="0"/>
        <w:jc w:val="left"/>
      </w:pPr>
      <w:r>
        <w:rPr>
          <w:rFonts w:ascii="Arial" w:cs="Arial" w:eastAsia="Arial" w:hAnsi="Arial"/>
          <w:b w:val="false"/>
          <w:bCs w:val="false"/>
          <w:color w:val="111827"/>
          <w:sz w:val="22"/>
          <w:szCs w:val="22"/>
        </w:rPr>
        <w:t xml:space="preserve"/>
      </w:r>
    </w:p>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D97706"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CTO Decision: Zero Government APIs</w:t>
            </w:r>
          </w:p>
          <w:p>
            <w:pPr>
              <w:spacing w:after="120" w:before="0"/>
              <w:jc w:val="left"/>
            </w:pPr>
            <w:r>
              <w:rPr>
                <w:rFonts w:ascii="Arial" w:cs="Arial" w:eastAsia="Arial" w:hAnsi="Arial"/>
                <w:b w:val="false"/>
                <w:bCs w:val="false"/>
                <w:color w:val="4B5563"/>
                <w:sz w:val="19"/>
                <w:szCs w:val="19"/>
              </w:rPr>
              <w:t xml:space="preserve">No DigiLocker. No Aadhaar eKYC. No ERI. No AIS/26AS auto-fetch. Data source = Form 16 PDF upload OR manual entry only. This eliminates unstable govt API dependencies, reduces legal exposure, simplifies architecture by 40%, and removes UIDAI/ERI registration as a blocker. Users file on the govt portal themselves — we only prepare and guide.</w:t>
            </w:r>
          </w:p>
        </w:tc>
      </w:tr>
    </w:tbl>
    <w:p>
      <w:pPr>
        <w:spacing w:after="120" w:before="0"/>
        <w:jc w:val="left"/>
      </w:pPr>
      <w:r>
        <w:rPr>
          <w:rFonts w:ascii="Arial" w:cs="Arial" w:eastAsia="Arial" w:hAnsi="Arial"/>
          <w:b w:val="false"/>
          <w:bCs w:val="false"/>
          <w:color w:val="111827"/>
          <w:sz w:val="22"/>
          <w:szCs w:val="22"/>
        </w:rPr>
        <w:t xml:space="preserve"/>
      </w:r>
    </w:p>
    <w:p>
      <w:pPr>
        <w:spacing w:after="120" w:before="0"/>
        <w:jc w:val="left"/>
      </w:pPr>
      <w:r>
        <w:rPr>
          <w:rFonts w:ascii="Arial" w:cs="Arial" w:eastAsia="Arial" w:hAnsi="Arial"/>
          <w:b w:val="false"/>
          <w:bCs w:val="false"/>
          <w:color w:val="111827"/>
          <w:sz w:val="22"/>
          <w:szCs w:val="22"/>
        </w:rPr>
        <w:t xml:space="preserve"/>
      </w:r>
    </w:p>
    <w:p>
      <w:pPr>
        <w:spacing w:after="0" w:before="100"/>
        <w:jc w:val="center"/>
      </w:pPr>
      <w:r>
        <w:rPr>
          <w:rFonts w:ascii="Arial" w:cs="Arial" w:eastAsia="Arial" w:hAnsi="Arial"/>
          <w:b w:val="false"/>
          <w:bCs w:val="false"/>
          <w:color w:val="4B5563"/>
          <w:sz w:val="18"/>
          <w:szCs w:val="18"/>
        </w:rPr>
        <w:t xml:space="preserve">Document covers: Data Flow  •  Complete Tech Stack  •  API Comparisons  •  100K Infrastructure  •  Tax Engine  •  Full INR Budget</w:t>
      </w:r>
    </w:p>
    <w:p>
      <w:r>
        <w:br w:type="page"/>
      </w:r>
    </w:p>
    <w:p>
      <w:pPr>
        <w:pBdr>
          <w:bottom w:val="single" w:color="5B5EC7" w:sz="8" w:space="1"/>
        </w:pBdr>
        <w:spacing w:after="160" w:before="400"/>
      </w:pPr>
      <w:r>
        <w:rPr>
          <w:rFonts w:ascii="Arial" w:cs="Arial" w:eastAsia="Arial" w:hAnsi="Arial"/>
          <w:b/>
          <w:bCs/>
          <w:color w:val="111827"/>
          <w:sz w:val="34"/>
          <w:szCs w:val="34"/>
        </w:rPr>
        <w:t xml:space="preserve">Section 1: Core Data Flow (No Government APIs)</w:t>
      </w:r>
    </w:p>
    <w:p>
      <w:pPr>
        <w:spacing w:after="100" w:before="0"/>
        <w:jc w:val="left"/>
      </w:pPr>
      <w:r>
        <w:rPr>
          <w:rFonts w:ascii="Arial" w:cs="Arial" w:eastAsia="Arial" w:hAnsi="Arial"/>
          <w:b w:val="false"/>
          <w:bCs w:val="false"/>
          <w:color w:val="4B5563"/>
          <w:sz w:val="20"/>
          <w:szCs w:val="20"/>
        </w:rPr>
        <w:t xml:space="preserve">Every user interaction flows through Form 16 OCR or manual input. No third-party government OAuth, no Aadhaar, no portal APIs. Simple, reliable, legally clean.</w:t>
      </w:r>
    </w:p>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1</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User uploads Form 16 PDF → AWS S3 (ap-south-1, KMS-encrypted)</w:t>
            </w:r>
          </w:p>
          <w:p>
            <w:pPr>
              <w:spacing w:after="120" w:before="0"/>
              <w:jc w:val="left"/>
            </w:pPr>
            <w:r>
              <w:rPr>
                <w:rFonts w:ascii="Arial" w:cs="Arial" w:eastAsia="Arial" w:hAnsi="Arial"/>
                <w:b w:val="false"/>
                <w:bCs w:val="false"/>
                <w:color w:val="4B5563"/>
                <w:sz w:val="18"/>
                <w:szCs w:val="18"/>
              </w:rPr>
              <w:t xml:space="preserve">Pre-signed URL upload — PDF goes directly to S3 Mumbai, never passes through backend server. KMS-encrypted at rest. Auto-delete lifecycle after 30 days. All PII stays in India. DPDP compliant.</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2</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S3 event triggers Lambda → AWS Textract (basic text detection, $1.50/1K pages)</w:t>
            </w:r>
          </w:p>
          <w:p>
            <w:pPr>
              <w:spacing w:after="120" w:before="0"/>
              <w:jc w:val="left"/>
            </w:pPr>
            <w:r>
              <w:rPr>
                <w:rFonts w:ascii="Arial" w:cs="Arial" w:eastAsia="Arial" w:hAnsi="Arial"/>
                <w:b w:val="false"/>
                <w:bCs w:val="false"/>
                <w:color w:val="4B5563"/>
                <w:sz w:val="18"/>
                <w:szCs w:val="18"/>
              </w:rPr>
              <w:t xml:space="preserve">Lambda invokes Textract async job. Basic text detection (not Forms API — 10x cheaper). Custom regex/pattern engine extracts: Salary, TDS, Employer Name, PAN, Designation. 90% success rate on clean PDFs.</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3</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Textract fails? → Claude Vision API fallback (scanned/low-quality PDFs, 8% of cases)</w:t>
            </w:r>
          </w:p>
          <w:p>
            <w:pPr>
              <w:spacing w:after="120" w:before="0"/>
              <w:jc w:val="left"/>
            </w:pPr>
            <w:r>
              <w:rPr>
                <w:rFonts w:ascii="Arial" w:cs="Arial" w:eastAsia="Arial" w:hAnsi="Arial"/>
                <w:b w:val="false"/>
                <w:bCs w:val="false"/>
                <w:color w:val="4B5563"/>
                <w:sz w:val="18"/>
                <w:szCs w:val="18"/>
              </w:rPr>
              <w:t xml:space="preserve">Only structured JSON (no raw PII) sent to Claude. Raw Form 16 image stays in S3 Mumbai. Claude Vision reads image, returns structured field JSON. Combined success rate: 98%+.</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4</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Extracted JSON → Redis cache (TTL 2hr) → User reviews pre-filled data on frontend</w:t>
            </w:r>
          </w:p>
          <w:p>
            <w:pPr>
              <w:spacing w:after="120" w:before="0"/>
              <w:jc w:val="left"/>
            </w:pPr>
            <w:r>
              <w:rPr>
                <w:rFonts w:ascii="Arial" w:cs="Arial" w:eastAsia="Arial" w:hAnsi="Arial"/>
                <w:b w:val="false"/>
                <w:bCs w:val="false"/>
                <w:color w:val="4B5563"/>
                <w:sz w:val="18"/>
                <w:szCs w:val="18"/>
              </w:rPr>
              <w:t xml:space="preserve">User sees salary, TDS, employer pre-filled. Can edit any field. Database write happens ONLY after user explicitly confirms the data.</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5</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Python Tax Engine (100% deterministic) + Claude API (explanations only)</w:t>
            </w:r>
          </w:p>
          <w:p>
            <w:pPr>
              <w:spacing w:after="120" w:before="0"/>
              <w:jc w:val="left"/>
            </w:pPr>
            <w:r>
              <w:rPr>
                <w:rFonts w:ascii="Arial" w:cs="Arial" w:eastAsia="Arial" w:hAnsi="Arial"/>
                <w:b w:val="false"/>
                <w:bCs w:val="false"/>
                <w:color w:val="4B5563"/>
                <w:sz w:val="18"/>
                <w:szCs w:val="18"/>
              </w:rPr>
              <w:t xml:space="preserve">Python engine calculates old + new regime — never Claude for calculations. Claude called only for: question generation, plain-English explanations, risk flagging, portal guidance. Separation is non-negotiable.</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9624"/>
      </w:tblGrid>
      <w:tr>
        <w:tc>
          <w:tcPr>
            <w:tcW w:type="dxa" w:w="600"/>
            <w:tcBorders>
              <w:top w:val="single" w:color="E5E7EB" w:sz="4"/>
              <w:left w:val="single" w:color="E5E7EB" w:sz="4"/>
              <w:bottom w:val="single" w:color="E5E7EB" w:sz="4"/>
              <w:right w:val="single" w:color="E5E7EB" w:sz="4"/>
            </w:tcBorders>
            <w:shd w:fill="E6F1FB" w:val="clear"/>
            <w:tcMar>
              <w:top w:type="dxa" w:w="100"/>
              <w:left w:type="dxa" w:w="120"/>
              <w:bottom w:type="dxa" w:w="100"/>
              <w:right w:type="dxa" w:w="120"/>
            </w:tcMar>
            <w:vAlign w:val="center"/>
          </w:tcPr>
          <w:p>
            <w:pPr>
              <w:spacing w:after="120" w:before="0"/>
              <w:jc w:val="center"/>
            </w:pPr>
            <w:r>
              <w:rPr>
                <w:rFonts w:ascii="Arial" w:cs="Arial" w:eastAsia="Arial" w:hAnsi="Arial"/>
                <w:b/>
                <w:bCs/>
                <w:color w:val="0C447C"/>
                <w:sz w:val="20"/>
                <w:szCs w:val="20"/>
              </w:rPr>
              <w:t xml:space="preserve">Step 6</w:t>
            </w:r>
          </w:p>
        </w:tc>
        <w:tc>
          <w:tcPr>
            <w:tcW w:type="dxa" w:w="9624"/>
            <w:tcBorders>
              <w:top w:val="single" w:color="E5E7EB" w:sz="4"/>
              <w:left w:val="single" w:color="E5E7EB" w:sz="4"/>
              <w:bottom w:val="single" w:color="E5E7EB" w:sz="4"/>
              <w:right w:val="single" w:color="E5E7EB" w:sz="4"/>
            </w:tcBorders>
            <w:shd w:fill="FFFFFF"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Final summary → Static portal companion guide → User files on incometax.gov.in themselves</w:t>
            </w:r>
          </w:p>
          <w:p>
            <w:pPr>
              <w:spacing w:after="120" w:before="0"/>
              <w:jc w:val="left"/>
            </w:pPr>
            <w:r>
              <w:rPr>
                <w:rFonts w:ascii="Arial" w:cs="Arial" w:eastAsia="Arial" w:hAnsi="Arial"/>
                <w:b w:val="false"/>
                <w:bCs w:val="false"/>
                <w:color w:val="4B5563"/>
                <w:sz w:val="18"/>
                <w:szCs w:val="18"/>
              </w:rPr>
              <w:t xml:space="preserve">No auto-filing. No ERI. Static step-by-step guide for each govt portal screen. Platform prepares data and guides — user submits independently. Zero filing liability on our end.</w:t>
            </w:r>
          </w:p>
        </w:tc>
      </w:tr>
    </w:tbl>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0F766E"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ECFDF5"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Why This Architecture Wins</w:t>
            </w:r>
          </w:p>
          <w:p>
            <w:pPr>
              <w:spacing w:after="120" w:before="0"/>
              <w:jc w:val="left"/>
            </w:pPr>
            <w:r>
              <w:rPr>
                <w:rFonts w:ascii="Arial" w:cs="Arial" w:eastAsia="Arial" w:hAnsi="Arial"/>
                <w:b w:val="false"/>
                <w:bCs w:val="false"/>
                <w:color w:val="4B5563"/>
                <w:sz w:val="19"/>
                <w:szCs w:val="19"/>
              </w:rPr>
              <w:t xml:space="preserve">Removing all govt APIs reduces the critical-path blockers from 6 (ERI + DigiLocker + Aadhaar + AIS + 26AS + DIN) to 1 (just DLT SMS registration, 3 days, free). MVP launch time drops from 4–6 months to 90 days. Risk of unstable govt API breaking production = eliminated.</w:t>
            </w:r>
          </w:p>
        </w:tc>
      </w:tr>
    </w:tbl>
    <w:p>
      <w:r>
        <w:br w:type="page"/>
      </w:r>
    </w:p>
    <w:p>
      <w:pPr>
        <w:pBdr>
          <w:bottom w:val="single" w:color="5B5EC7" w:sz="8" w:space="1"/>
        </w:pBdr>
        <w:spacing w:after="160" w:before="400"/>
      </w:pPr>
      <w:r>
        <w:rPr>
          <w:rFonts w:ascii="Arial" w:cs="Arial" w:eastAsia="Arial" w:hAnsi="Arial"/>
          <w:b/>
          <w:bCs/>
          <w:color w:val="111827"/>
          <w:sz w:val="34"/>
          <w:szCs w:val="34"/>
        </w:rPr>
        <w:t xml:space="preserve">Section 2: Complete Production Tech Stack</w:t>
      </w:r>
    </w:p>
    <w:p>
      <w:pPr>
        <w:spacing w:after="100" w:before="0"/>
        <w:jc w:val="left"/>
      </w:pPr>
      <w:r>
        <w:rPr>
          <w:rFonts w:ascii="Arial" w:cs="Arial" w:eastAsia="Arial" w:hAnsi="Arial"/>
          <w:b w:val="false"/>
          <w:bCs w:val="false"/>
          <w:color w:val="4B5563"/>
          <w:sz w:val="20"/>
          <w:szCs w:val="20"/>
        </w:rPr>
        <w:t xml:space="preserve">Every choice is justified. Nothing chosen for trendiness — only for cost, reliability, and developer velocity at bootstrap startup scale.</w:t>
      </w:r>
    </w:p>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5B5EC7" w:val="clear"/>
            <w:tcMar>
              <w:top w:type="dxa" w:w="120"/>
              <w:left w:type="dxa" w:w="180"/>
              <w:bottom w:type="dxa" w:w="120"/>
              <w:right w:type="dxa" w:w="180"/>
            </w:tcMar>
          </w:tcPr>
          <w:p>
            <w:pPr>
              <w:spacing w:after="120" w:before="0"/>
              <w:jc w:val="left"/>
            </w:pPr>
            <w:r>
              <w:rPr>
                <w:rFonts w:ascii="Arial" w:cs="Arial" w:eastAsia="Arial" w:hAnsi="Arial"/>
                <w:b/>
                <w:bCs/>
                <w:color w:val="FFFFFF"/>
                <w:sz w:val="26"/>
                <w:szCs w:val="26"/>
              </w:rPr>
              <w:t xml:space="preserve">FRONTEND LAYER</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000"/>
        <w:gridCol w:w="2224"/>
      </w:tblGrid>
      <w:tr>
        <w:trPr>
          <w:tblHeader/>
        </w:trPr>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Layer</w:t>
            </w:r>
          </w:p>
        </w:tc>
        <w:tc>
          <w:tcPr>
            <w:tcW w:type="dxa" w:w="26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Technology</w:t>
            </w:r>
          </w:p>
        </w:tc>
        <w:tc>
          <w:tcPr>
            <w:tcW w:type="dxa" w:w="4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Why (Not Alternatives)</w:t>
            </w:r>
          </w:p>
        </w:tc>
        <w:tc>
          <w:tcPr>
            <w:tcW w:type="dxa" w:w="22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Cost</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Framework</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Next.js 14 + React 18 + TypeScript 5</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SSR for organic SEO ('file ITR free' = high-value). App Router, server components reduce JS bundle by 40%. Alternative Vue/Nuxt = smaller fintech ecosystem.</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 (Vercel)</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Styling</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TailwindCSS 3.4 + shadcn/ui</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shadcn = accessible Radix UI + Tailwind. Pre-built: Dialog, Form, Toast, Select. Zero runtime overhead. Alternative Material-UI = 200KB bundle bloat.</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State</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Zustand 4 + TanStack Query 5</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Zustand 2KB for filing journey state. TanStack Query: auto-caching, background refetch, offline support. Alternative Redux = 20x boilerplate for same result.</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Forms</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React Hook Form 7 + Zod 3</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Minimal re-renders, schema-first validation. Zod types flow frontend → backend. Same schema = no duplication, no drift.</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HTTP</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Axios 1.x + axios-retry</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Built-in interceptors for auth token injection, automatic retry on 5xx (critical for Claude API timeouts), request cancellation.</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Analytics</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PostHog (self-hosted)</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Tracks drop-off per screen, OCR success rate, conversion. DPDP: self-hosted = no 3rd party receiving user data. Free open-source.</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₹700 (EC2 micro)</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Errors</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Sentry (free tier)</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Captures every JS error on frontend. 5K errors/month free = sufficient for MVP. Source maps for readable stack traces.</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Deploy</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Vercel Pro</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Native Next.js optimization, Mumbai CDN edge, auto-deploy on git push, preview URLs per PR. Handles 100K concurrent frontend users automatically.</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₹1,700</w:t>
            </w:r>
          </w:p>
        </w:tc>
      </w:tr>
    </w:tbl>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F766E" w:val="clear"/>
            <w:tcMar>
              <w:top w:type="dxa" w:w="120"/>
              <w:left w:type="dxa" w:w="180"/>
              <w:bottom w:type="dxa" w:w="120"/>
              <w:right w:type="dxa" w:w="180"/>
            </w:tcMar>
          </w:tcPr>
          <w:p>
            <w:pPr>
              <w:spacing w:after="120" w:before="0"/>
              <w:jc w:val="left"/>
            </w:pPr>
            <w:r>
              <w:rPr>
                <w:rFonts w:ascii="Arial" w:cs="Arial" w:eastAsia="Arial" w:hAnsi="Arial"/>
                <w:b/>
                <w:bCs/>
                <w:color w:val="FFFFFF"/>
                <w:sz w:val="26"/>
                <w:szCs w:val="26"/>
              </w:rPr>
              <w:t xml:space="preserve">BACKEND LAYER</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000"/>
        <w:gridCol w:w="2224"/>
      </w:tblGrid>
      <w:tr>
        <w:trPr>
          <w:tblHeader/>
        </w:trPr>
        <w:tc>
          <w:tcPr>
            <w:tcW w:type="dxa" w:w="1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Layer</w:t>
            </w:r>
          </w:p>
        </w:tc>
        <w:tc>
          <w:tcPr>
            <w:tcW w:type="dxa" w:w="2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Technology</w:t>
            </w:r>
          </w:p>
        </w:tc>
        <w:tc>
          <w:tcPr>
            <w:tcW w:type="dxa" w:w="4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Why (Not Alternatives)</w:t>
            </w:r>
          </w:p>
        </w:tc>
        <w:tc>
          <w:tcPr>
            <w:tcW w:type="dxa" w:w="2224"/>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Cost</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Framework</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FastAPI 0.110 + Python 3.11 + Pydantic v2</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Async-first = handles 10x concurrent vs Django on same CPU. Tax math is numeric CPU-bound = Python optimal. Auto-generates OpenAPI docs. Claude SDK native. Alternative Node.js = slower for numeric compute.</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₹2,000–₹27,000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ORM + DB</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SQLAlchemy 2.0 + Alembic + asyncpg</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Async DB driver (asyncpg 3x faster than psycopg2). Type-safe queries. Alembic migrations versioned by Assessment Year. Alternative Prisma = Python incompatible.</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Included</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Async Jobs</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BullMQ (Redis-based) + AWS Lambda</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BullMQ uses existing Redis — no separate broker. Lambda handles Textract async jobs (scales to zero, pay per invocation). Alternative Celery = needs dedicated worker server = extra cost.</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₹200–₹3,500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Auth</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Custom JWT (15min) + Refresh (7-day Redis)</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PAN + OTP = India-native, no OAuth complexity. Short-lived access tokens. Refresh tokens stored in Redis with session fingerprinting. DLT registered for OTP.</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₹400–₹40,000 (SMS)</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Validation</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Pydantic v2 + custom tax validators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Pydantic v2 is 5-17x faster than v1. Validates every API input. Custom validators: PAN format, salary range sanity, deduction limit checks.</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Testing</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pytest + pytest-asyncio + httpx</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Async test support. httpx for API endpoint testing. Tax engine = 200+ unit tests per Assessment Year. faker for realistic test data.</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bl>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D97706" w:val="clear"/>
            <w:tcMar>
              <w:top w:type="dxa" w:w="120"/>
              <w:left w:type="dxa" w:w="180"/>
              <w:bottom w:type="dxa" w:w="120"/>
              <w:right w:type="dxa" w:w="180"/>
            </w:tcMar>
          </w:tcPr>
          <w:p>
            <w:pPr>
              <w:spacing w:after="120" w:before="0"/>
              <w:jc w:val="left"/>
            </w:pPr>
            <w:r>
              <w:rPr>
                <w:rFonts w:ascii="Arial" w:cs="Arial" w:eastAsia="Arial" w:hAnsi="Arial"/>
                <w:b/>
                <w:bCs/>
                <w:color w:val="FFFFFF"/>
                <w:sz w:val="26"/>
                <w:szCs w:val="26"/>
              </w:rPr>
              <w:t xml:space="preserve">DATABASE + INFRASTRUCTURE LAYER</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000"/>
        <w:gridCol w:w="2224"/>
      </w:tblGrid>
      <w:tr>
        <w:trPr>
          <w:tblHeader/>
        </w:trPr>
        <w:tc>
          <w:tcPr>
            <w:tcW w:type="dxa" w:w="14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Layer</w:t>
            </w:r>
          </w:p>
        </w:tc>
        <w:tc>
          <w:tcPr>
            <w:tcW w:type="dxa" w:w="26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Technology</w:t>
            </w:r>
          </w:p>
        </w:tc>
        <w:tc>
          <w:tcPr>
            <w:tcW w:type="dxa" w:w="4000"/>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Why (Not Alternatives)</w:t>
            </w:r>
          </w:p>
        </w:tc>
        <w:tc>
          <w:tcPr>
            <w:tcW w:type="dxa" w:w="2224"/>
            <w:tcBorders>
              <w:top w:val="single" w:color="D97706" w:sz="4"/>
              <w:left w:val="single" w:color="D97706" w:sz="4"/>
              <w:bottom w:val="single" w:color="D97706" w:sz="4"/>
              <w:right w:val="single" w:color="D97706" w:sz="4"/>
            </w:tcBorders>
            <w:shd w:fill="D97706"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Cost</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Database</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PostgreSQL 14 (AWS RDS, ap-south-1)</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ACID transactions = money-safe. JSONB for flexible deduction data. PgBouncer connection pooling: 100K clients → 200 real connections (non-negotiable at this scale). Alternative MongoDB = wrong for relational financial data.</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₹4,300–₹32,000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Cache</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Redis 7 (AWS ElastiCache)</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OTP TTL 10min, session TTL 24hr, tax calc cache TTL 2hr, BullMQ job queue. Sub-millisecond lookup. cache.t3.micro off-peak → cache.r6g.large peak.</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₹1,000–₹15,000</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Storage</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S3 (ap-south-1) + KMS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AES-256 encryption at rest. Pre-signed URLs: users upload directly to S3, never through backend. KMS key rotation every 90 days. Auto-delete after 30 days. DPDP compliant.</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₹400–₹5,000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Compute</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ECS Fargate (auto-scale 2→50 tasks)</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Serverless containers. No EC2 management. Scale policy: CPU &gt;70% → add 5 tasks. Scale DOWN after July → pay only 2 tasks baseline. Each task: 0.5vCPU, 1GB RAM.</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₹3,000–₹45,000</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Load Balancer</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Application Load Balancer (ALB)</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Handles millions of req/sec natively. SSL termination. Health checks. Cross-zone load balancing. Stickiness disabled (stateless FastAPI).</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₹1,500–₹5,000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CDN</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CloudFront + S3</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Caches static Next.js assets at Mumbai edge. Form 16 download via signed CloudFront URLs. Reduces S3 egress costs by 80%.</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Included in S3</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CI/CD</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GitHub Actions → Vercel + AWS ECS</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Push to main → lint → test → build → deploy. Blue-green for backend (zero downtime). Rollback in under 3 minutes via git revert.</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Secrets</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Secrets Manager</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Stores: CLAUDE_API_KEY, DATABASE_URL, JWT_SECRET, MSG91_KEY. Auto-rotation every 90 days. Never in .env files in production.</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₹500</w:t>
            </w:r>
          </w:p>
        </w:tc>
      </w:tr>
    </w:tbl>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0C447C" w:val="clear"/>
            <w:tcMar>
              <w:top w:type="dxa" w:w="120"/>
              <w:left w:type="dxa" w:w="180"/>
              <w:bottom w:type="dxa" w:w="120"/>
              <w:right w:type="dxa" w:w="180"/>
            </w:tcMar>
          </w:tcPr>
          <w:p>
            <w:pPr>
              <w:spacing w:after="120" w:before="0"/>
              <w:jc w:val="left"/>
            </w:pPr>
            <w:r>
              <w:rPr>
                <w:rFonts w:ascii="Arial" w:cs="Arial" w:eastAsia="Arial" w:hAnsi="Arial"/>
                <w:b/>
                <w:bCs/>
                <w:color w:val="FFFFFF"/>
                <w:sz w:val="26"/>
                <w:szCs w:val="26"/>
              </w:rPr>
              <w:t xml:space="preserve">AI / LLM / OCR LAYER</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000"/>
        <w:gridCol w:w="2224"/>
      </w:tblGrid>
      <w:tr>
        <w:trPr>
          <w:tblHeader/>
        </w:trPr>
        <w:tc>
          <w:tcPr>
            <w:tcW w:type="dxa" w:w="1400"/>
            <w:tcBorders>
              <w:top w:val="single" w:color="0C447C" w:sz="4"/>
              <w:left w:val="single" w:color="0C447C" w:sz="4"/>
              <w:bottom w:val="single" w:color="0C447C" w:sz="4"/>
              <w:right w:val="single" w:color="0C447C" w:sz="4"/>
            </w:tcBorders>
            <w:shd w:fill="0C447C"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Layer</w:t>
            </w:r>
          </w:p>
        </w:tc>
        <w:tc>
          <w:tcPr>
            <w:tcW w:type="dxa" w:w="2600"/>
            <w:tcBorders>
              <w:top w:val="single" w:color="0C447C" w:sz="4"/>
              <w:left w:val="single" w:color="0C447C" w:sz="4"/>
              <w:bottom w:val="single" w:color="0C447C" w:sz="4"/>
              <w:right w:val="single" w:color="0C447C" w:sz="4"/>
            </w:tcBorders>
            <w:shd w:fill="0C447C"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Technology</w:t>
            </w:r>
          </w:p>
        </w:tc>
        <w:tc>
          <w:tcPr>
            <w:tcW w:type="dxa" w:w="4000"/>
            <w:tcBorders>
              <w:top w:val="single" w:color="0C447C" w:sz="4"/>
              <w:left w:val="single" w:color="0C447C" w:sz="4"/>
              <w:bottom w:val="single" w:color="0C447C" w:sz="4"/>
              <w:right w:val="single" w:color="0C447C" w:sz="4"/>
            </w:tcBorders>
            <w:shd w:fill="0C447C"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Why (Not Alternatives)</w:t>
            </w:r>
          </w:p>
        </w:tc>
        <w:tc>
          <w:tcPr>
            <w:tcW w:type="dxa" w:w="2224"/>
            <w:tcBorders>
              <w:top w:val="single" w:color="0C447C" w:sz="4"/>
              <w:left w:val="single" w:color="0C447C" w:sz="4"/>
              <w:bottom w:val="single" w:color="0C447C" w:sz="4"/>
              <w:right w:val="single" w:color="0C447C" w:sz="4"/>
            </w:tcBorders>
            <w:shd w:fill="0C447C"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Cost Per User</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Primary LLM</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Claude Sonnet 4.6 (Anthropic API direct)</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Best reasoning for tax logic. Vision API for OCR fallback. $3/1M input, $15/1M output tokens. DPDP workaround: send only numeric JSON to Claude — never raw PAN/Form 16 PDF. Alternative GPT-4o = 60% costlier at same quality.</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₹0.88/user</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High-Volume</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Claude Haiku 4.5 (simple explanations)</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8x cheaper than Sonnet ($0.80/1M input). Use for: deduction tooltips, term definitions, simple FAQ answers. Reserve Sonnet for question engine + risk checks.</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₹0.12/user</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OCR Primary</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Textract (basic text detection)</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$1.50/1K pages = 10x cheaper than Forms API ($15/1K). Custom regex layer extracts Form 16 fields from raw text blocks. Runs in ap-south-1 = Form 16 PDF never leaves India.</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₹0.37/user</w:t>
            </w:r>
          </w:p>
        </w:tc>
      </w:tr>
      <w:tr>
        <w:tc>
          <w:tcPr>
            <w:tcW w:type="dxa" w:w="1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OCR Fallback</w:t>
            </w:r>
          </w:p>
        </w:tc>
        <w:tc>
          <w:tcPr>
            <w:tcW w:type="dxa" w:w="2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Claude Vision API (8% of cases)</w:t>
            </w:r>
          </w:p>
        </w:tc>
        <w:tc>
          <w:tcPr>
            <w:tcW w:type="dxa" w:w="4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For scanned, rotated, low-quality Form 16 images. Only structured JSON result stored — raw image stays in S3 Mumbai. 96% accuracy on difficult scans.</w:t>
            </w:r>
          </w:p>
        </w:tc>
        <w:tc>
          <w:tcPr>
            <w:tcW w:type="dxa" w:w="2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₹0.12/user</w:t>
            </w:r>
          </w:p>
        </w:tc>
      </w:tr>
      <w:tr>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Question Engine</w:t>
            </w:r>
          </w:p>
        </w:tc>
        <w:tc>
          <w:tcPr>
            <w:tcW w:type="dxa" w:w="2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Claude Sonnet + Prompt Engineering</w:t>
            </w:r>
          </w:p>
        </w:tc>
        <w:tc>
          <w:tcPr>
            <w:tcW w:type="dxa" w:w="4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Analyzes extracted Form 16 JSON → generates 3–5 personalized questions per user. System prompt: 'Act as CA for a 55-year-old salaried employee...' Chain-of-thought for risk reasoning.</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Included above</w:t>
            </w:r>
          </w:p>
        </w:tc>
      </w:tr>
    </w:tbl>
    <w:p>
      <w:r>
        <w:br w:type="page"/>
      </w:r>
    </w:p>
    <w:p>
      <w:pPr>
        <w:pBdr>
          <w:bottom w:val="single" w:color="5B5EC7" w:sz="8" w:space="1"/>
        </w:pBdr>
        <w:spacing w:after="160" w:before="400"/>
      </w:pPr>
      <w:r>
        <w:rPr>
          <w:rFonts w:ascii="Arial" w:cs="Arial" w:eastAsia="Arial" w:hAnsi="Arial"/>
          <w:b/>
          <w:bCs/>
          <w:color w:val="111827"/>
          <w:sz w:val="34"/>
          <w:szCs w:val="34"/>
        </w:rPr>
        <w:t xml:space="preserve">Section 3: API Comparisons — Every Category</w:t>
      </w:r>
    </w:p>
    <w:p>
      <w:pPr>
        <w:spacing w:after="100" w:before="0"/>
        <w:jc w:val="left"/>
      </w:pPr>
      <w:r>
        <w:rPr>
          <w:rFonts w:ascii="Arial" w:cs="Arial" w:eastAsia="Arial" w:hAnsi="Arial"/>
          <w:b w:val="false"/>
          <w:bCs w:val="false"/>
          <w:color w:val="4B5563"/>
          <w:sz w:val="20"/>
          <w:szCs w:val="20"/>
        </w:rPr>
        <w:t xml:space="preserve">All major API categories evaluated on price, reliability, India compliance, and startup-friendliness. Final recommendation marked in green.</w:t>
      </w:r>
    </w:p>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3.1  OCR APIs — Form 16 Extraction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0F766E"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ECFDF5"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Strategy</w:t>
            </w:r>
          </w:p>
          <w:p>
            <w:pPr>
              <w:spacing w:after="120" w:before="0"/>
              <w:jc w:val="left"/>
            </w:pPr>
            <w:r>
              <w:rPr>
                <w:rFonts w:ascii="Arial" w:cs="Arial" w:eastAsia="Arial" w:hAnsi="Arial"/>
                <w:b w:val="false"/>
                <w:bCs w:val="false"/>
                <w:color w:val="4B5563"/>
                <w:sz w:val="19"/>
                <w:szCs w:val="19"/>
              </w:rPr>
              <w:t xml:space="preserve">Use Textract Basic ($1.50/1K pages) + custom regex for 90% of cases. Claude Vision for the remaining 10% (scanned/low-quality). This combination costs 10x less than Textract Forms API while achieving 98%+ overall success.</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1400"/>
        <w:gridCol w:w="1400"/>
        <w:gridCol w:w="1800"/>
        <w:gridCol w:w="2124"/>
      </w:tblGrid>
      <w:tr>
        <w:trPr>
          <w:tblHeader/>
        </w:trPr>
        <w:tc>
          <w:tcPr>
            <w:tcW w:type="dxa" w:w="21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Provider</w:t>
            </w:r>
          </w:p>
        </w:tc>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Price/1K pages</w:t>
            </w:r>
          </w:p>
        </w:tc>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Accuracy</w:t>
            </w:r>
          </w:p>
        </w:tc>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India Region</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Key Limitation</w:t>
            </w:r>
          </w:p>
        </w:tc>
        <w:tc>
          <w:tcPr>
            <w:tcW w:type="dxa" w:w="21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21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AWS Textract Basic</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$1.50</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90% clean PDFs</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ap-south-1 ✓</w:t>
            </w:r>
          </w:p>
        </w:tc>
        <w:tc>
          <w:tcPr>
            <w:tcW w:type="dxa" w:w="18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Needs regex layer</w:t>
            </w:r>
          </w:p>
        </w:tc>
        <w:tc>
          <w:tcPr>
            <w:tcW w:type="dxa" w:w="21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PRIMARY</w:t>
            </w:r>
          </w:p>
        </w:tc>
      </w:tr>
      <w:tr>
        <w:tc>
          <w:tcPr>
            <w:tcW w:type="dxa" w:w="21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A32D2D"/>
                <w:sz w:val="19"/>
                <w:szCs w:val="19"/>
              </w:rPr>
              <w:t xml:space="preserve">AWS Textract Forms</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$15.00</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94%</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ap-south-1 ✓</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10x costlier</w:t>
            </w:r>
          </w:p>
        </w:tc>
        <w:tc>
          <w:tcPr>
            <w:tcW w:type="dxa" w:w="21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A32D2D"/>
                <w:sz w:val="19"/>
                <w:szCs w:val="19"/>
              </w:rPr>
              <w:t xml:space="preserve">Skip — too expensive</w:t>
            </w:r>
          </w:p>
        </w:tc>
      </w:tr>
      <w:tr>
        <w:tc>
          <w:tcPr>
            <w:tcW w:type="dxa" w:w="21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A32D2D"/>
                <w:sz w:val="19"/>
                <w:szCs w:val="19"/>
              </w:rPr>
              <w:t xml:space="preserve">Google Document AI</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$10–$65</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93%</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Mumbai</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India region</w:t>
            </w:r>
          </w:p>
        </w:tc>
        <w:tc>
          <w:tcPr>
            <w:tcW w:type="dxa" w:w="21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A32D2D"/>
                <w:sz w:val="19"/>
                <w:szCs w:val="19"/>
              </w:rPr>
              <w:t xml:space="preserve">Skip — DPDP risk</w:t>
            </w:r>
          </w:p>
        </w:tc>
      </w:tr>
      <w:tr>
        <w:tc>
          <w:tcPr>
            <w:tcW w:type="dxa" w:w="21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Azure Form Recognizer</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$1.50</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88%</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India</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India region</w:t>
            </w:r>
          </w:p>
        </w:tc>
        <w:tc>
          <w:tcPr>
            <w:tcW w:type="dxa" w:w="21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Alt if Textract fails</w:t>
            </w:r>
          </w:p>
        </w:tc>
      </w:tr>
      <w:tr>
        <w:tc>
          <w:tcPr>
            <w:tcW w:type="dxa" w:w="21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Nanonets</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$499/mo flat</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92%</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India SaaS</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API in Mumbai</w:t>
            </w:r>
          </w:p>
        </w:tc>
        <w:tc>
          <w:tcPr>
            <w:tcW w:type="dxa" w:w="21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Phase 2 custom model</w:t>
            </w:r>
          </w:p>
        </w:tc>
      </w:tr>
      <w:tr>
        <w:tc>
          <w:tcPr>
            <w:tcW w:type="dxa" w:w="21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Mindee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$2.00</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87%</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India</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 India region</w:t>
            </w:r>
          </w:p>
        </w:tc>
        <w:tc>
          <w:tcPr>
            <w:tcW w:type="dxa" w:w="21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Skip</w:t>
            </w:r>
          </w:p>
        </w:tc>
      </w:tr>
      <w:tr>
        <w:tc>
          <w:tcPr>
            <w:tcW w:type="dxa" w:w="21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Claude Vision API</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~$3/1M tokens</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96% scans</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US (PII-free)</w:t>
            </w:r>
          </w:p>
        </w:tc>
        <w:tc>
          <w:tcPr>
            <w:tcW w:type="dxa" w:w="18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Send no PII to Claude</w:t>
            </w:r>
          </w:p>
        </w:tc>
        <w:tc>
          <w:tcPr>
            <w:tcW w:type="dxa" w:w="21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FALLBACK (8%)</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3.2  LLM / AI APIs — Questions, Explanations, Risk Checks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500"/>
        <w:gridCol w:w="1800"/>
        <w:gridCol w:w="1924"/>
      </w:tblGrid>
      <w:tr>
        <w:trPr>
          <w:tblHeader/>
        </w:trPr>
        <w:tc>
          <w:tcPr>
            <w:tcW w:type="dxa" w:w="22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Provider</w:t>
            </w:r>
          </w:p>
        </w:tc>
        <w:tc>
          <w:tcPr>
            <w:tcW w:type="dxa" w:w="13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Input/1M tokens</w:t>
            </w:r>
          </w:p>
        </w:tc>
        <w:tc>
          <w:tcPr>
            <w:tcW w:type="dxa" w:w="15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Output/1M tokens</w:t>
            </w:r>
          </w:p>
        </w:tc>
        <w:tc>
          <w:tcPr>
            <w:tcW w:type="dxa" w:w="15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Reasoning Quality</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Best Use Case</w:t>
            </w:r>
          </w:p>
        </w:tc>
        <w:tc>
          <w:tcPr>
            <w:tcW w:type="dxa" w:w="19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22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Claude Sonnet 4.6 (Primary)</w:t>
            </w:r>
          </w:p>
        </w:tc>
        <w:tc>
          <w:tcPr>
            <w:tcW w:type="dxa" w:w="13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$3.00</w:t>
            </w:r>
          </w:p>
        </w:tc>
        <w:tc>
          <w:tcPr>
            <w:tcW w:type="dxa" w:w="15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$15.00</w:t>
            </w:r>
          </w:p>
        </w:tc>
        <w:tc>
          <w:tcPr>
            <w:tcW w:type="dxa" w:w="15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Best</w:t>
            </w:r>
          </w:p>
        </w:tc>
        <w:tc>
          <w:tcPr>
            <w:tcW w:type="dxa" w:w="18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Question engine, risk checks, regime explain</w:t>
            </w:r>
          </w:p>
        </w:tc>
        <w:tc>
          <w:tcPr>
            <w:tcW w:type="dxa" w:w="19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PRIMARY</w:t>
            </w:r>
          </w:p>
        </w:tc>
      </w:tr>
      <w:tr>
        <w:tc>
          <w:tcPr>
            <w:tcW w:type="dxa" w:w="22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Claude Haiku 4.5 (Secondary)</w:t>
            </w:r>
          </w:p>
        </w:tc>
        <w:tc>
          <w:tcPr>
            <w:tcW w:type="dxa" w:w="13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$0.80</w:t>
            </w:r>
          </w:p>
        </w:tc>
        <w:tc>
          <w:tcPr>
            <w:tcW w:type="dxa" w:w="15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$4.00</w:t>
            </w:r>
          </w:p>
        </w:tc>
        <w:tc>
          <w:tcPr>
            <w:tcW w:type="dxa" w:w="15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Good</w:t>
            </w:r>
          </w:p>
        </w:tc>
        <w:tc>
          <w:tcPr>
            <w:tcW w:type="dxa" w:w="18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Simple tooltips, FAQ, definitions</w:t>
            </w:r>
          </w:p>
        </w:tc>
        <w:tc>
          <w:tcPr>
            <w:tcW w:type="dxa" w:w="19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HIGH-VOLUME</w:t>
            </w:r>
          </w:p>
        </w:tc>
      </w:tr>
      <w:tr>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A32D2D"/>
                <w:sz w:val="19"/>
                <w:szCs w:val="19"/>
              </w:rPr>
              <w:t xml:space="preserve">GPT-4o (OpenAI)</w:t>
            </w:r>
          </w:p>
        </w:tc>
        <w:tc>
          <w:tcPr>
            <w:tcW w:type="dxa" w:w="13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$5.00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$15.00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Very Good</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as Sonnet</w:t>
            </w:r>
          </w:p>
        </w:tc>
        <w:tc>
          <w:tcPr>
            <w:tcW w:type="dxa" w:w="19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A32D2D"/>
                <w:sz w:val="19"/>
                <w:szCs w:val="19"/>
              </w:rPr>
              <w:t xml:space="preserve">Skip — 60% costlier</w:t>
            </w:r>
          </w:p>
        </w:tc>
      </w:tr>
      <w:tr>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Gemini 1.5 Pro</w:t>
            </w:r>
          </w:p>
        </w:tc>
        <w:tc>
          <w:tcPr>
            <w:tcW w:type="dxa" w:w="13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$3.50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$10.50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Good</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General purpose</w:t>
            </w:r>
          </w:p>
        </w:tc>
        <w:tc>
          <w:tcPr>
            <w:tcW w:type="dxa" w:w="19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Alt if Claude unavailable</w:t>
            </w:r>
          </w:p>
        </w:tc>
      </w:tr>
      <w:tr>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Gemini 1.5 Flash</w:t>
            </w:r>
          </w:p>
        </w:tc>
        <w:tc>
          <w:tcPr>
            <w:tcW w:type="dxa" w:w="13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$0.35</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$1.05</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OK</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High-volume simple</w:t>
            </w:r>
          </w:p>
        </w:tc>
        <w:tc>
          <w:tcPr>
            <w:tcW w:type="dxa" w:w="19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Budget fallback</w:t>
            </w:r>
          </w:p>
        </w:tc>
      </w:tr>
      <w:tr>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Groq (Llama 3.1 70B)</w:t>
            </w:r>
          </w:p>
        </w:tc>
        <w:tc>
          <w:tcPr>
            <w:tcW w:type="dxa" w:w="13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$0.27</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$0.27</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OK</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Ultra-low latency</w:t>
            </w:r>
          </w:p>
        </w:tc>
        <w:tc>
          <w:tcPr>
            <w:tcW w:type="dxa" w:w="19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Low quality for tax</w:t>
            </w:r>
          </w:p>
        </w:tc>
      </w:tr>
      <w:tr>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AWS Bedrock Claude</w:t>
            </w:r>
          </w:p>
        </w:tc>
        <w:tc>
          <w:tcPr>
            <w:tcW w:type="dxa" w:w="13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$3.30 (+10%)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$16.50 (+10%)</w:t>
            </w:r>
          </w:p>
        </w:tc>
        <w:tc>
          <w:tcPr>
            <w:tcW w:type="dxa" w:w="15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as Claude</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Mumbai (ap-south-1) DPDP</w:t>
            </w:r>
          </w:p>
        </w:tc>
        <w:tc>
          <w:tcPr>
            <w:tcW w:type="dxa" w:w="19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Phase 2 when in Mumbai</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3.3  SMS OTP — India DLT Compliant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D97706"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Mandatory</w:t>
            </w:r>
          </w:p>
          <w:p>
            <w:pPr>
              <w:spacing w:after="120" w:before="0"/>
              <w:jc w:val="left"/>
            </w:pPr>
            <w:r>
              <w:rPr>
                <w:rFonts w:ascii="Arial" w:cs="Arial" w:eastAsia="Arial" w:hAnsi="Arial"/>
                <w:b w:val="false"/>
                <w:bCs w:val="false"/>
                <w:color w:val="4B5563"/>
                <w:sz w:val="19"/>
                <w:szCs w:val="19"/>
              </w:rPr>
              <w:t xml:space="preserve">DLT (Distributed Ledger Technology) registration on TRAI portal is legally mandatory before sending any SMS in India. Takes 3–7 days. Cost: FREE. Do this on Day 1 before writing any code.</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400"/>
        <w:gridCol w:w="1800"/>
        <w:gridCol w:w="2224"/>
      </w:tblGrid>
      <w:tr>
        <w:trPr>
          <w:tblHeader/>
        </w:trPr>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Provider</w:t>
            </w:r>
          </w:p>
        </w:tc>
        <w:tc>
          <w:tcPr>
            <w:tcW w:type="dxa" w:w="16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Price/SMS (India)</w:t>
            </w:r>
          </w:p>
        </w:tc>
        <w:tc>
          <w:tcPr>
            <w:tcW w:type="dxa" w:w="12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DLT Support</w:t>
            </w:r>
          </w:p>
        </w:tc>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Reliability</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Setup Time</w:t>
            </w:r>
          </w:p>
        </w:tc>
        <w:tc>
          <w:tcPr>
            <w:tcW w:type="dxa" w:w="22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20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MSG91</w:t>
            </w:r>
          </w:p>
        </w:tc>
        <w:tc>
          <w:tcPr>
            <w:tcW w:type="dxa" w:w="16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₹0.18–0.22</w:t>
            </w:r>
          </w:p>
        </w:tc>
        <w:tc>
          <w:tcPr>
            <w:tcW w:type="dxa" w:w="12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Excellent</w:t>
            </w:r>
          </w:p>
        </w:tc>
        <w:tc>
          <w:tcPr>
            <w:tcW w:type="dxa" w:w="18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1–2 days</w:t>
            </w:r>
          </w:p>
        </w:tc>
        <w:tc>
          <w:tcPr>
            <w:tcW w:type="dxa" w:w="22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PRIMARY</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Kaleyra</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₹0.15–0.20</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Good</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2–3 days</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Good backup</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D97706"/>
                <w:sz w:val="19"/>
                <w:szCs w:val="19"/>
              </w:rPr>
              <w:t xml:space="preserve">Fast2SMS</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₹0.10–0.15</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Medium</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day</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D97706"/>
                <w:sz w:val="19"/>
                <w:szCs w:val="19"/>
              </w:rPr>
              <w:t xml:space="preserve">Cheapest, less reliable</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Exotel</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₹0.20–0.25</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Good</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3–5 days</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Enterprise alt</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ValueFirst</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₹0.18–0.25</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Good</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3–5 days</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Enterprise only</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A32D2D"/>
                <w:sz w:val="19"/>
                <w:szCs w:val="19"/>
              </w:rPr>
              <w:t xml:space="preserve">Twilio</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₹0.50–0.80</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Yes</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Best</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day</w:t>
            </w:r>
          </w:p>
        </w:tc>
        <w:tc>
          <w:tcPr>
            <w:tcW w:type="dxa" w:w="2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A32D2D"/>
                <w:sz w:val="19"/>
                <w:szCs w:val="19"/>
              </w:rPr>
              <w:t xml:space="preserve">4x costlier — skip</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3.4  Payment Gateway (Phase 2+)</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1600"/>
        <w:gridCol w:w="2824"/>
      </w:tblGrid>
      <w:tr>
        <w:trPr>
          <w:tblHeader/>
        </w:trPr>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Provider</w:t>
            </w:r>
          </w:p>
        </w:tc>
        <w:tc>
          <w:tcPr>
            <w:tcW w:type="dxa" w:w="1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Transaction Fee</w:t>
            </w:r>
          </w:p>
        </w:tc>
        <w:tc>
          <w:tcPr>
            <w:tcW w:type="dxa" w:w="12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UPI Support</w:t>
            </w:r>
          </w:p>
        </w:tc>
        <w:tc>
          <w:tcPr>
            <w:tcW w:type="dxa" w:w="12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International</w:t>
            </w:r>
          </w:p>
        </w:tc>
        <w:tc>
          <w:tcPr>
            <w:tcW w:type="dxa" w:w="16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Setup Fee</w:t>
            </w:r>
          </w:p>
        </w:tc>
        <w:tc>
          <w:tcPr>
            <w:tcW w:type="dxa" w:w="28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20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Razorpay</w:t>
            </w:r>
          </w:p>
        </w:tc>
        <w:tc>
          <w:tcPr>
            <w:tcW w:type="dxa" w:w="14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2.0%</w:t>
            </w:r>
          </w:p>
        </w:tc>
        <w:tc>
          <w:tcPr>
            <w:tcW w:type="dxa" w:w="12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2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Cards</w:t>
            </w:r>
          </w:p>
        </w:tc>
        <w:tc>
          <w:tcPr>
            <w:tcW w:type="dxa" w:w="1600"/>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₹0</w:t>
            </w:r>
          </w:p>
        </w:tc>
        <w:tc>
          <w:tcPr>
            <w:tcW w:type="dxa" w:w="2824"/>
            <w:tcBorders>
              <w:top w:val="single" w:color="E5E7EB" w:sz="4"/>
              <w:left w:val="single" w:color="E5E7EB" w:sz="4"/>
              <w:bottom w:val="single" w:color="E5E7EB" w:sz="4"/>
              <w:right w:val="single" w:color="E5E7EB" w:sz="4"/>
            </w:tcBorders>
            <w:shd w:fill="ECFDF5" w:val="clear"/>
            <w:tcMar>
              <w:top w:type="dxa" w:w="70"/>
              <w:left w:type="dxa" w:w="120"/>
              <w:bottom w:type="dxa" w:w="70"/>
              <w:right w:type="dxa" w:w="120"/>
            </w:tcMar>
            <w:vAlign w:val="center"/>
          </w:tcPr>
          <w:p>
            <w:pPr>
              <w:spacing w:after="120" w:before="0"/>
              <w:jc w:val="left"/>
            </w:pPr>
            <w:r>
              <w:rPr>
                <w:rFonts w:ascii="Arial" w:cs="Arial" w:eastAsia="Arial" w:hAnsi="Arial"/>
                <w:b/>
                <w:bCs/>
                <w:color w:val="065F46"/>
                <w:sz w:val="19"/>
                <w:szCs w:val="19"/>
              </w:rPr>
              <w:t xml:space="preserve">✓ Best ecosystem + docs</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Cashfree</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1.9%</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Cards</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₹0</w:t>
            </w:r>
          </w:p>
        </w:tc>
        <w:tc>
          <w:tcPr>
            <w:tcW w:type="dxa" w:w="2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C447C"/>
                <w:sz w:val="19"/>
                <w:szCs w:val="19"/>
              </w:rPr>
              <w:t xml:space="preserve">0.1% cheaper — good alt</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PayU</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2.0%</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Cards</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₹0</w:t>
            </w:r>
          </w:p>
        </w:tc>
        <w:tc>
          <w:tcPr>
            <w:tcW w:type="dxa" w:w="2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Established, older API</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Paytm PG</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1.99%</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Native</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No</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₹0</w:t>
            </w:r>
          </w:p>
        </w:tc>
        <w:tc>
          <w:tcPr>
            <w:tcW w:type="dxa" w:w="2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No intl cards</w:t>
            </w:r>
          </w:p>
        </w:tc>
      </w:tr>
      <w:tr>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A32D2D"/>
                <w:sz w:val="19"/>
                <w:szCs w:val="19"/>
              </w:rPr>
              <w:t xml:space="preserve">Stripe India</w:t>
            </w:r>
          </w:p>
        </w:tc>
        <w:tc>
          <w:tcPr>
            <w:tcW w:type="dxa" w:w="1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2% + ₹2 fixed</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Yes</w:t>
            </w:r>
          </w:p>
        </w:tc>
        <w:tc>
          <w:tcPr>
            <w:tcW w:type="dxa" w:w="1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 Best</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₹0</w:t>
            </w:r>
          </w:p>
        </w:tc>
        <w:tc>
          <w:tcPr>
            <w:tcW w:type="dxa" w:w="2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A32D2D"/>
                <w:sz w:val="19"/>
                <w:szCs w:val="19"/>
              </w:rPr>
              <w:t xml:space="preserve">Fixed ₹2 hurts small txns</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3.5  Email Service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2724"/>
      </w:tblGrid>
      <w:tr>
        <w:trPr>
          <w:tblHeader/>
        </w:trPr>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Provider</w:t>
            </w:r>
          </w:p>
        </w:tc>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Free Tier</w:t>
            </w:r>
          </w:p>
        </w:tc>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Paid Cost</w:t>
            </w:r>
          </w:p>
        </w:tc>
        <w:tc>
          <w:tcPr>
            <w:tcW w:type="dxa" w:w="15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Dev Experience</w:t>
            </w:r>
          </w:p>
        </w:tc>
        <w:tc>
          <w:tcPr>
            <w:tcW w:type="dxa" w:w="27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Resend</w:t>
            </w:r>
          </w:p>
        </w:tc>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3,000/month free</w:t>
            </w:r>
          </w:p>
        </w:tc>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$20/50K emails</w:t>
            </w:r>
          </w:p>
        </w:tc>
        <w:tc>
          <w:tcPr>
            <w:tcW w:type="dxa" w:w="15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w:t>
            </w:r>
          </w:p>
        </w:tc>
        <w:tc>
          <w:tcPr>
            <w:tcW w:type="dxa" w:w="27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MVP choice — React Email templates, best DX</w:t>
            </w:r>
          </w:p>
        </w:tc>
      </w:tr>
      <w:tr>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AWS SES</w:t>
            </w:r>
          </w:p>
        </w:tc>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62K/mo (within AWS)</w:t>
            </w:r>
          </w:p>
        </w:tc>
        <w:tc>
          <w:tcPr>
            <w:tcW w:type="dxa" w:w="20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₹0.10 per 1,000</w:t>
            </w:r>
          </w:p>
        </w:tc>
        <w:tc>
          <w:tcPr>
            <w:tcW w:type="dxa" w:w="15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w:t>
            </w:r>
          </w:p>
        </w:tc>
        <w:tc>
          <w:tcPr>
            <w:tcW w:type="dxa" w:w="27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Scale choice — 100x cheaper at high volume</w:t>
            </w:r>
          </w:p>
        </w:tc>
      </w:tr>
      <w:tr>
        <w:tc>
          <w:tcPr>
            <w:tcW w:type="dxa" w:w="20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Postmark</w:t>
            </w:r>
          </w:p>
        </w:tc>
        <w:tc>
          <w:tcPr>
            <w:tcW w:type="dxa" w:w="20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100/month only</w:t>
            </w:r>
          </w:p>
        </w:tc>
        <w:tc>
          <w:tcPr>
            <w:tcW w:type="dxa" w:w="20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$15/10K</w:t>
            </w:r>
          </w:p>
        </w:tc>
        <w:tc>
          <w:tcPr>
            <w:tcW w:type="dxa" w:w="15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w:t>
            </w:r>
          </w:p>
        </w:tc>
        <w:tc>
          <w:tcPr>
            <w:tcW w:type="dxa" w:w="2724"/>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Best deliverability for transactional</w:t>
            </w:r>
          </w:p>
        </w:tc>
      </w:tr>
      <w:tr>
        <w:tc>
          <w:tcPr>
            <w:tcW w:type="dxa" w:w="2000"/>
            <w:tcBorders>
              <w:top w:val="single" w:color="E5E7EB" w:sz="4"/>
              <w:left w:val="single" w:color="E5E7EB" w:sz="4"/>
              <w:bottom w:val="single" w:color="E5E7EB" w:sz="4"/>
              <w:right w:val="single" w:color="E5E7EB" w:sz="4"/>
            </w:tcBorders>
            <w:shd w:fill="4B5563"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SendGrid</w:t>
            </w:r>
          </w:p>
        </w:tc>
        <w:tc>
          <w:tcPr>
            <w:tcW w:type="dxa" w:w="2000"/>
            <w:tcBorders>
              <w:top w:val="single" w:color="E5E7EB" w:sz="4"/>
              <w:left w:val="single" w:color="E5E7EB" w:sz="4"/>
              <w:bottom w:val="single" w:color="E5E7EB" w:sz="4"/>
              <w:right w:val="single" w:color="E5E7EB" w:sz="4"/>
            </w:tcBorders>
            <w:shd w:fill="4B5563"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100/day free</w:t>
            </w:r>
          </w:p>
        </w:tc>
        <w:tc>
          <w:tcPr>
            <w:tcW w:type="dxa" w:w="2000"/>
            <w:tcBorders>
              <w:top w:val="single" w:color="E5E7EB" w:sz="4"/>
              <w:left w:val="single" w:color="E5E7EB" w:sz="4"/>
              <w:bottom w:val="single" w:color="E5E7EB" w:sz="4"/>
              <w:right w:val="single" w:color="E5E7EB" w:sz="4"/>
            </w:tcBorders>
            <w:shd w:fill="4B5563"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$19.95/50K</w:t>
            </w:r>
          </w:p>
        </w:tc>
        <w:tc>
          <w:tcPr>
            <w:tcW w:type="dxa" w:w="1500"/>
            <w:tcBorders>
              <w:top w:val="single" w:color="E5E7EB" w:sz="4"/>
              <w:left w:val="single" w:color="E5E7EB" w:sz="4"/>
              <w:bottom w:val="single" w:color="E5E7EB" w:sz="4"/>
              <w:right w:val="single" w:color="E5E7EB" w:sz="4"/>
            </w:tcBorders>
            <w:shd w:fill="4B5563"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w:t>
            </w:r>
          </w:p>
        </w:tc>
        <w:tc>
          <w:tcPr>
            <w:tcW w:type="dxa" w:w="2724"/>
            <w:tcBorders>
              <w:top w:val="single" w:color="E5E7EB" w:sz="4"/>
              <w:left w:val="single" w:color="E5E7EB" w:sz="4"/>
              <w:bottom w:val="single" w:color="E5E7EB" w:sz="4"/>
              <w:right w:val="single" w:color="E5E7EB" w:sz="4"/>
            </w:tcBorders>
            <w:shd w:fill="4B5563"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Alternative, good templates</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3.6  Monitoring, Analytics &amp; Other Tools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800"/>
        <w:gridCol w:w="2424"/>
      </w:tblGrid>
      <w:tr>
        <w:trPr>
          <w:tblHeader/>
        </w:trPr>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Tool</w:t>
            </w:r>
          </w:p>
        </w:tc>
        <w:tc>
          <w:tcPr>
            <w:tcW w:type="dxa" w:w="24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Use For</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Free Tier</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Paid Cost</w:t>
            </w:r>
          </w:p>
        </w:tc>
        <w:tc>
          <w:tcPr>
            <w:tcW w:type="dxa" w:w="24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Verdict</w:t>
            </w:r>
          </w:p>
        </w:tc>
      </w:tr>
      <w:tr>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Sentry</w:t>
            </w:r>
          </w:p>
        </w:tc>
        <w:tc>
          <w:tcPr>
            <w:tcW w:type="dxa" w:w="24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Frontend + backend error tracking</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5K events/month</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$26/month</w:t>
            </w:r>
          </w:p>
        </w:tc>
        <w:tc>
          <w:tcPr>
            <w:tcW w:type="dxa" w:w="24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Use from Day 1</w:t>
            </w:r>
          </w:p>
        </w:tc>
      </w:tr>
      <w:tr>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PostHog (self-hosted)</w:t>
            </w:r>
          </w:p>
        </w:tc>
        <w:tc>
          <w:tcPr>
            <w:tcW w:type="dxa" w:w="24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User funnel, drop-off, conversion</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Unlimited (self-hosted)</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EC2 ₹700/month</w:t>
            </w:r>
          </w:p>
        </w:tc>
        <w:tc>
          <w:tcPr>
            <w:tcW w:type="dxa" w:w="24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DPDP safe choice</w:t>
            </w:r>
          </w:p>
        </w:tc>
      </w:tr>
      <w:tr>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CloudWatch (AWS)</w:t>
            </w:r>
          </w:p>
        </w:tc>
        <w:tc>
          <w:tcPr>
            <w:tcW w:type="dxa" w:w="24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Infra logs, ECS alarms, RDS metrics</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Included in AWS</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Pay per log GB</w:t>
            </w:r>
          </w:p>
        </w:tc>
        <w:tc>
          <w:tcPr>
            <w:tcW w:type="dxa" w:w="24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Use always (included)</w:t>
            </w:r>
          </w:p>
        </w:tc>
      </w:tr>
      <w:tr>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Grafana + Prometheus</w:t>
            </w:r>
          </w:p>
        </w:tc>
        <w:tc>
          <w:tcPr>
            <w:tcW w:type="dxa" w:w="24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Custom dashboards, latency charts</w:t>
            </w:r>
          </w:p>
        </w:tc>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Free (self-hosted)</w:t>
            </w:r>
          </w:p>
        </w:tc>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EC2 ₹700/month</w:t>
            </w:r>
          </w:p>
        </w:tc>
        <w:tc>
          <w:tcPr>
            <w:tcW w:type="dxa" w:w="2424"/>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Phase 2 addition</w:t>
            </w:r>
          </w:p>
        </w:tc>
      </w:tr>
      <w:tr>
        <w:tc>
          <w:tcPr>
            <w:tcW w:type="dxa" w:w="1800"/>
            <w:tcBorders>
              <w:top w:val="single" w:color="E5E7EB" w:sz="4"/>
              <w:left w:val="single" w:color="E5E7EB" w:sz="4"/>
              <w:bottom w:val="single" w:color="E5E7EB" w:sz="4"/>
              <w:right w:val="single" w:color="E5E7EB" w:sz="4"/>
            </w:tcBorders>
            <w:shd w:fill="A32D2D"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Datadog APM</w:t>
            </w:r>
          </w:p>
        </w:tc>
        <w:tc>
          <w:tcPr>
            <w:tcW w:type="dxa" w:w="2400"/>
            <w:tcBorders>
              <w:top w:val="single" w:color="E5E7EB" w:sz="4"/>
              <w:left w:val="single" w:color="E5E7EB" w:sz="4"/>
              <w:bottom w:val="single" w:color="E5E7EB" w:sz="4"/>
              <w:right w:val="single" w:color="E5E7EB" w:sz="4"/>
            </w:tcBorders>
            <w:shd w:fill="A32D2D"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Full APM, traces, metrics</w:t>
            </w:r>
          </w:p>
        </w:tc>
        <w:tc>
          <w:tcPr>
            <w:tcW w:type="dxa" w:w="1800"/>
            <w:tcBorders>
              <w:top w:val="single" w:color="E5E7EB" w:sz="4"/>
              <w:left w:val="single" w:color="E5E7EB" w:sz="4"/>
              <w:bottom w:val="single" w:color="E5E7EB" w:sz="4"/>
              <w:right w:val="single" w:color="E5E7EB" w:sz="4"/>
            </w:tcBorders>
            <w:shd w:fill="A32D2D"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Trial only</w:t>
            </w:r>
          </w:p>
        </w:tc>
        <w:tc>
          <w:tcPr>
            <w:tcW w:type="dxa" w:w="1800"/>
            <w:tcBorders>
              <w:top w:val="single" w:color="E5E7EB" w:sz="4"/>
              <w:left w:val="single" w:color="E5E7EB" w:sz="4"/>
              <w:bottom w:val="single" w:color="E5E7EB" w:sz="4"/>
              <w:right w:val="single" w:color="E5E7EB" w:sz="4"/>
            </w:tcBorders>
            <w:shd w:fill="A32D2D"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₹2,500+/month</w:t>
            </w:r>
          </w:p>
        </w:tc>
        <w:tc>
          <w:tcPr>
            <w:tcW w:type="dxa" w:w="2424"/>
            <w:tcBorders>
              <w:top w:val="single" w:color="E5E7EB" w:sz="4"/>
              <w:left w:val="single" w:color="E5E7EB" w:sz="4"/>
              <w:bottom w:val="single" w:color="E5E7EB" w:sz="4"/>
              <w:right w:val="single" w:color="E5E7EB" w:sz="4"/>
            </w:tcBorders>
            <w:shd w:fill="A32D2D"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Expensive — skip for MVP</w:t>
            </w:r>
          </w:p>
        </w:tc>
      </w:tr>
      <w:tr>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PagerDuty</w:t>
            </w:r>
          </w:p>
        </w:tc>
        <w:tc>
          <w:tcPr>
            <w:tcW w:type="dxa" w:w="24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On-call alerting (July incidents)</w:t>
            </w:r>
          </w:p>
        </w:tc>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 users free</w:t>
            </w:r>
          </w:p>
        </w:tc>
        <w:tc>
          <w:tcPr>
            <w:tcW w:type="dxa" w:w="1800"/>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$19/user</w:t>
            </w:r>
          </w:p>
        </w:tc>
        <w:tc>
          <w:tcPr>
            <w:tcW w:type="dxa" w:w="2424"/>
            <w:tcBorders>
              <w:top w:val="single" w:color="E5E7EB" w:sz="4"/>
              <w:left w:val="single" w:color="E5E7EB" w:sz="4"/>
              <w:bottom w:val="single" w:color="E5E7EB" w:sz="4"/>
              <w:right w:val="single" w:color="E5E7EB" w:sz="4"/>
            </w:tcBorders>
            <w:shd w:fill="0C447C"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Free tier for peak alerts</w:t>
            </w:r>
          </w:p>
        </w:tc>
      </w:tr>
      <w:tr>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Linear</w:t>
            </w:r>
          </w:p>
        </w:tc>
        <w:tc>
          <w:tcPr>
            <w:tcW w:type="dxa" w:w="24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Issue tracking, sprint planning</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Free up to 250 issues</w:t>
            </w:r>
          </w:p>
        </w:tc>
        <w:tc>
          <w:tcPr>
            <w:tcW w:type="dxa" w:w="1800"/>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$8/user/month</w:t>
            </w:r>
          </w:p>
        </w:tc>
        <w:tc>
          <w:tcPr>
            <w:tcW w:type="dxa" w:w="2424"/>
            <w:tcBorders>
              <w:top w:val="single" w:color="E5E7EB" w:sz="4"/>
              <w:left w:val="single" w:color="E5E7EB" w:sz="4"/>
              <w:bottom w:val="single" w:color="E5E7EB" w:sz="4"/>
              <w:right w:val="single" w:color="E5E7EB" w:sz="4"/>
            </w:tcBorders>
            <w:shd w:fill="065F46" w:val="clear"/>
            <w:tcMar>
              <w:top w:type="dxa" w:w="70"/>
              <w:left w:type="dxa" w:w="120"/>
              <w:bottom w:type="dxa" w:w="70"/>
              <w:right w:type="dxa" w:w="120"/>
            </w:tcMar>
            <w:vAlign w:val="center"/>
          </w:tcPr>
          <w:p>
            <w:pPr>
              <w:spacing w:after="120" w:before="0"/>
              <w:jc w:val="left"/>
            </w:pPr>
            <w:r>
              <w:rPr>
                <w:rFonts w:ascii="Arial" w:cs="Arial" w:eastAsia="Arial" w:hAnsi="Arial"/>
                <w:b/>
                <w:bCs/>
                <w:color w:val="4B5563"/>
                <w:sz w:val="19"/>
                <w:szCs w:val="19"/>
              </w:rPr>
              <w:t xml:space="preserve">✓ Better than Jira for startups</w:t>
            </w:r>
          </w:p>
        </w:tc>
      </w:tr>
    </w:tbl>
    <w:p>
      <w:r>
        <w:br w:type="page"/>
      </w:r>
    </w:p>
    <w:p>
      <w:pPr>
        <w:pBdr>
          <w:bottom w:val="single" w:color="5B5EC7" w:sz="8" w:space="1"/>
        </w:pBdr>
        <w:spacing w:after="160" w:before="400"/>
      </w:pPr>
      <w:r>
        <w:rPr>
          <w:rFonts w:ascii="Arial" w:cs="Arial" w:eastAsia="Arial" w:hAnsi="Arial"/>
          <w:b/>
          <w:bCs/>
          <w:color w:val="111827"/>
          <w:sz w:val="34"/>
          <w:szCs w:val="34"/>
        </w:rPr>
        <w:t xml:space="preserve">Section 4: Tax Calculation Engine — Architecture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D97706"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Non-negotiable rule</w:t>
            </w:r>
          </w:p>
          <w:p>
            <w:pPr>
              <w:spacing w:after="120" w:before="0"/>
              <w:jc w:val="left"/>
            </w:pPr>
            <w:r>
              <w:rPr>
                <w:rFonts w:ascii="Arial" w:cs="Arial" w:eastAsia="Arial" w:hAnsi="Arial"/>
                <w:b w:val="false"/>
                <w:bCs w:val="false"/>
                <w:color w:val="4B5563"/>
                <w:sz w:val="19"/>
                <w:szCs w:val="19"/>
              </w:rPr>
              <w:t xml:space="preserve">The tax calculation engine is 100% deterministic Python code. Claude NEVER does tax calculations. Claude is called only for: question generation, plain-English explanations, and risk flag descriptions. This separation prevents AI hallucination in financial calculations and ensures every result is auditable.</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4.1  Engine File Structure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E5E7EB" w:sz="4"/>
              <w:left w:val="single" w:color="E5E7EB" w:sz="4"/>
              <w:bottom w:val="single" w:color="E5E7EB" w:sz="4"/>
              <w:right w:val="single" w:color="E5E7EB" w:sz="4"/>
            </w:tcBorders>
            <w:shd w:fill="F9FAFB" w:val="clear"/>
            <w:tcMar>
              <w:top w:type="dxa" w:w="160"/>
              <w:left w:type="dxa" w:w="200"/>
              <w:bottom w:type="dxa" w:w="160"/>
              <w:right w:type="dxa" w:w="200"/>
            </w:tcMar>
          </w:tcPr>
          <w:p>
            <w:pPr>
              <w:spacing w:after="60" w:before="0"/>
              <w:jc w:val="left"/>
            </w:pPr>
            <w:r>
              <w:rPr>
                <w:rFonts w:ascii="Arial" w:cs="Arial" w:eastAsia="Arial" w:hAnsi="Arial"/>
                <w:b/>
                <w:bCs/>
                <w:color w:val="5B5EC7"/>
                <w:sz w:val="20"/>
                <w:szCs w:val="20"/>
              </w:rPr>
              <w:t xml:space="preserve">tax_engine/</w:t>
            </w:r>
          </w:p>
          <w:p>
            <w:pPr>
              <w:spacing w:after="20" w:before="0"/>
              <w:ind w:left="200"/>
              <w:jc w:val="left"/>
            </w:pPr>
            <w:r>
              <w:rPr>
                <w:rFonts w:ascii="Arial" w:cs="Arial" w:eastAsia="Arial" w:hAnsi="Arial"/>
                <w:b w:val="false"/>
                <w:bCs w:val="false"/>
                <w:color w:val="4B5563"/>
                <w:sz w:val="18"/>
                <w:szCs w:val="18"/>
              </w:rPr>
              <w:t xml:space="preserve">├── rules/</w:t>
            </w:r>
          </w:p>
          <w:p>
            <w:pPr>
              <w:spacing w:after="20" w:before="0"/>
              <w:ind w:left="200"/>
              <w:jc w:val="left"/>
            </w:pPr>
            <w:r>
              <w:rPr>
                <w:rFonts w:ascii="Arial" w:cs="Arial" w:eastAsia="Arial" w:hAnsi="Arial"/>
                <w:b w:val="false"/>
                <w:bCs w:val="false"/>
                <w:color w:val="4B5563"/>
                <w:sz w:val="18"/>
                <w:szCs w:val="18"/>
              </w:rPr>
              <w:t xml:space="preserve">│   ├── ay_2025_26.json    ← old regime slabs, new regime slabs, all limits</w:t>
            </w:r>
          </w:p>
          <w:p>
            <w:pPr>
              <w:spacing w:after="20" w:before="0"/>
              <w:ind w:left="200"/>
              <w:jc w:val="left"/>
            </w:pPr>
            <w:r>
              <w:rPr>
                <w:rFonts w:ascii="Arial" w:cs="Arial" w:eastAsia="Arial" w:hAnsi="Arial"/>
                <w:b w:val="false"/>
                <w:bCs w:val="false"/>
                <w:color w:val="4B5563"/>
                <w:sz w:val="18"/>
                <w:szCs w:val="18"/>
              </w:rPr>
              <w:t xml:space="preserve">│   ├── ay_2026_27.json    ← updated post-Budget (only JSON changes, no code)</w:t>
            </w:r>
          </w:p>
          <w:p>
            <w:pPr>
              <w:spacing w:after="20" w:before="0"/>
              <w:ind w:left="200"/>
              <w:jc w:val="left"/>
            </w:pPr>
            <w:r>
              <w:rPr>
                <w:rFonts w:ascii="Arial" w:cs="Arial" w:eastAsia="Arial" w:hAnsi="Arial"/>
                <w:b w:val="false"/>
                <w:bCs w:val="false"/>
                <w:color w:val="4B5563"/>
                <w:sz w:val="18"/>
                <w:szCs w:val="18"/>
              </w:rPr>
              <w:t xml:space="preserve">│   └── base.json          ← cess 4%, rebate 87A, standard deduction</w:t>
            </w:r>
          </w:p>
          <w:p>
            <w:pPr>
              <w:spacing w:after="20" w:before="0"/>
              <w:ind w:left="200"/>
              <w:jc w:val="left"/>
            </w:pPr>
            <w:r>
              <w:rPr>
                <w:rFonts w:ascii="Arial" w:cs="Arial" w:eastAsia="Arial" w:hAnsi="Arial"/>
                <w:b w:val="false"/>
                <w:bCs w:val="false"/>
                <w:color w:val="4B5563"/>
                <w:sz w:val="18"/>
                <w:szCs w:val="18"/>
              </w:rPr>
              <w:t xml:space="preserve">├── calculators/</w:t>
            </w:r>
          </w:p>
          <w:p>
            <w:pPr>
              <w:spacing w:after="20" w:before="0"/>
              <w:ind w:left="200"/>
              <w:jc w:val="left"/>
            </w:pPr>
            <w:r>
              <w:rPr>
                <w:rFonts w:ascii="Arial" w:cs="Arial" w:eastAsia="Arial" w:hAnsi="Arial"/>
                <w:b w:val="false"/>
                <w:bCs w:val="false"/>
                <w:color w:val="4B5563"/>
                <w:sz w:val="18"/>
                <w:szCs w:val="18"/>
              </w:rPr>
              <w:t xml:space="preserve">│   ├── income.py          ← salary, HRA calc (3-formula), professional tax</w:t>
            </w:r>
          </w:p>
          <w:p>
            <w:pPr>
              <w:spacing w:after="20" w:before="0"/>
              <w:ind w:left="200"/>
              <w:jc w:val="left"/>
            </w:pPr>
            <w:r>
              <w:rPr>
                <w:rFonts w:ascii="Arial" w:cs="Arial" w:eastAsia="Arial" w:hAnsi="Arial"/>
                <w:b w:val="false"/>
                <w:bCs w:val="false"/>
                <w:color w:val="4B5563"/>
                <w:sz w:val="18"/>
                <w:szCs w:val="18"/>
              </w:rPr>
              <w:t xml:space="preserve">│   ├── deductions.py      ← 80C, 80D, 80CCD(1B), 24(b) limits enforcement</w:t>
            </w:r>
          </w:p>
          <w:p>
            <w:pPr>
              <w:spacing w:after="20" w:before="0"/>
              <w:ind w:left="200"/>
              <w:jc w:val="left"/>
            </w:pPr>
            <w:r>
              <w:rPr>
                <w:rFonts w:ascii="Arial" w:cs="Arial" w:eastAsia="Arial" w:hAnsi="Arial"/>
                <w:b w:val="false"/>
                <w:bCs w:val="false"/>
                <w:color w:val="4B5563"/>
                <w:sz w:val="18"/>
                <w:szCs w:val="18"/>
              </w:rPr>
              <w:t xml:space="preserve">│   ├── slab_old.py        ← old regime 5 slabs + surcharge 10/15/25/37%</w:t>
            </w:r>
          </w:p>
          <w:p>
            <w:pPr>
              <w:spacing w:after="20" w:before="0"/>
              <w:ind w:left="200"/>
              <w:jc w:val="left"/>
            </w:pPr>
            <w:r>
              <w:rPr>
                <w:rFonts w:ascii="Arial" w:cs="Arial" w:eastAsia="Arial" w:hAnsi="Arial"/>
                <w:b w:val="false"/>
                <w:bCs w:val="false"/>
                <w:color w:val="4B5563"/>
                <w:sz w:val="18"/>
                <w:szCs w:val="18"/>
              </w:rPr>
              <w:t xml:space="preserve">│   ├── slab_new.py        ← new regime 6 slabs FY 2024-25</w:t>
            </w:r>
          </w:p>
          <w:p>
            <w:pPr>
              <w:spacing w:after="20" w:before="0"/>
              <w:ind w:left="200"/>
              <w:jc w:val="left"/>
            </w:pPr>
            <w:r>
              <w:rPr>
                <w:rFonts w:ascii="Arial" w:cs="Arial" w:eastAsia="Arial" w:hAnsi="Arial"/>
                <w:b w:val="false"/>
                <w:bCs w:val="false"/>
                <w:color w:val="4B5563"/>
                <w:sz w:val="18"/>
                <w:szCs w:val="18"/>
              </w:rPr>
              <w:t xml:space="preserve">│   ├── rebate.py          ← 87A: old ≤₹5L → zero tax; new ≤₹7L → zero tax</w:t>
            </w:r>
          </w:p>
          <w:p>
            <w:pPr>
              <w:spacing w:after="20" w:before="0"/>
              <w:ind w:left="200"/>
              <w:jc w:val="left"/>
            </w:pPr>
            <w:r>
              <w:rPr>
                <w:rFonts w:ascii="Arial" w:cs="Arial" w:eastAsia="Arial" w:hAnsi="Arial"/>
                <w:b w:val="false"/>
                <w:bCs w:val="false"/>
                <w:color w:val="4B5563"/>
                <w:sz w:val="18"/>
                <w:szCs w:val="18"/>
              </w:rPr>
              <w:t xml:space="preserve">│   └── surcharge.py       ← marginal relief calculation for boundary cases</w:t>
            </w:r>
          </w:p>
          <w:p>
            <w:pPr>
              <w:spacing w:after="20" w:before="0"/>
              <w:ind w:left="200"/>
              <w:jc w:val="left"/>
            </w:pPr>
            <w:r>
              <w:rPr>
                <w:rFonts w:ascii="Arial" w:cs="Arial" w:eastAsia="Arial" w:hAnsi="Arial"/>
                <w:b w:val="false"/>
                <w:bCs w:val="false"/>
                <w:color w:val="4B5563"/>
                <w:sz w:val="18"/>
                <w:szCs w:val="18"/>
              </w:rPr>
              <w:t xml:space="preserve">├── validators/</w:t>
            </w:r>
          </w:p>
          <w:p>
            <w:pPr>
              <w:spacing w:after="20" w:before="0"/>
              <w:ind w:left="200"/>
              <w:jc w:val="left"/>
            </w:pPr>
            <w:r>
              <w:rPr>
                <w:rFonts w:ascii="Arial" w:cs="Arial" w:eastAsia="Arial" w:hAnsi="Arial"/>
                <w:b w:val="false"/>
                <w:bCs w:val="false"/>
                <w:color w:val="4B5563"/>
                <w:sz w:val="18"/>
                <w:szCs w:val="18"/>
              </w:rPr>
              <w:t xml:space="preserve">│   ├── deduction.py       ← check limits, flag CA review if deductions &gt;30%</w:t>
            </w:r>
          </w:p>
          <w:p>
            <w:pPr>
              <w:spacing w:after="20" w:before="0"/>
              <w:ind w:left="200"/>
              <w:jc w:val="left"/>
            </w:pPr>
            <w:r>
              <w:rPr>
                <w:rFonts w:ascii="Arial" w:cs="Arial" w:eastAsia="Arial" w:hAnsi="Arial"/>
                <w:b w:val="false"/>
                <w:bCs w:val="false"/>
                <w:color w:val="4B5563"/>
                <w:sz w:val="18"/>
                <w:szCs w:val="18"/>
              </w:rPr>
              <w:t xml:space="preserve">│   └── income.py          ← sanity: tax% reasonable? refund unusually large?</w:t>
            </w:r>
          </w:p>
          <w:p>
            <w:pPr>
              <w:spacing w:after="20" w:before="0"/>
              <w:ind w:left="200"/>
              <w:jc w:val="left"/>
            </w:pPr>
            <w:r>
              <w:rPr>
                <w:rFonts w:ascii="Arial" w:cs="Arial" w:eastAsia="Arial" w:hAnsi="Arial"/>
                <w:b w:val="false"/>
                <w:bCs w:val="false"/>
                <w:color w:val="4B5563"/>
                <w:sz w:val="18"/>
                <w:szCs w:val="18"/>
              </w:rPr>
              <w:t xml:space="preserve">├── engine.py              ← main orchestrator — only entry point</w:t>
            </w:r>
          </w:p>
          <w:p>
            <w:pPr>
              <w:spacing w:after="20" w:before="0"/>
              <w:ind w:left="200"/>
              <w:jc w:val="left"/>
            </w:pPr>
            <w:r>
              <w:rPr>
                <w:rFonts w:ascii="Arial" w:cs="Arial" w:eastAsia="Arial" w:hAnsi="Arial"/>
                <w:b w:val="false"/>
                <w:bCs w:val="false"/>
                <w:color w:val="4B5563"/>
                <w:sz w:val="18"/>
                <w:szCs w:val="18"/>
              </w:rPr>
              <w:t xml:space="preserve">└── tests/                 ← 200+ unit tests per Assessment Year</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4.2  Assessment Year 2026-27 Rules Coverage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1824"/>
      </w:tblGrid>
      <w:tr>
        <w:trPr>
          <w:tblHeader/>
        </w:trPr>
        <w:tc>
          <w:tcPr>
            <w:tcW w:type="dxa" w:w="2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Tax Component</w:t>
            </w:r>
          </w:p>
        </w:tc>
        <w:tc>
          <w:tcPr>
            <w:tcW w:type="dxa" w:w="3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Old Regime</w:t>
            </w:r>
          </w:p>
        </w:tc>
        <w:tc>
          <w:tcPr>
            <w:tcW w:type="dxa" w:w="3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New Regime</w:t>
            </w:r>
          </w:p>
        </w:tc>
        <w:tc>
          <w:tcPr>
            <w:tcW w:type="dxa" w:w="1824"/>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Engine Status</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Basic exemption</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₹2.5L / ₹3L (60+) / ₹5L (80+)</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₹3L (all ages)</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Standard deduction</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₹50,000 salaried</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₹75,000 salaried</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Tax slabs</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 slabs (0%, 5%, 20%, 30%, 30%)</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6 slabs (0%–30%)</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Rebate under 87A</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≤₹5L taxable → zero tax</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≤₹7L taxable → zero tax</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Surcharge</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 (&gt;50L), 15% (&gt;1Cr), 25% (&gt;2Cr), 37% (&gt;5Cr)</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10%/15%/25% (37% capped at 25%)</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Health+Education cess</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4% on (tax + surcharge)</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4% on (tax + surcharge)</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Section 80C</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Max ₹1,50,000 (PF, LIC, ELSS, etc.)</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Not available</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With limit check</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Section 80D</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Max ₹1,00,000 (self + parents)</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Not available</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Age-based limits</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HRA exemption</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Min of 3 formulas (metro/non-metro)</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Not available</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3-formula logic</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Section 24(b)</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Max ₹2,00,000 self-occupied</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Not available</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Property-type check</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Section 80CCD(1B)</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Additional ₹50,000 NPS</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Not available</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Section 80CCD(2)</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Up to 10% of salary (employer)</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Up to 14% of salary (employer)</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Marginal relief</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Applied at surcharge thresholds</w:t>
            </w:r>
          </w:p>
        </w:tc>
        <w:tc>
          <w:tcPr>
            <w:tcW w:type="dxa" w:w="3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Applied at surcharge thresholds</w:t>
            </w:r>
          </w:p>
        </w:tc>
        <w:tc>
          <w:tcPr>
            <w:tcW w:type="dxa" w:w="18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r>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CA review flag</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Tax &gt;45% income OR refund &gt;₹50K</w:t>
            </w:r>
          </w:p>
        </w:tc>
        <w:tc>
          <w:tcPr>
            <w:tcW w:type="dxa" w:w="3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conditions</w:t>
            </w:r>
          </w:p>
        </w:tc>
        <w:tc>
          <w:tcPr>
            <w:tcW w:type="dxa" w:w="18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 Implemented</w:t>
            </w:r>
          </w:p>
        </w:tc>
      </w:tr>
    </w:tbl>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5B5EC7"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Key Design Principle</w:t>
            </w:r>
          </w:p>
          <w:p>
            <w:pPr>
              <w:spacing w:after="120" w:before="0"/>
              <w:jc w:val="left"/>
            </w:pPr>
            <w:r>
              <w:rPr>
                <w:rFonts w:ascii="Arial" w:cs="Arial" w:eastAsia="Arial" w:hAnsi="Arial"/>
                <w:b w:val="false"/>
                <w:bCs w:val="false"/>
                <w:color w:val="4B5563"/>
                <w:sz w:val="19"/>
                <w:szCs w:val="19"/>
              </w:rPr>
              <w:t xml:space="preserve">Tax rules stored in JSON files — not hardcoded in Python. On Budget Day each February, update the JSON file only. The engine reads rules at startup (cached in Redis). Zero code deployments needed for annual tax changes. Add new AY JSON → system supports it immediately.</w:t>
            </w:r>
          </w:p>
        </w:tc>
      </w:tr>
    </w:tbl>
    <w:p>
      <w:r>
        <w:br w:type="page"/>
      </w:r>
    </w:p>
    <w:p>
      <w:pPr>
        <w:pBdr>
          <w:bottom w:val="single" w:color="5B5EC7" w:sz="8" w:space="1"/>
        </w:pBdr>
        <w:spacing w:after="160" w:before="400"/>
      </w:pPr>
      <w:r>
        <w:rPr>
          <w:rFonts w:ascii="Arial" w:cs="Arial" w:eastAsia="Arial" w:hAnsi="Arial"/>
          <w:b/>
          <w:bCs/>
          <w:color w:val="111827"/>
          <w:sz w:val="34"/>
          <w:szCs w:val="34"/>
        </w:rPr>
        <w:t xml:space="preserve">Section 5: Infrastructure Sizing — 100K Peak Concurrent</w:t>
      </w:r>
    </w:p>
    <w:p>
      <w:pPr>
        <w:spacing w:after="100" w:before="0"/>
        <w:jc w:val="left"/>
      </w:pPr>
      <w:r>
        <w:rPr>
          <w:rFonts w:ascii="Arial" w:cs="Arial" w:eastAsia="Arial" w:hAnsi="Arial"/>
          <w:b w:val="false"/>
          <w:bCs w:val="false"/>
          <w:color w:val="4B5563"/>
          <w:sz w:val="20"/>
          <w:szCs w:val="20"/>
        </w:rPr>
        <w:t xml:space="preserve">100,000 concurrent users = last 2 weeks of July (filing deadline). Key numbers: 100K users × 15 API calls / 600 seconds = ~2,500 API req/second at true peak. The critical design challenge: auto-scale UP fast for July, scale DOWN to near-zero from August onwards.</w:t>
      </w:r>
    </w:p>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5.1  Peak vs Off-Peak Component Sizing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000"/>
        <w:gridCol w:w="2024"/>
      </w:tblGrid>
      <w:tr>
        <w:trPr>
          <w:tblHeader/>
        </w:trPr>
        <w:tc>
          <w:tcPr>
            <w:tcW w:type="dxa" w:w="1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Component</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Off-Peak Config (Aug–Jun)</w:t>
            </w:r>
          </w:p>
        </w:tc>
        <w:tc>
          <w:tcPr>
            <w:tcW w:type="dxa" w:w="22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Peak Config (Last 2 Wks July)</w:t>
            </w:r>
          </w:p>
        </w:tc>
        <w:tc>
          <w:tcPr>
            <w:tcW w:type="dxa" w:w="20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Handles at Peak</w:t>
            </w:r>
          </w:p>
        </w:tc>
        <w:tc>
          <w:tcPr>
            <w:tcW w:type="dxa" w:w="2024"/>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Critical Config</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ECS Fargate Tasks</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 tasks (0.5vCPU, 1GB each)</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30–50 tasks (auto-scale)</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~2,500 req/sec</w:t>
            </w:r>
          </w:p>
        </w:tc>
        <w:tc>
          <w:tcPr>
            <w:tcW w:type="dxa" w:w="2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Scale policy: CPU &gt;70% → add 5 tasks every 60sec</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PostgreSQL RDS</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db.t3.medium (2vCPU, 4GB)</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db.r6g.large + 1 read replica</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100K clients via PgBouncer pool</w:t>
            </w:r>
          </w:p>
        </w:tc>
        <w:tc>
          <w:tcPr>
            <w:tcW w:type="dxa" w:w="2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pool_mode=transaction, max_client_conn=100000, max_db_conn=200</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Redis ElastiCache</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cache.t3.micro (0.5GB)</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cache.r6g.large (13GB)</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100K sessions + 50K calc caches + OTPs</w:t>
            </w:r>
          </w:p>
        </w:tc>
        <w:tc>
          <w:tcPr>
            <w:tcW w:type="dxa" w:w="2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Session TTL:24hr, Calc TTL:2hr, OTP TTL:10min</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AWS Lambda (OCR)</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 invocations/day</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~10,000/day (burst 500 concurrent)</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Async Textract jobs (non-blocking)</w:t>
            </w:r>
          </w:p>
        </w:tc>
        <w:tc>
          <w:tcPr>
            <w:tcW w:type="dxa" w:w="2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512MB RAM, 120sec timeout, reserved concurrency: 500</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AWS ALB</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ALB, standard LCUs</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Same ALB scales natively</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100M+ connections/sec natively</w:t>
            </w:r>
          </w:p>
        </w:tc>
        <w:tc>
          <w:tcPr>
            <w:tcW w:type="dxa" w:w="2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Cross-zone: enabled, Idle timeout: 60sec</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AWS S3</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~20GB docs stored</w:t>
            </w:r>
          </w:p>
        </w:tc>
        <w:tc>
          <w:tcPr>
            <w:tcW w:type="dxa" w:w="2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~500GB docs (auto-lifecycle delete)</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Unlimited requests via pre-signed URLs</w:t>
            </w:r>
          </w:p>
        </w:tc>
        <w:tc>
          <w:tcPr>
            <w:tcW w:type="dxa" w:w="2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Lifecycle rule: delete after 30 days. Block all public access.</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Vercel (Frontend)</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Pro plan — CDN caches pages</w:t>
            </w:r>
          </w:p>
        </w:tc>
        <w:tc>
          <w:tcPr>
            <w:tcW w:type="dxa" w:w="2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Same Pro plan — CDN auto-handles any load</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100K concurrent frontend users automatically</w:t>
            </w:r>
          </w:p>
        </w:tc>
        <w:tc>
          <w:tcPr>
            <w:tcW w:type="dxa" w:w="2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0C447C"/>
                <w:sz w:val="19"/>
                <w:szCs w:val="19"/>
              </w:rPr>
              <w:t xml:space="preserve">Next.js ISR: cache 60sec. API calls proxy to ALB backend.</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5.2  PgBouncer — The Critical Scaling Component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D97706"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FFFBEB"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Non-negotiable at 100K scale</w:t>
            </w:r>
          </w:p>
          <w:p>
            <w:pPr>
              <w:spacing w:after="120" w:before="0"/>
              <w:jc w:val="left"/>
            </w:pPr>
            <w:r>
              <w:rPr>
                <w:rFonts w:ascii="Arial" w:cs="Arial" w:eastAsia="Arial" w:hAnsi="Arial"/>
                <w:b w:val="false"/>
                <w:bCs w:val="false"/>
                <w:color w:val="4B5563"/>
                <w:sz w:val="19"/>
                <w:szCs w:val="19"/>
              </w:rPr>
              <w:t xml:space="preserve">Raw PostgreSQL handles only ~1,000 direct connections on db.r6g.large. Without PgBouncer, 100K concurrent users = 100K DB connection attempts = immediate crash. PgBouncer pools 100,000 clients → 200 real DB connections using transaction-mode pooling. Deploy as a sidecar container in the same ECS task. Zero extra cost. Without this, 100K concurrent users is impossible.</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5.3  Pre-Warming Strategy — Avoid Cold Starts in July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5024"/>
      </w:tblGrid>
      <w:tr>
        <w:trPr>
          <w:tblHeader/>
        </w:trPr>
        <w:tc>
          <w:tcPr>
            <w:tcW w:type="dxa" w:w="1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Date</w:t>
            </w:r>
          </w:p>
        </w:tc>
        <w:tc>
          <w:tcPr>
            <w:tcW w:type="dxa" w:w="36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Action</w:t>
            </w:r>
          </w:p>
        </w:tc>
        <w:tc>
          <w:tcPr>
            <w:tcW w:type="dxa" w:w="5024"/>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Reason</w:t>
            </w:r>
          </w:p>
        </w:tc>
      </w:tr>
      <w:tr>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July 18</w:t>
            </w:r>
          </w:p>
        </w:tc>
        <w:tc>
          <w:tcPr>
            <w:tcW w:type="dxa" w:w="3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Scale ECS from 2 → 10 tasks manually</w:t>
            </w:r>
          </w:p>
        </w:tc>
        <w:tc>
          <w:tcPr>
            <w:tcW w:type="dxa" w:w="5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Avoid cold-start lag when traffic starts climbing</w:t>
            </w:r>
          </w:p>
        </w:tc>
      </w:tr>
      <w:tr>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July 21</w:t>
            </w:r>
          </w:p>
        </w:tc>
        <w:tc>
          <w:tcPr>
            <w:tcW w:type="dxa" w:w="3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Enable auto-scaling: min 10, max 50 tasks</w:t>
            </w:r>
          </w:p>
        </w:tc>
        <w:tc>
          <w:tcPr>
            <w:tcW w:type="dxa" w:w="5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Automated response to traffic spikes</w:t>
            </w:r>
          </w:p>
        </w:tc>
      </w:tr>
      <w:tr>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July 22</w:t>
            </w:r>
          </w:p>
        </w:tc>
        <w:tc>
          <w:tcPr>
            <w:tcW w:type="dxa" w:w="3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Upgrade RDS: t3.medium → r6g.large + add read replica</w:t>
            </w:r>
          </w:p>
        </w:tc>
        <w:tc>
          <w:tcPr>
            <w:tcW w:type="dxa" w:w="5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Heavy read queries for tax calc lookups</w:t>
            </w:r>
          </w:p>
        </w:tc>
      </w:tr>
      <w:tr>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July 22</w:t>
            </w:r>
          </w:p>
        </w:tc>
        <w:tc>
          <w:tcPr>
            <w:tcW w:type="dxa" w:w="3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Upgrade Redis: t3.micro → r6g.large cluster mode</w:t>
            </w:r>
          </w:p>
        </w:tc>
        <w:tc>
          <w:tcPr>
            <w:tcW w:type="dxa" w:w="5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100K sessions + calc caches need 13GB RAM</w:t>
            </w:r>
          </w:p>
        </w:tc>
      </w:tr>
      <w:tr>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July 23</w:t>
            </w:r>
          </w:p>
        </w:tc>
        <w:tc>
          <w:tcPr>
            <w:tcW w:type="dxa" w:w="3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Warm up CloudFront cache with synthetic requests</w:t>
            </w:r>
          </w:p>
        </w:tc>
        <w:tc>
          <w:tcPr>
            <w:tcW w:type="dxa" w:w="5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Pre-cache all static assets at Mumbai edge</w:t>
            </w:r>
          </w:p>
        </w:tc>
      </w:tr>
      <w:tr>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August 1</w:t>
            </w:r>
          </w:p>
        </w:tc>
        <w:tc>
          <w:tcPr>
            <w:tcW w:type="dxa" w:w="3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Scale ECS back to 2 tasks + downgrade RDS/Redis</w:t>
            </w:r>
          </w:p>
        </w:tc>
        <w:tc>
          <w:tcPr>
            <w:tcW w:type="dxa" w:w="5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Filing season over — save ~₹55K/month</w:t>
            </w:r>
          </w:p>
        </w:tc>
      </w:tr>
    </w:tbl>
    <w:p>
      <w:r>
        <w:br w:type="page"/>
      </w:r>
    </w:p>
    <w:p>
      <w:pPr>
        <w:pBdr>
          <w:bottom w:val="single" w:color="5B5EC7" w:sz="8" w:space="1"/>
        </w:pBdr>
        <w:spacing w:after="160" w:before="400"/>
      </w:pPr>
      <w:r>
        <w:rPr>
          <w:rFonts w:ascii="Arial" w:cs="Arial" w:eastAsia="Arial" w:hAnsi="Arial"/>
          <w:b/>
          <w:bCs/>
          <w:color w:val="111827"/>
          <w:sz w:val="34"/>
          <w:szCs w:val="34"/>
        </w:rPr>
        <w:t xml:space="preserve">Section 6: Complete Cost Breakdown (INR) — Bootstrap Accurate</w:t>
      </w:r>
    </w:p>
    <w:p>
      <w:pPr>
        <w:spacing w:after="100" w:before="0"/>
        <w:jc w:val="left"/>
      </w:pPr>
      <w:r>
        <w:rPr>
          <w:rFonts w:ascii="Arial" w:cs="Arial" w:eastAsia="Arial" w:hAnsi="Arial"/>
          <w:b w:val="false"/>
          <w:bCs w:val="false"/>
          <w:color w:val="4B5563"/>
          <w:sz w:val="20"/>
          <w:szCs w:val="20"/>
        </w:rPr>
        <w:t xml:space="preserve">All costs in INR based on AWS Mumbai (ap-south-1) pricing, June 2025. Exchange rate: $1 = ₹83.50. Bootstrap-friendly: high off-peak efficiency, predictable peak budget.</w:t>
      </w:r>
    </w:p>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0F766E"/>
          <w:sz w:val="26"/>
          <w:szCs w:val="26"/>
        </w:rPr>
        <w:t xml:space="preserve">6.1  Off-Peak Monthly Cost (Aug–Jun, ~2K concurrent users)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3024"/>
      </w:tblGrid>
      <w:tr>
        <w:trPr>
          <w:tblHeader/>
        </w:trPr>
        <w:tc>
          <w:tcPr>
            <w:tcW w:type="dxa" w:w="48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Service / Item</w:t>
            </w:r>
          </w:p>
        </w:tc>
        <w:tc>
          <w:tcPr>
            <w:tcW w:type="dxa" w:w="2400"/>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Config</w:t>
            </w:r>
          </w:p>
        </w:tc>
        <w:tc>
          <w:tcPr>
            <w:tcW w:type="dxa" w:w="3024"/>
            <w:tcBorders>
              <w:top w:val="single" w:color="0F766E" w:sz="4"/>
              <w:left w:val="single" w:color="0F766E" w:sz="4"/>
              <w:bottom w:val="single" w:color="0F766E" w:sz="4"/>
              <w:right w:val="single" w:color="0F766E" w:sz="4"/>
            </w:tcBorders>
            <w:shd w:fill="0F766E"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Cost (INR)</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bCs/>
                <w:color w:val="4B5563"/>
                <w:sz w:val="18"/>
                <w:szCs w:val="18"/>
              </w:rPr>
              <w:t xml:space="preserve">INFRASTRUCTURE</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right"/>
            </w:pPr>
            <w:r>
              <w:rPr>
                <w:rFonts w:ascii="Arial" w:cs="Arial" w:eastAsia="Arial" w:hAnsi="Arial"/>
                <w:b w:val="false"/>
                <w:bCs w:val="false"/>
                <w:color w:val="4B5563"/>
                <w:sz w:val="19"/>
                <w:szCs w:val="19"/>
              </w:rPr>
              <w:t xml:space="preserve"/>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ECS Fargate (2 tasks × 730hr)</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0.5vCPU + 1GB × 2</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₹3,000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RDS PostgreSQL</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db.t3.medium (2vCPU, 4GB)</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₹4,300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ElastiCache Redis</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cache.t3.micro (0.5GB)</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ALB + API Gateway</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Standard LCUs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S3 + CloudFront</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~20GB storage + 100GB out</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₹400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Lambda (OCR jobs)</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~5K invocations × 512MB</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₹200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Secrets Manager</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3 secrets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Vercel Pro (frontend)</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Global CDN, auto-deploy</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₹1,700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CloudWatch</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Logs + alarms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₹500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bCs/>
                <w:color w:val="4B5563"/>
                <w:sz w:val="18"/>
                <w:szCs w:val="18"/>
              </w:rPr>
              <w:t xml:space="preserve">AI / EXTERNAL APIS</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right"/>
            </w:pPr>
            <w:r>
              <w:rPr>
                <w:rFonts w:ascii="Arial" w:cs="Arial" w:eastAsia="Arial" w:hAnsi="Arial"/>
                <w:b w:val="false"/>
                <w:bCs w:val="false"/>
                <w:color w:val="4B5563"/>
                <w:sz w:val="19"/>
                <w:szCs w:val="19"/>
              </w:rPr>
              <w:t xml:space="preserve"/>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Claude API (Sonnet + Haiku)</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~1K users × ₹1.00 avg</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AWS Textract (basic)</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~3K pages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₹370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MSG91 OTP SMS</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~10K OTPs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₹2,000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Resend (email)</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3K free tier</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Sentry + PostHog</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Free tiers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bCs/>
                <w:color w:val="4B5563"/>
                <w:sz w:val="18"/>
                <w:szCs w:val="18"/>
              </w:rPr>
              <w:t xml:space="preserve">OTHER</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tcPr>
          <w:p>
            <w:pPr>
              <w:spacing w:after="120" w:before="0"/>
              <w:jc w:val="right"/>
            </w:pPr>
            <w:r>
              <w:rPr>
                <w:rFonts w:ascii="Arial" w:cs="Arial" w:eastAsia="Arial" w:hAnsi="Arial"/>
                <w:b w:val="false"/>
                <w:bCs w:val="false"/>
                <w:color w:val="4B5563"/>
                <w:sz w:val="19"/>
                <w:szCs w:val="19"/>
              </w:rPr>
              <w:t xml:space="preserve"/>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Domain + email (Google Workspace)</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Monthly amortised</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GitHub Pro</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3 devs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₹700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111827"/>
                <w:sz w:val="19"/>
                <w:szCs w:val="19"/>
              </w:rPr>
              <w:t xml:space="preserve">Figma Pro</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left"/>
            </w:pPr>
            <w:r>
              <w:rPr>
                <w:rFonts w:ascii="Arial" w:cs="Arial" w:eastAsia="Arial" w:hAnsi="Arial"/>
                <w:b w:val="false"/>
                <w:bCs w:val="false"/>
                <w:color w:val="4B5563"/>
                <w:sz w:val="18"/>
                <w:szCs w:val="18"/>
              </w:rPr>
              <w:t xml:space="preserve">1 seat</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tcPr>
          <w:p>
            <w:pPr>
              <w:spacing w:after="120" w:before="0"/>
              <w:jc w:val="right"/>
            </w:pPr>
            <w:r>
              <w:rPr>
                <w:rFonts w:ascii="Arial" w:cs="Arial" w:eastAsia="Arial" w:hAnsi="Arial"/>
                <w:b/>
                <w:bCs/>
                <w:color w:val="0F766E"/>
                <w:sz w:val="19"/>
                <w:szCs w:val="19"/>
              </w:rPr>
              <w:t xml:space="preserve">₹1,200</w:t>
            </w:r>
          </w:p>
        </w:tc>
      </w:tr>
      <w:tr>
        <w:tc>
          <w:tcPr>
            <w:tcW w:type="dxa" w:w="4800"/>
            <w:tcBorders>
              <w:top w:val="single" w:color="0F766E" w:sz="6"/>
              <w:left w:val="single" w:color="0F766E" w:sz="6"/>
              <w:bottom w:val="single" w:color="0F766E" w:sz="6"/>
              <w:right w:val="single" w:color="0F766E" w:sz="6"/>
            </w:tcBorders>
            <w:shd w:fill="E1F5EE" w:val="clear"/>
            <w:tcMar>
              <w:top w:type="dxa" w:w="100"/>
              <w:left w:type="dxa" w:w="120"/>
              <w:bottom w:type="dxa" w:w="100"/>
              <w:right w:type="dxa" w:w="120"/>
            </w:tcMar>
          </w:tcPr>
          <w:p>
            <w:pPr>
              <w:spacing w:after="120" w:before="0"/>
              <w:jc w:val="left"/>
            </w:pPr>
            <w:r>
              <w:rPr>
                <w:rFonts w:ascii="Arial" w:cs="Arial" w:eastAsia="Arial" w:hAnsi="Arial"/>
                <w:b/>
                <w:bCs/>
                <w:color w:val="0F766E"/>
                <w:sz w:val="22"/>
                <w:szCs w:val="22"/>
              </w:rPr>
              <w:t xml:space="preserve">TOTAL MONTHLY (OFF-PEAK)</w:t>
            </w:r>
          </w:p>
        </w:tc>
        <w:tc>
          <w:tcPr>
            <w:tcW w:type="dxa" w:w="2400"/>
            <w:tcBorders>
              <w:top w:val="single" w:color="0F766E" w:sz="6"/>
              <w:left w:val="single" w:color="0F766E" w:sz="6"/>
              <w:bottom w:val="single" w:color="0F766E" w:sz="6"/>
              <w:right w:val="single" w:color="0F766E" w:sz="6"/>
            </w:tcBorders>
            <w:shd w:fill="E1F5EE" w:val="clear"/>
            <w:tcMar>
              <w:top w:type="dxa" w:w="100"/>
              <w:left w:type="dxa" w:w="120"/>
              <w:bottom w:type="dxa" w:w="100"/>
              <w:right w:type="dxa" w:w="120"/>
            </w:tcMar>
          </w:tcPr>
          <w:p>
            <w:pPr>
              <w:spacing w:after="120" w:before="0"/>
              <w:jc w:val="left"/>
            </w:pPr>
            <w:r>
              <w:rPr>
                <w:rFonts w:ascii="Arial" w:cs="Arial" w:eastAsia="Arial" w:hAnsi="Arial"/>
                <w:b w:val="false"/>
                <w:bCs w:val="false"/>
                <w:color w:val="0F766E"/>
                <w:sz w:val="18"/>
                <w:szCs w:val="18"/>
              </w:rPr>
              <w:t xml:space="preserve">Aug–Jun baseline</w:t>
            </w:r>
          </w:p>
        </w:tc>
        <w:tc>
          <w:tcPr>
            <w:tcW w:type="dxa" w:w="3024"/>
            <w:tcBorders>
              <w:top w:val="single" w:color="0F766E" w:sz="6"/>
              <w:left w:val="single" w:color="0F766E" w:sz="6"/>
              <w:bottom w:val="single" w:color="0F766E" w:sz="6"/>
              <w:right w:val="single" w:color="0F766E" w:sz="6"/>
            </w:tcBorders>
            <w:shd w:fill="E1F5EE" w:val="clear"/>
            <w:tcMar>
              <w:top w:type="dxa" w:w="100"/>
              <w:left w:type="dxa" w:w="120"/>
              <w:bottom w:type="dxa" w:w="100"/>
              <w:right w:type="dxa" w:w="120"/>
            </w:tcMar>
          </w:tcPr>
          <w:p>
            <w:pPr>
              <w:spacing w:after="120" w:before="0"/>
              <w:jc w:val="right"/>
            </w:pPr>
            <w:r>
              <w:rPr>
                <w:rFonts w:ascii="Arial" w:cs="Arial" w:eastAsia="Arial" w:hAnsi="Arial"/>
                <w:b/>
                <w:bCs/>
                <w:color w:val="0F766E"/>
                <w:sz w:val="26"/>
                <w:szCs w:val="26"/>
              </w:rPr>
              <w:t xml:space="preserve">₹16,350 / month</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993C1D"/>
          <w:sz w:val="26"/>
          <w:szCs w:val="26"/>
        </w:rPr>
        <w:t xml:space="preserve">6.2  Peak July Cost (100K Concurrent, ~70K Filings)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3024"/>
      </w:tblGrid>
      <w:tr>
        <w:trPr>
          <w:tblHeader/>
        </w:trPr>
        <w:tc>
          <w:tcPr>
            <w:tcW w:type="dxa" w:w="48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Service / Item</w:t>
            </w:r>
          </w:p>
        </w:tc>
        <w:tc>
          <w:tcPr>
            <w:tcW w:type="dxa" w:w="2400"/>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Config (July Scale)</w:t>
            </w:r>
          </w:p>
        </w:tc>
        <w:tc>
          <w:tcPr>
            <w:tcW w:type="dxa" w:w="3024"/>
            <w:tcBorders>
              <w:top w:val="single" w:color="993C1D" w:sz="4"/>
              <w:left w:val="single" w:color="993C1D" w:sz="4"/>
              <w:bottom w:val="single" w:color="993C1D" w:sz="4"/>
              <w:right w:val="single" w:color="993C1D" w:sz="4"/>
            </w:tcBorders>
            <w:shd w:fill="993C1D"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July Cost (INR)</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ECS Fargate (avg 20 tasks × 730hr)</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 × 0.5vCPU+1GB (auto-scaled)</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₹27,000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RDS PostgreSQL (primary)</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db.r6g.large (2vCPU, 16GB)</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₹20,000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RDS Read Replica</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db.r6g.large</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₹20,000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ElastiCache Redis</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cache.r6g.large (13GB) cluster</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₹15,000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ALB (high LCUs in July)</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Peak traffic LCU pricing</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₹5,000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S3 + CloudFront</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500GB storage + 2TB out</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₹5,000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Lambda (OCR async)</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200K invocations × 512MB × 60s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₹3,000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Secrets Manager</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3 secrets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Vercel Pro (frontend)</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Same — CDN handles load auto</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₹1,700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CloudWatch (higher log volume)</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Extra log ingestion</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₹1,500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Claude Sonnet API</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70K users × ~2K input tokens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₹49,000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Claude Haiku API</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70K users × ~1K tokens (tooltips)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₹5,600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Textract (basic text detection)</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70K × 3 pages avg = 210K pages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₹26,000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Claude Vision (fallback 8%)</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~5,600 images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₹1,500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MSG91 OTP SMS</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200K OTPs + 200K status SMS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₹40,000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AWS SES (email volume)</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500K emails (receipts, alerts)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₹500</w:t>
            </w:r>
          </w:p>
        </w:tc>
      </w:tr>
      <w:tr>
        <w:tc>
          <w:tcPr>
            <w:tcW w:type="dxa" w:w="4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PostHog (may exceed free tier)</w:t>
            </w:r>
          </w:p>
        </w:tc>
        <w:tc>
          <w:tcPr>
            <w:tcW w:type="dxa" w:w="24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Additional events billing</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₹2,500</w:t>
            </w:r>
          </w:p>
        </w:tc>
      </w:tr>
      <w:tr>
        <w:tc>
          <w:tcPr>
            <w:tcW w:type="dxa" w:w="4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111827"/>
                <w:sz w:val="19"/>
                <w:szCs w:val="19"/>
              </w:rPr>
              <w:t xml:space="preserve">Extra support tools + monitoring</w:t>
            </w:r>
          </w:p>
        </w:tc>
        <w:tc>
          <w:tcPr>
            <w:tcW w:type="dxa" w:w="24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PagerDuty, etc.</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993C1D"/>
                <w:sz w:val="19"/>
                <w:szCs w:val="19"/>
              </w:rPr>
              <w:t xml:space="preserve">₹2,000</w:t>
            </w:r>
          </w:p>
        </w:tc>
      </w:tr>
      <w:tr>
        <w:tc>
          <w:tcPr>
            <w:tcW w:type="dxa" w:w="4800"/>
            <w:tcBorders>
              <w:top w:val="single" w:color="993C1D" w:sz="6"/>
              <w:left w:val="single" w:color="993C1D" w:sz="6"/>
              <w:bottom w:val="single" w:color="993C1D" w:sz="6"/>
              <w:right w:val="single" w:color="993C1D" w:sz="6"/>
            </w:tcBorders>
            <w:shd w:fill="FAECE7" w:val="clear"/>
            <w:tcMar>
              <w:top w:type="dxa" w:w="100"/>
              <w:left w:type="dxa" w:w="120"/>
              <w:bottom w:type="dxa" w:w="100"/>
              <w:right w:type="dxa" w:w="120"/>
            </w:tcMar>
          </w:tcPr>
          <w:p>
            <w:pPr>
              <w:spacing w:after="120" w:before="0"/>
              <w:jc w:val="left"/>
            </w:pPr>
            <w:r>
              <w:rPr>
                <w:rFonts w:ascii="Arial" w:cs="Arial" w:eastAsia="Arial" w:hAnsi="Arial"/>
                <w:b/>
                <w:bCs/>
                <w:color w:val="993C1D"/>
                <w:sz w:val="22"/>
                <w:szCs w:val="22"/>
              </w:rPr>
              <w:t xml:space="preserve">TOTAL PEAK JULY INFRA + AI + SMS</w:t>
            </w:r>
          </w:p>
        </w:tc>
        <w:tc>
          <w:tcPr>
            <w:tcW w:type="dxa" w:w="2400"/>
            <w:tcBorders>
              <w:top w:val="single" w:color="993C1D" w:sz="6"/>
              <w:left w:val="single" w:color="993C1D" w:sz="6"/>
              <w:bottom w:val="single" w:color="993C1D" w:sz="6"/>
              <w:right w:val="single" w:color="993C1D" w:sz="6"/>
            </w:tcBorders>
            <w:shd w:fill="FAECE7" w:val="clear"/>
            <w:tcMar>
              <w:top w:type="dxa" w:w="100"/>
              <w:left w:type="dxa" w:w="120"/>
              <w:bottom w:type="dxa" w:w="100"/>
              <w:right w:type="dxa" w:w="120"/>
            </w:tcMar>
          </w:tcPr>
          <w:p>
            <w:pPr>
              <w:spacing w:after="120" w:before="0"/>
              <w:jc w:val="left"/>
            </w:pPr>
            <w:r>
              <w:rPr>
                <w:rFonts w:ascii="Arial" w:cs="Arial" w:eastAsia="Arial" w:hAnsi="Arial"/>
                <w:b w:val="false"/>
                <w:bCs w:val="false"/>
                <w:color w:val="993C1D"/>
                <w:sz w:val="18"/>
                <w:szCs w:val="18"/>
              </w:rPr>
              <w:t xml:space="preserve">Revenue context below</w:t>
            </w:r>
          </w:p>
        </w:tc>
        <w:tc>
          <w:tcPr>
            <w:tcW w:type="dxa" w:w="3024"/>
            <w:tcBorders>
              <w:top w:val="single" w:color="993C1D" w:sz="6"/>
              <w:left w:val="single" w:color="993C1D" w:sz="6"/>
              <w:bottom w:val="single" w:color="993C1D" w:sz="6"/>
              <w:right w:val="single" w:color="993C1D" w:sz="6"/>
            </w:tcBorders>
            <w:shd w:fill="FAECE7" w:val="clear"/>
            <w:tcMar>
              <w:top w:type="dxa" w:w="100"/>
              <w:left w:type="dxa" w:w="120"/>
              <w:bottom w:type="dxa" w:w="100"/>
              <w:right w:type="dxa" w:w="120"/>
            </w:tcMar>
          </w:tcPr>
          <w:p>
            <w:pPr>
              <w:spacing w:after="120" w:before="0"/>
              <w:jc w:val="right"/>
            </w:pPr>
            <w:r>
              <w:rPr>
                <w:rFonts w:ascii="Arial" w:cs="Arial" w:eastAsia="Arial" w:hAnsi="Arial"/>
                <w:b/>
                <w:bCs/>
                <w:color w:val="993C1D"/>
                <w:sz w:val="26"/>
                <w:szCs w:val="26"/>
              </w:rPr>
              <w:t xml:space="preserve">₹2,25,800 / July</w:t>
            </w:r>
          </w:p>
        </w:tc>
      </w:tr>
    </w:tbl>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0"/>
        <w:gridCol w:w="10124"/>
      </w:tblGrid>
      <w:tr>
        <w:tc>
          <w:tcPr>
            <w:tcW w:type="dxa" w:w="100"/>
            <w:tcBorders>
              <w:top w:val="none" w:color="FFFFFF" w:sz="0"/>
              <w:left w:val="none" w:color="FFFFFF" w:sz="0"/>
              <w:bottom w:val="none" w:color="FFFFFF" w:sz="0"/>
              <w:right w:val="none" w:color="FFFFFF" w:sz="0"/>
            </w:tcBorders>
            <w:shd w:fill="0F766E" w:val="clear"/>
          </w:tcPr>
          <w:p>
            <w:pPr>
              <w:spacing w:after="120" w:before="0"/>
              <w:jc w:val="left"/>
            </w:pPr>
            <w:r>
              <w:rPr>
                <w:rFonts w:ascii="Arial" w:cs="Arial" w:eastAsia="Arial" w:hAnsi="Arial"/>
                <w:b w:val="false"/>
                <w:bCs w:val="false"/>
                <w:color w:val="111827"/>
                <w:sz w:val="22"/>
                <w:szCs w:val="22"/>
              </w:rPr>
              <w:t xml:space="preserve"/>
            </w:r>
          </w:p>
        </w:tc>
        <w:tc>
          <w:tcPr>
            <w:tcW w:type="dxa" w:w="10124"/>
            <w:tcBorders>
              <w:top w:val="none" w:color="FFFFFF" w:sz="0"/>
              <w:left w:val="none" w:color="FFFFFF" w:sz="0"/>
              <w:bottom w:val="none" w:color="FFFFFF" w:sz="0"/>
              <w:right w:val="none" w:color="FFFFFF" w:sz="0"/>
            </w:tcBorders>
            <w:shd w:fill="ECFDF5" w:val="clear"/>
            <w:tcMar>
              <w:top w:type="dxa" w:w="100"/>
              <w:left w:type="dxa" w:w="160"/>
              <w:bottom w:type="dxa" w:w="100"/>
              <w:right w:type="dxa" w:w="160"/>
            </w:tcMar>
          </w:tcPr>
          <w:p>
            <w:pPr>
              <w:spacing w:after="40" w:before="0"/>
              <w:jc w:val="left"/>
            </w:pPr>
            <w:r>
              <w:rPr>
                <w:rFonts w:ascii="Arial" w:cs="Arial" w:eastAsia="Arial" w:hAnsi="Arial"/>
                <w:b/>
                <w:bCs/>
                <w:color w:val="111827"/>
                <w:sz w:val="20"/>
                <w:szCs w:val="20"/>
              </w:rPr>
              <w:t xml:space="preserve">Revenue vs Cost Context</w:t>
            </w:r>
          </w:p>
          <w:p>
            <w:pPr>
              <w:spacing w:after="120" w:before="0"/>
              <w:jc w:val="left"/>
            </w:pPr>
            <w:r>
              <w:rPr>
                <w:rFonts w:ascii="Arial" w:cs="Arial" w:eastAsia="Arial" w:hAnsi="Arial"/>
                <w:b w:val="false"/>
                <w:bCs w:val="false"/>
                <w:color w:val="4B5563"/>
                <w:sz w:val="19"/>
                <w:szCs w:val="19"/>
              </w:rPr>
              <w:t xml:space="preserve">If 70K users file at ₹499 each → ₹3.5 crore revenue in July alone. July infra cost ₹2,25,800 = 0.64% of July revenue. Every ₹1 spent on infrastructure generates ₹155 in revenue. Extremely capital-efficient at scale.</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6.3  Annual Total — Bootstrap Budget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000"/>
        <w:gridCol w:w="1800"/>
        <w:gridCol w:w="1224"/>
      </w:tblGrid>
      <w:tr>
        <w:trPr>
          <w:tblHeader/>
        </w:trPr>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Period</w:t>
            </w:r>
          </w:p>
        </w:tc>
        <w:tc>
          <w:tcPr>
            <w:tcW w:type="dxa" w:w="16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Duration</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Infra</w:t>
            </w:r>
          </w:p>
        </w:tc>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Monthly People</w:t>
            </w:r>
          </w:p>
        </w:tc>
        <w:tc>
          <w:tcPr>
            <w:tcW w:type="dxa" w:w="18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Period Total</w:t>
            </w:r>
          </w:p>
        </w:tc>
        <w:tc>
          <w:tcPr>
            <w:tcW w:type="dxa" w:w="12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Notes</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MVP Month 1</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month</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₹16,350</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₹2,75,000</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₹2,91,350</w:t>
            </w:r>
          </w:p>
        </w:tc>
        <w:tc>
          <w:tcPr>
            <w:tcW w:type="dxa" w:w="1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Includes ₹75K one-time legal/setup</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MVP Month 2–3</w:t>
            </w:r>
          </w:p>
        </w:tc>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 months</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₹16,350</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₹2,00,000</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₹4,32,700</w:t>
            </w:r>
          </w:p>
        </w:tc>
        <w:tc>
          <w:tcPr>
            <w:tcW w:type="dxa" w:w="1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Founders + backend contract</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Phase 2 (M4–6)</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 months</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₹25,000</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₹2,90,000</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₹9,45,000</w:t>
            </w:r>
          </w:p>
        </w:tc>
        <w:tc>
          <w:tcPr>
            <w:tcW w:type="dxa" w:w="1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Add support + CA consultant</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Pre-July (Month 7)</w:t>
            </w:r>
          </w:p>
        </w:tc>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month</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₹35,000</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₹3,00,000</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₹3,35,000</w:t>
            </w:r>
          </w:p>
        </w:tc>
        <w:tc>
          <w:tcPr>
            <w:tcW w:type="dxa" w:w="1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Prep for peak season</w:t>
            </w:r>
          </w:p>
        </w:tc>
      </w:tr>
      <w:tr>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July Peak (Month 8)</w:t>
            </w:r>
          </w:p>
        </w:tc>
        <w:tc>
          <w:tcPr>
            <w:tcW w:type="dxa" w:w="16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month</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₹2,25,800</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₹3,50,000</w:t>
            </w:r>
          </w:p>
        </w:tc>
        <w:tc>
          <w:tcPr>
            <w:tcW w:type="dxa" w:w="18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₹5,75,800</w:t>
            </w:r>
          </w:p>
        </w:tc>
        <w:tc>
          <w:tcPr>
            <w:tcW w:type="dxa" w:w="12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Peak infra + extra support</w:t>
            </w:r>
          </w:p>
        </w:tc>
      </w:tr>
      <w:tr>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Post-July (M9–12)</w:t>
            </w:r>
          </w:p>
        </w:tc>
        <w:tc>
          <w:tcPr>
            <w:tcW w:type="dxa" w:w="16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4 months</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0F766E"/>
                <w:sz w:val="19"/>
                <w:szCs w:val="19"/>
              </w:rPr>
              <w:t xml:space="preserve">₹45,000</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₹3,50,000</w:t>
            </w:r>
          </w:p>
        </w:tc>
        <w:tc>
          <w:tcPr>
            <w:tcW w:type="dxa" w:w="18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₹15,80,000</w:t>
            </w:r>
          </w:p>
        </w:tc>
        <w:tc>
          <w:tcPr>
            <w:tcW w:type="dxa" w:w="12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Scale down infra after July</w:t>
            </w:r>
          </w:p>
        </w:tc>
      </w:tr>
      <w:tr>
        <w:tc>
          <w:tcPr>
            <w:tcW w:type="dxa" w:w="7200"/>
            <w:gridSpan w:val="4"/>
            <w:tcBorders>
              <w:top w:val="single" w:color="5B5EC7" w:sz="6"/>
              <w:left w:val="single" w:color="5B5EC7" w:sz="6"/>
              <w:bottom w:val="single" w:color="5B5EC7" w:sz="6"/>
              <w:right w:val="single" w:color="5B5EC7" w:sz="6"/>
            </w:tcBorders>
            <w:shd w:fill="5B5EC7" w:val="clear"/>
            <w:tcMar>
              <w:top w:type="dxa" w:w="120"/>
              <w:left w:type="dxa" w:w="120"/>
              <w:bottom w:type="dxa" w:w="120"/>
              <w:right w:type="dxa" w:w="120"/>
            </w:tcMar>
          </w:tcPr>
          <w:p>
            <w:pPr>
              <w:spacing w:after="120" w:before="0"/>
              <w:jc w:val="left"/>
            </w:pPr>
            <w:r>
              <w:rPr>
                <w:rFonts w:ascii="Arial" w:cs="Arial" w:eastAsia="Arial" w:hAnsi="Arial"/>
                <w:b/>
                <w:bCs/>
                <w:color w:val="FFFFFF"/>
                <w:sz w:val="24"/>
                <w:szCs w:val="24"/>
              </w:rPr>
              <w:t xml:space="preserve">YEAR 1 TOTAL (Infra + People + Legal + Marketing)</w:t>
            </w:r>
          </w:p>
        </w:tc>
        <w:tc>
          <w:tcPr>
            <w:tcW w:type="dxa" w:w="3024"/>
            <w:gridSpan w:val="2"/>
            <w:tcBorders>
              <w:top w:val="single" w:color="5B5EC7" w:sz="6"/>
              <w:left w:val="single" w:color="5B5EC7" w:sz="6"/>
              <w:bottom w:val="single" w:color="5B5EC7" w:sz="6"/>
              <w:right w:val="single" w:color="5B5EC7" w:sz="6"/>
            </w:tcBorders>
            <w:shd w:fill="5B5EC7" w:val="clear"/>
            <w:tcMar>
              <w:top w:type="dxa" w:w="120"/>
              <w:left w:type="dxa" w:w="120"/>
              <w:bottom w:type="dxa" w:w="120"/>
              <w:right w:type="dxa" w:w="120"/>
            </w:tcMar>
          </w:tcPr>
          <w:p>
            <w:pPr>
              <w:spacing w:after="120" w:before="0"/>
              <w:jc w:val="right"/>
            </w:pPr>
            <w:r>
              <w:rPr>
                <w:rFonts w:ascii="Arial" w:cs="Arial" w:eastAsia="Arial" w:hAnsi="Arial"/>
                <w:b/>
                <w:bCs/>
                <w:color w:val="FFFFFF"/>
                <w:sz w:val="30"/>
                <w:szCs w:val="30"/>
              </w:rPr>
              <w:t xml:space="preserve">₹41,60,000</w:t>
            </w:r>
          </w:p>
        </w:tc>
      </w:tr>
    </w:tbl>
    <w:p>
      <w:pPr>
        <w:spacing w:after="120" w:before="0"/>
        <w:jc w:val="left"/>
      </w:pPr>
      <w:r>
        <w:rPr>
          <w:rFonts w:ascii="Arial" w:cs="Arial" w:eastAsia="Arial" w:hAnsi="Arial"/>
          <w:b w:val="false"/>
          <w:bCs w:val="false"/>
          <w:color w:val="111827"/>
          <w:sz w:val="22"/>
          <w:szCs w:val="22"/>
        </w:rPr>
        <w:t xml:space="preserve"/>
      </w:r>
    </w:p>
    <w:p>
      <w:pPr>
        <w:spacing w:after="120" w:before="280"/>
      </w:pPr>
      <w:r>
        <w:rPr>
          <w:rFonts w:ascii="Arial" w:cs="Arial" w:eastAsia="Arial" w:hAnsi="Arial"/>
          <w:b/>
          <w:bCs/>
          <w:color w:val="5B5EC7"/>
          <w:sz w:val="26"/>
          <w:szCs w:val="26"/>
        </w:rPr>
        <w:t xml:space="preserve">6.4  One-Time Setup Costs (Month 1 — Do Before Writing Code)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3024"/>
      </w:tblGrid>
      <w:tr>
        <w:trPr>
          <w:tblHeader/>
        </w:trPr>
        <w:tc>
          <w:tcPr>
            <w:tcW w:type="dxa" w:w="32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Item</w:t>
            </w:r>
          </w:p>
        </w:tc>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Cost (INR)</w:t>
            </w:r>
          </w:p>
        </w:tc>
        <w:tc>
          <w:tcPr>
            <w:tcW w:type="dxa" w:w="2000"/>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Timeline</w:t>
            </w:r>
          </w:p>
        </w:tc>
        <w:tc>
          <w:tcPr>
            <w:tcW w:type="dxa" w:w="3024"/>
            <w:tcBorders>
              <w:top w:val="single" w:color="5B5EC7" w:sz="4"/>
              <w:left w:val="single" w:color="5B5EC7" w:sz="4"/>
              <w:bottom w:val="single" w:color="5B5EC7" w:sz="4"/>
              <w:right w:val="single" w:color="5B5EC7" w:sz="4"/>
            </w:tcBorders>
            <w:shd w:fill="5B5EC7" w:val="clear"/>
            <w:tcMar>
              <w:top w:type="dxa" w:w="80"/>
              <w:left w:type="dxa" w:w="120"/>
              <w:bottom w:type="dxa" w:w="80"/>
              <w:right w:type="dxa" w:w="120"/>
            </w:tcMar>
            <w:vAlign w:val="center"/>
          </w:tcPr>
          <w:p>
            <w:pPr>
              <w:spacing w:after="120" w:before="0"/>
              <w:jc w:val="left"/>
            </w:pPr>
            <w:r>
              <w:rPr>
                <w:rFonts w:ascii="Arial" w:cs="Arial" w:eastAsia="Arial" w:hAnsi="Arial"/>
                <w:b/>
                <w:bCs/>
                <w:color w:val="FFFFFF"/>
                <w:sz w:val="19"/>
                <w:szCs w:val="19"/>
              </w:rPr>
              <w:t xml:space="preserve">Notes</w:t>
            </w:r>
          </w:p>
        </w:tc>
      </w:tr>
      <w:tr>
        <w:tc>
          <w:tcPr>
            <w:tcW w:type="dxa" w:w="3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Pvt Ltd company registration (via CA)</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₹10,000–₹25,000</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7–15 days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Via CA or Razorpay Rize / IndiaFilings</w:t>
            </w:r>
          </w:p>
        </w:tc>
      </w:tr>
      <w:tr>
        <w:tc>
          <w:tcPr>
            <w:tcW w:type="dxa" w:w="3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Class III DSC (eMudhra or Sify)</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₹1,500–₹3,000/year</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3–7 days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Required for MCA filings and future ERI</w:t>
            </w:r>
          </w:p>
        </w:tc>
      </w:tr>
      <w:tr>
        <w:tc>
          <w:tcPr>
            <w:tcW w:type="dxa" w:w="3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DLT SMS registration (TRAI portal)</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 (FREE)</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3–7 days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MANDATORY before any OTP SMS. Do Day 1.</w:t>
            </w:r>
          </w:p>
        </w:tc>
      </w:tr>
      <w:tr>
        <w:tc>
          <w:tcPr>
            <w:tcW w:type="dxa" w:w="3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Privacy lawyer + DPDP compliance</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₹40,000–₹60,000</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2–3 weeks</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T&amp;C, Privacy Policy, consent flows, data deletion</w:t>
            </w:r>
          </w:p>
        </w:tc>
      </w:tr>
      <w:tr>
        <w:tc>
          <w:tcPr>
            <w:tcW w:type="dxa" w:w="3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GST registration</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₹3,000–₹5,000</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5–10 days</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Required when revenue &gt;₹20 lakh/year</w:t>
            </w:r>
          </w:p>
        </w:tc>
      </w:tr>
      <w:tr>
        <w:tc>
          <w:tcPr>
            <w:tcW w:type="dxa" w:w="3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Domain + SSL + email setup</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₹3,000/year</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day</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taxsaathi.com + Google Workspace for team</w:t>
            </w:r>
          </w:p>
        </w:tc>
      </w:tr>
      <w:tr>
        <w:tc>
          <w:tcPr>
            <w:tcW w:type="dxa" w:w="32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Figma Pro (all screen designs)</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₹15,000/year</w:t>
            </w:r>
          </w:p>
        </w:tc>
        <w:tc>
          <w:tcPr>
            <w:tcW w:type="dxa" w:w="2000"/>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Immediate</w:t>
            </w:r>
          </w:p>
        </w:tc>
        <w:tc>
          <w:tcPr>
            <w:tcW w:type="dxa" w:w="3024"/>
            <w:tcBorders>
              <w:top w:val="single" w:color="E5E7EB" w:sz="4"/>
              <w:left w:val="single" w:color="E5E7EB" w:sz="4"/>
              <w:bottom w:val="single" w:color="E5E7EB" w:sz="4"/>
              <w:right w:val="single" w:color="E5E7EB" w:sz="4"/>
            </w:tcBorders>
            <w:shd w:fill="FFFFFF"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Design all 8+ screens before coding</w:t>
            </w:r>
          </w:p>
        </w:tc>
      </w:tr>
      <w:tr>
        <w:tc>
          <w:tcPr>
            <w:tcW w:type="dxa" w:w="32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111827"/>
                <w:sz w:val="19"/>
                <w:szCs w:val="19"/>
              </w:rPr>
              <w:t xml:space="preserve">AWS account + initial setup</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bCs/>
                <w:color w:val="5B5EC7"/>
                <w:sz w:val="19"/>
                <w:szCs w:val="19"/>
              </w:rPr>
              <w:t xml:space="preserve">₹0 (free tier)</w:t>
            </w:r>
          </w:p>
        </w:tc>
        <w:tc>
          <w:tcPr>
            <w:tcW w:type="dxa" w:w="2000"/>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1 day</w:t>
            </w:r>
          </w:p>
        </w:tc>
        <w:tc>
          <w:tcPr>
            <w:tcW w:type="dxa" w:w="3024"/>
            <w:tcBorders>
              <w:top w:val="single" w:color="E5E7EB" w:sz="4"/>
              <w:left w:val="single" w:color="E5E7EB" w:sz="4"/>
              <w:bottom w:val="single" w:color="E5E7EB" w:sz="4"/>
              <w:right w:val="single" w:color="E5E7EB" w:sz="4"/>
            </w:tcBorders>
            <w:shd w:fill="F9FAFB" w:val="clear"/>
            <w:tcMar>
              <w:top w:type="dxa" w:w="70"/>
              <w:left w:type="dxa" w:w="120"/>
              <w:bottom w:type="dxa" w:w="70"/>
              <w:right w:type="dxa" w:w="120"/>
            </w:tcMar>
            <w:vAlign w:val="center"/>
          </w:tcPr>
          <w:p>
            <w:pPr>
              <w:spacing w:after="120" w:before="0"/>
              <w:jc w:val="left"/>
            </w:pPr>
            <w:r>
              <w:rPr>
                <w:rFonts w:ascii="Arial" w:cs="Arial" w:eastAsia="Arial" w:hAnsi="Arial"/>
                <w:b w:val="false"/>
                <w:bCs w:val="false"/>
                <w:color w:val="4B5563"/>
                <w:sz w:val="19"/>
                <w:szCs w:val="19"/>
              </w:rPr>
              <w:t xml:space="preserve">Use AWS free tier for 12 months initially</w:t>
            </w:r>
          </w:p>
        </w:tc>
      </w:tr>
      <w:tr>
        <w:tc>
          <w:tcPr>
            <w:tcW w:type="dxa" w:w="3200"/>
            <w:tcBorders>
              <w:top w:val="single" w:color="E5E7EB" w:sz="6"/>
              <w:left w:val="single" w:color="E5E7EB" w:sz="6"/>
              <w:bottom w:val="single" w:color="E5E7EB" w:sz="6"/>
              <w:right w:val="single" w:color="E5E7EB" w:sz="6"/>
            </w:tcBorders>
            <w:shd w:fill="F9FAFB" w:val="clear"/>
            <w:tcMar>
              <w:top w:type="dxa" w:w="100"/>
              <w:left w:type="dxa" w:w="120"/>
              <w:bottom w:type="dxa" w:w="100"/>
              <w:right w:type="dxa" w:w="120"/>
            </w:tcMar>
          </w:tcPr>
          <w:p>
            <w:pPr>
              <w:spacing w:after="120" w:before="0"/>
              <w:jc w:val="left"/>
            </w:pPr>
            <w:r>
              <w:rPr>
                <w:rFonts w:ascii="Arial" w:cs="Arial" w:eastAsia="Arial" w:hAnsi="Arial"/>
                <w:b/>
                <w:bCs/>
                <w:color w:val="111827"/>
                <w:sz w:val="22"/>
                <w:szCs w:val="22"/>
              </w:rPr>
              <w:t xml:space="preserve">TOTAL ONE-TIME SETUP</w:t>
            </w:r>
          </w:p>
        </w:tc>
        <w:tc>
          <w:tcPr>
            <w:tcW w:type="dxa" w:w="2000"/>
            <w:tcBorders>
              <w:top w:val="single" w:color="E5E7EB" w:sz="6"/>
              <w:left w:val="single" w:color="E5E7EB" w:sz="6"/>
              <w:bottom w:val="single" w:color="E5E7EB" w:sz="6"/>
              <w:right w:val="single" w:color="E5E7EB" w:sz="6"/>
            </w:tcBorders>
            <w:shd w:fill="F9FAFB" w:val="clear"/>
            <w:tcMar>
              <w:top w:type="dxa" w:w="100"/>
              <w:left w:type="dxa" w:w="120"/>
              <w:bottom w:type="dxa" w:w="100"/>
              <w:right w:type="dxa" w:w="120"/>
            </w:tcMar>
          </w:tcPr>
          <w:p>
            <w:pPr>
              <w:spacing w:after="120" w:before="0"/>
              <w:jc w:val="left"/>
            </w:pPr>
            <w:r>
              <w:rPr>
                <w:rFonts w:ascii="Arial" w:cs="Arial" w:eastAsia="Arial" w:hAnsi="Arial"/>
                <w:b/>
                <w:bCs/>
                <w:color w:val="5B5EC7"/>
                <w:sz w:val="22"/>
                <w:szCs w:val="22"/>
              </w:rPr>
              <w:t xml:space="preserve">₹75,000–₹1,10,000</w:t>
            </w:r>
          </w:p>
        </w:tc>
        <w:tc>
          <w:tcPr>
            <w:tcW w:type="dxa" w:w="5024"/>
            <w:gridSpan w:val="2"/>
            <w:tcBorders>
              <w:top w:val="single" w:color="E5E7EB" w:sz="6"/>
              <w:left w:val="single" w:color="E5E7EB" w:sz="6"/>
              <w:bottom w:val="single" w:color="E5E7EB" w:sz="6"/>
              <w:right w:val="single" w:color="E5E7EB" w:sz="6"/>
            </w:tcBorders>
            <w:shd w:fill="F9FAFB" w:val="clear"/>
            <w:tcMar>
              <w:top w:type="dxa" w:w="100"/>
              <w:left w:type="dxa" w:w="120"/>
              <w:bottom w:type="dxa" w:w="100"/>
              <w:right w:type="dxa" w:w="120"/>
            </w:tcMar>
          </w:tcPr>
          <w:p>
            <w:pPr>
              <w:spacing w:after="120" w:before="0"/>
              <w:jc w:val="left"/>
            </w:pPr>
            <w:r>
              <w:rPr>
                <w:rFonts w:ascii="Arial" w:cs="Arial" w:eastAsia="Arial" w:hAnsi="Arial"/>
                <w:b w:val="false"/>
                <w:bCs w:val="false"/>
                <w:color w:val="4B5563"/>
                <w:sz w:val="18"/>
                <w:szCs w:val="18"/>
              </w:rPr>
              <w:t xml:space="preserve">Complete before any development begins. Legal setup is the critical path.</w:t>
            </w:r>
          </w:p>
        </w:tc>
      </w:tr>
    </w:tbl>
    <w:p>
      <w:pPr>
        <w:spacing w:after="120" w:before="0"/>
        <w:jc w:val="left"/>
      </w:pPr>
      <w:r>
        <w:rPr>
          <w:rFonts w:ascii="Arial" w:cs="Arial" w:eastAsia="Arial" w:hAnsi="Arial"/>
          <w:b w:val="false"/>
          <w:bCs w:val="false"/>
          <w:color w:val="111827"/>
          <w:sz w:val="22"/>
          <w:szCs w:val="22"/>
        </w:rPr>
        <w:t xml:space="preserve"/>
      </w:r>
    </w:p>
    <w:p>
      <w:pPr>
        <w:spacing w:after="120" w:before="0"/>
        <w:jc w:val="left"/>
      </w:pPr>
      <w:r>
        <w:rPr>
          <w:rFonts w:ascii="Arial" w:cs="Arial" w:eastAsia="Arial" w:hAnsi="Arial"/>
          <w:b w:val="false"/>
          <w:bCs w:val="false"/>
          <w:color w:val="111827"/>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color="FFFFFF" w:sz="0"/>
              <w:left w:val="none" w:color="FFFFFF" w:sz="0"/>
              <w:bottom w:val="none" w:color="FFFFFF" w:sz="0"/>
              <w:right w:val="none" w:color="FFFFFF" w:sz="0"/>
            </w:tcBorders>
            <w:shd w:fill="5B5EC7" w:val="clear"/>
            <w:tcMar>
              <w:top w:type="dxa" w:w="200"/>
              <w:left w:type="dxa" w:w="240"/>
              <w:bottom w:type="dxa" w:w="200"/>
              <w:right w:type="dxa" w:w="240"/>
            </w:tcMar>
          </w:tcPr>
          <w:p>
            <w:pPr>
              <w:spacing w:after="100" w:before="0"/>
              <w:jc w:val="center"/>
            </w:pPr>
            <w:r>
              <w:rPr>
                <w:rFonts w:ascii="Arial" w:cs="Arial" w:eastAsia="Arial" w:hAnsi="Arial"/>
                <w:b/>
                <w:bCs/>
                <w:color w:val="FFFFFF"/>
                <w:sz w:val="28"/>
                <w:szCs w:val="28"/>
              </w:rPr>
              <w:t xml:space="preserve">Architecture Summary</w:t>
            </w:r>
          </w:p>
          <w:p>
            <w:pPr>
              <w:spacing w:after="80" w:before="0"/>
              <w:jc w:val="center"/>
            </w:pPr>
            <w:r>
              <w:rPr>
                <w:rFonts w:ascii="Arial" w:cs="Arial" w:eastAsia="Arial" w:hAnsi="Arial"/>
                <w:b w:val="false"/>
                <w:bCs w:val="false"/>
                <w:color w:val="D4D4F4"/>
                <w:sz w:val="22"/>
                <w:szCs w:val="22"/>
              </w:rPr>
              <w:t xml:space="preserve">No Govt APIs  •  Form 16 OCR Only  •  100K Peak: ₹2.26L infra  •  Break-even: Month 8</w:t>
            </w:r>
          </w:p>
          <w:p>
            <w:pPr>
              <w:spacing w:after="120" w:before="0"/>
              <w:jc w:val="center"/>
            </w:pPr>
            <w:r>
              <w:rPr>
                <w:rFonts w:ascii="Arial" w:cs="Arial" w:eastAsia="Arial" w:hAnsi="Arial"/>
                <w:b w:val="false"/>
                <w:bCs w:val="false"/>
                <w:color w:val="B0B0F0"/>
                <w:sz w:val="20"/>
                <w:szCs w:val="20"/>
              </w:rPr>
              <w:t xml:space="preserve">"Maximum lawful refund or minimum lawful tax payable — with proof-backed confidence."</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0"/>
      <w:jc w:val="center"/>
    </w:pPr>
    <w:r>
      <w:rPr>
        <w:rFonts w:ascii="Arial" w:cs="Arial" w:eastAsia="Arial" w:hAnsi="Arial"/>
        <w:b w:val="false"/>
        <w:bCs w:val="false"/>
        <w:color w:val="4B5563"/>
        <w:sz w:val="16"/>
        <w:szCs w:val="16"/>
      </w:rPr>
      <w:t xml:space="preserve">TaxSaathi © 2025  •  Bootstrap Startup Edition  •  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b w:val="false"/>
        <w:bCs w:val="false"/>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0"/>
      <w:jc w:val="right"/>
    </w:pPr>
    <w:r>
      <w:rPr>
        <w:rFonts w:ascii="Arial" w:cs="Arial" w:eastAsia="Arial" w:hAnsi="Arial"/>
        <w:b w:val="false"/>
        <w:bCs w:val="false"/>
        <w:color w:val="4B5563"/>
        <w:sz w:val="16"/>
        <w:szCs w:val="16"/>
      </w:rPr>
      <w:t xml:space="preserve">TaxSaathi Confidence AI — CTO Architecture Blueprint | Confidential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2026-06-05T04:25:42.985Z</dcterms:created>
  <dcterms:modified xsi:type="dcterms:W3CDTF">2026-06-05T04:25:43.003Z</dcterms:modified>
</cp:coreProperties>
</file>

<file path=docProps/custom.xml><?xml version="1.0" encoding="utf-8"?>
<Properties xmlns="http://schemas.openxmlformats.org/officeDocument/2006/custom-properties" xmlns:vt="http://schemas.openxmlformats.org/officeDocument/2006/docPropsVTypes"/>
</file>