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When the Leaderboard Flips</w:t>
      </w:r>
    </w:p>
    <w:p>
      <w:pPr>
        <w:jc w:val="center"/>
      </w:pPr>
      <w:r>
        <w:rPr>
          <w:b/>
        </w:rPr>
        <w:t>M20 Initial Capstone Report — Executive Summary</w:t>
      </w:r>
    </w:p>
    <w:p>
      <w:pPr>
        <w:jc w:val="center"/>
      </w:pPr>
      <w:r>
        <w:t>Perturbation-Dependent Ranking in Large Language Model Evaluation</w:t>
      </w:r>
    </w:p>
    <w:p>
      <w:pPr>
        <w:pStyle w:val="Heading1"/>
      </w:pPr>
      <w:r>
        <w:t>Research question</w:t>
      </w:r>
    </w:p>
    <w:p>
      <w:r>
        <w:t>Can characteristics of large language models, tasks, and controlled evaluation conditions predict when performance remains stable or changes, including changes in relative model ranking?</w:t>
      </w:r>
    </w:p>
    <w:p>
      <w:pPr>
        <w:pStyle w:val="Heading1"/>
      </w:pPr>
      <w:r>
        <w:t>Experimental design</w:t>
      </w:r>
    </w:p>
    <w:p>
      <w:r>
        <w:t>Block A contains 50 frozen source questions (25 ARC-Challenge and 25 GSM8K), five controlled evaluation conditions, and four LLMs, yielding 1,000 production observations. Prompt identity, scoring, the experimental grid, and raw-to-final correspondence were jointly audited before analysis. All 50 Block-A source items passed the predeclared QA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Model</w:t>
            </w:r>
          </w:p>
        </w:tc>
        <w:tc>
          <w:tcPr>
            <w:tcW w:type="dxa" w:w="2520"/>
          </w:tcPr>
          <w:p>
            <w:r>
              <w:t>Correct</w:t>
            </w:r>
          </w:p>
        </w:tc>
        <w:tc>
          <w:tcPr>
            <w:tcW w:type="dxa" w:w="2520"/>
          </w:tcPr>
          <w:p>
            <w:r>
              <w:t>Total</w:t>
            </w:r>
          </w:p>
        </w:tc>
        <w:tc>
          <w:tcPr>
            <w:tcW w:type="dxa" w:w="2520"/>
          </w:tcPr>
          <w:p>
            <w:r>
              <w:t>Accuracy</w:t>
            </w:r>
          </w:p>
        </w:tc>
      </w:tr>
      <w:tr>
        <w:tc>
          <w:tcPr>
            <w:tcW w:type="dxa" w:w="2520"/>
          </w:tcPr>
          <w:p>
            <w:r>
              <w:t>Gemini 3.5 Flash Lite</w:t>
            </w:r>
          </w:p>
        </w:tc>
        <w:tc>
          <w:tcPr>
            <w:tcW w:type="dxa" w:w="2520"/>
          </w:tcPr>
          <w:p>
            <w:r>
              <w:t>250</w:t>
            </w:r>
          </w:p>
        </w:tc>
        <w:tc>
          <w:tcPr>
            <w:tcW w:type="dxa" w:w="2520"/>
          </w:tcPr>
          <w:p>
            <w:r>
              <w:t>250</w:t>
            </w:r>
          </w:p>
        </w:tc>
        <w:tc>
          <w:tcPr>
            <w:tcW w:type="dxa" w:w="2520"/>
          </w:tcPr>
          <w:p>
            <w:r>
              <w:t>100.0%</w:t>
            </w:r>
          </w:p>
        </w:tc>
      </w:tr>
      <w:tr>
        <w:tc>
          <w:tcPr>
            <w:tcW w:type="dxa" w:w="2520"/>
          </w:tcPr>
          <w:p>
            <w:r>
              <w:t>Qwen 3.8-27B</w:t>
            </w:r>
          </w:p>
        </w:tc>
        <w:tc>
          <w:tcPr>
            <w:tcW w:type="dxa" w:w="2520"/>
          </w:tcPr>
          <w:p>
            <w:r>
              <w:t>249</w:t>
            </w:r>
          </w:p>
        </w:tc>
        <w:tc>
          <w:tcPr>
            <w:tcW w:type="dxa" w:w="2520"/>
          </w:tcPr>
          <w:p>
            <w:r>
              <w:t>250</w:t>
            </w:r>
          </w:p>
        </w:tc>
        <w:tc>
          <w:tcPr>
            <w:tcW w:type="dxa" w:w="2520"/>
          </w:tcPr>
          <w:p>
            <w:r>
              <w:t>99.6%</w:t>
            </w:r>
          </w:p>
        </w:tc>
      </w:tr>
      <w:tr>
        <w:tc>
          <w:tcPr>
            <w:tcW w:type="dxa" w:w="2520"/>
          </w:tcPr>
          <w:p>
            <w:r>
              <w:t>GPT-OSS-20B</w:t>
            </w:r>
          </w:p>
        </w:tc>
        <w:tc>
          <w:tcPr>
            <w:tcW w:type="dxa" w:w="2520"/>
          </w:tcPr>
          <w:p>
            <w:r>
              <w:t>248</w:t>
            </w:r>
          </w:p>
        </w:tc>
        <w:tc>
          <w:tcPr>
            <w:tcW w:type="dxa" w:w="2520"/>
          </w:tcPr>
          <w:p>
            <w:r>
              <w:t>250</w:t>
            </w:r>
          </w:p>
        </w:tc>
        <w:tc>
          <w:tcPr>
            <w:tcW w:type="dxa" w:w="2520"/>
          </w:tcPr>
          <w:p>
            <w:r>
              <w:t>99.2%</w:t>
            </w:r>
          </w:p>
        </w:tc>
      </w:tr>
      <w:tr>
        <w:tc>
          <w:tcPr>
            <w:tcW w:type="dxa" w:w="2520"/>
          </w:tcPr>
          <w:p>
            <w:r>
              <w:t>GPT-OSS-120B</w:t>
            </w:r>
          </w:p>
        </w:tc>
        <w:tc>
          <w:tcPr>
            <w:tcW w:type="dxa" w:w="2520"/>
          </w:tcPr>
          <w:p>
            <w:r>
              <w:t>243</w:t>
            </w:r>
          </w:p>
        </w:tc>
        <w:tc>
          <w:tcPr>
            <w:tcW w:type="dxa" w:w="2520"/>
          </w:tcPr>
          <w:p>
            <w:r>
              <w:t>250</w:t>
            </w:r>
          </w:p>
        </w:tc>
        <w:tc>
          <w:tcPr>
            <w:tcW w:type="dxa" w:w="2520"/>
          </w:tcPr>
          <w:p>
            <w:r>
              <w:t>97.2%</w:t>
            </w:r>
          </w:p>
        </w:tc>
      </w:tr>
    </w:tbl>
    <w:p>
      <w:pPr>
        <w:pStyle w:val="Heading1"/>
      </w:pPr>
      <w:r>
        <w:t>Initial findings</w:t>
      </w:r>
    </w:p>
    <w:p>
      <w:pPr>
        <w:pStyle w:val="ListBullet"/>
      </w:pPr>
      <w:r>
        <w:t>Aggregate accuracy is near ceiling, but the ten errors are concentrated in three source questions rather than distributed uniformly.</w:t>
      </w:r>
    </w:p>
    <w:p>
      <w:pPr>
        <w:pStyle w:val="ListBullet"/>
      </w:pPr>
      <w:r>
        <w:t>Perturbation effects are model dependent: some conditions introduce errors while others repair baseline errors.</w:t>
      </w:r>
    </w:p>
    <w:p>
      <w:pPr>
        <w:pStyle w:val="ListBullet"/>
      </w:pPr>
      <w:r>
        <w:t>Relative model ranking/ties change across evaluation conditions, showing that model comparison can depend on how the evaluation is instantiated.</w:t>
      </w:r>
    </w:p>
    <w:p>
      <w:pPr>
        <w:pStyle w:val="ListBullet"/>
      </w:pPr>
      <w:r>
        <w:t>The leakage-safe logistic-regression baseline achieves 86.5% ordinary accuracy but only 43.8% balanced accuracy and detects none of the three test-set errors. This reflects extreme class imbalance rather than strong failure prediction.</w:t>
      </w:r>
    </w:p>
    <w:p>
      <w:r>
        <w:drawing>
          <wp:inline xmlns:a="http://schemas.openxmlformats.org/drawingml/2006/main" xmlns:pic="http://schemas.openxmlformats.org/drawingml/2006/picture">
            <wp:extent cx="5623560" cy="3559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dition_dependent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59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Accuracy by model and evaluation condition.</w:t>
      </w:r>
    </w:p>
    <w:p>
      <w:pPr>
        <w:pStyle w:val="Heading1"/>
      </w:pPr>
      <w:r>
        <w:t>Interpretation and next step</w:t>
      </w:r>
    </w:p>
    <w:p>
      <w:r>
        <w:t>Block A supports the capstone's central premise: a single aggregate benchmark score can conceal condition-dependent behavior relevant to model selection. However, only ten errors occur among 1,000 observations, so the supervised model is appropriately treated as a baseline workflow demonstration rather than a mature predictor. The pre-frozen Blocks B–D provide a principled M24 expansion without redefining the experiment after observing Block-A outcomes.</w:t>
      </w:r>
    </w:p>
    <w:p>
      <w:pPr>
        <w:pStyle w:val="Heading1"/>
      </w:pPr>
      <w:r>
        <w:t>Submission artifacts</w:t>
      </w:r>
    </w:p>
    <w:p>
      <w:r>
        <w:t>The package includes the final executable notebook, audited processed data, journal-quality PNG/PDF figures, reproducibility notes, and a repository README. No API keys or pilot/qualification observations are included.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