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100"/>
        <w:jc w:val="center"/>
      </w:pPr>
      <w:r>
        <w:rPr>
          <w:rFonts w:ascii="Cinzel" w:cs="Cinzel" w:eastAsia="Cinzel" w:hAnsi="Cinzel"/>
          <w:b/>
          <w:bCs/>
          <w:color w:val="C45911"/>
          <w:sz w:val="48"/>
          <w:szCs w:val="48"/>
        </w:rPr>
        <w:t xml:space="preserve">VEHICLE FORGE</w:t>
      </w:r>
    </w:p>
    <w:p>
      <w:pPr>
        <w:spacing w:after="40"/>
        <w:jc w:val="center"/>
      </w:pPr>
      <w:r>
        <w:rPr>
          <w:rFonts w:ascii="Cinzel" w:cs="Cinzel" w:eastAsia="Cinzel" w:hAnsi="Cinzel"/>
          <w:color w:val="E8E0D4"/>
          <w:sz w:val="28"/>
          <w:szCs w:val="28"/>
        </w:rPr>
        <w:t xml:space="preserve">Companion Guide</w:t>
      </w:r>
    </w:p>
    <w:p>
      <w:pPr>
        <w:spacing w:after="200"/>
        <w:jc w:val="center"/>
      </w:pPr>
      <w:r>
        <w:rPr>
          <w:rFonts w:ascii="Segoe UI" w:cs="Segoe UI" w:eastAsia="Segoe UI" w:hAnsi="Segoe UI"/>
          <w:color w:val="888888"/>
          <w:sz w:val="20"/>
          <w:szCs w:val="20"/>
        </w:rPr>
        <w:t xml:space="preserve">Version 7.0 — DiceForge Studios Ltd</w:t>
      </w:r>
    </w:p>
    <w:p>
      <w:pPr>
        <w:spacing w:after="400"/>
        <w:jc w:val="center"/>
      </w:pPr>
      <w:r>
        <w:rPr>
          <w:rFonts w:ascii="Segoe UI" w:cs="Segoe UI" w:eastAsia="Segoe UI" w:hAnsi="Segoe UI"/>
          <w:i/>
          <w:iCs/>
          <w:color w:val="888888"/>
          <w:sz w:val="22"/>
          <w:szCs w:val="22"/>
        </w:rPr>
        <w:t xml:space="preserve">A vehicle construction toolkit for Savage Worlds</w:t>
      </w:r>
    </w:p>
    <w:p>
      <w:pPr>
        <w:pStyle w:val="Heading1"/>
        <w:spacing w:before="360" w:after="200"/>
      </w:pPr>
      <w:r>
        <w:rPr>
          <w:rFonts w:ascii="Cinzel" w:cs="Cinzel" w:eastAsia="Cinzel" w:hAnsi="Cinzel"/>
          <w:b/>
          <w:bCs/>
          <w:color w:val="C45911"/>
          <w:sz w:val="32"/>
          <w:szCs w:val="32"/>
        </w:rPr>
        <w:t xml:space="preserve">What’s New in v7.0</w:t>
      </w:r>
    </w:p>
    <w:p>
      <w:pPr>
        <w:spacing w:after="12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E8E0D4"/>
          <w:sz w:val="20"/>
          <w:szCs w:val="20"/>
        </w:rPr>
        <w:t xml:space="preserve">Version 7.0 is a major overhaul of the armour and toughness system, replacing the six-tier Armour Technology buttons and three defensive modifications with a clean two-slider interface.</w:t>
      </w:r>
    </w:p>
    <w:p>
      <w:pPr>
        <w:spacing w:before="200" w:after="100"/>
      </w:pPr>
      <w:r>
        <w:rPr>
          <w:rFonts w:ascii="Segoe UI" w:cs="Segoe UI" w:eastAsia="Segoe UI" w:hAnsi="Segoe UI"/>
          <w:b/>
          <w:bCs/>
          <w:color w:val="C45911"/>
          <w:sz w:val="22"/>
          <w:szCs w:val="22"/>
        </w:rPr>
        <w:t xml:space="preserve">Armour System v2</w:t>
      </w:r>
    </w:p>
    <w:p>
      <w:pPr>
        <w:spacing w:after="12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E8E0D4"/>
          <w:sz w:val="20"/>
          <w:szCs w:val="20"/>
        </w:rPr>
        <w:t xml:space="preserve">The old system required two steps: pick an Armour Technology tier (Primitive through Exotic), then add Hull Plating, Composite Layering, or Reinforced Frame modifications. This was unintuitive and over-complex. The new system uses two independent sliders, each ranging from −5 to +5 with overflow buttons for extreme builds.</w:t>
      </w:r>
    </w:p>
    <w:p>
      <w:pPr>
        <w:spacing w:after="80"/>
      </w:pPr>
      <w:r>
        <w:rPr>
          <w:rFonts w:ascii="Segoe UI" w:cs="Segoe UI" w:eastAsia="Segoe UI" w:hAnsi="Segoe UI"/>
          <w:b/>
          <w:bCs/>
          <w:color w:val="C45911"/>
          <w:sz w:val="20"/>
          <w:szCs w:val="20"/>
        </w:rPr>
        <w:t xml:space="preserve">Toughness Slider: </w:t>
      </w:r>
      <w:r>
        <w:rPr>
          <w:rFonts w:ascii="Segoe UI" w:cs="Segoe UI" w:eastAsia="Segoe UI" w:hAnsi="Segoe UI"/>
          <w:color w:val="E8E0D4"/>
          <w:sz w:val="20"/>
          <w:szCs w:val="20"/>
        </w:rPr>
        <w:t xml:space="preserve">Controls structural mass and solidity — how big and solid the frame is, independent of protective plating. Labels range from Fragile (−5) through Standard (0) to Ironclad (+5).</w:t>
      </w:r>
    </w:p>
    <w:p>
      <w:pPr>
        <w:spacing w:after="80"/>
      </w:pPr>
      <w:r>
        <w:rPr>
          <w:rFonts w:ascii="Segoe UI" w:cs="Segoe UI" w:eastAsia="Segoe UI" w:hAnsi="Segoe UI"/>
          <w:b/>
          <w:bCs/>
          <w:color w:val="C45911"/>
          <w:sz w:val="20"/>
          <w:szCs w:val="20"/>
        </w:rPr>
        <w:t xml:space="preserve">Armour Slider: </w:t>
      </w:r>
      <w:r>
        <w:rPr>
          <w:rFonts w:ascii="Segoe UI" w:cs="Segoe UI" w:eastAsia="Segoe UI" w:hAnsi="Segoe UI"/>
          <w:color w:val="E8E0D4"/>
          <w:sz w:val="20"/>
          <w:szCs w:val="20"/>
        </w:rPr>
        <w:t xml:space="preserve">Controls protective plating — the parenthetical value that Armour Piercing specifically reduces. Labels range from Unprotected (−5) through Standard (0) to Maximum (+5).</w:t>
      </w:r>
    </w:p>
    <w:p>
      <w:pPr>
        <w:spacing w:after="80"/>
      </w:pPr>
      <w:r>
        <w:rPr>
          <w:rFonts w:ascii="Segoe UI" w:cs="Segoe UI" w:eastAsia="Segoe UI" w:hAnsi="Segoe UI"/>
          <w:b/>
          <w:bCs/>
          <w:color w:val="C45911"/>
          <w:sz w:val="20"/>
          <w:szCs w:val="20"/>
        </w:rPr>
        <w:t xml:space="preserve">Overflow Buttons: </w:t>
      </w:r>
      <w:r>
        <w:rPr>
          <w:rFonts w:ascii="Segoe UI" w:cs="Segoe UI" w:eastAsia="Segoe UI" w:hAnsi="Segoe UI"/>
          <w:color w:val="E8E0D4"/>
          <w:sz w:val="20"/>
          <w:szCs w:val="20"/>
        </w:rPr>
        <w:t xml:space="preserve">The − and + buttons extend beyond the slider range, following the d12+X convention familiar to Savage Worlds players. A vehicle at Maximum +3 has three clicks of extra armour beyond the slider cap.</w:t>
      </w:r>
    </w:p>
    <w:p>
      <w:pPr>
        <w:spacing w:after="80"/>
      </w:pPr>
      <w:r>
        <w:rPr>
          <w:rFonts w:ascii="Segoe UI" w:cs="Segoe UI" w:eastAsia="Segoe UI" w:hAnsi="Segoe UI"/>
          <w:b/>
          <w:bCs/>
          <w:color w:val="C45911"/>
          <w:sz w:val="20"/>
          <w:szCs w:val="20"/>
        </w:rPr>
        <w:t xml:space="preserve">Domain Awareness: </w:t>
      </w:r>
      <w:r>
        <w:rPr>
          <w:rFonts w:ascii="Segoe UI" w:cs="Segoe UI" w:eastAsia="Segoe UI" w:hAnsi="Segoe UI"/>
          <w:color w:val="E8E0D4"/>
          <w:sz w:val="20"/>
          <w:szCs w:val="20"/>
        </w:rPr>
        <w:t xml:space="preserve">Armour baselines automatically adjust when you change locomotion type. A Size 12 ground vehicle has a very different armour scale than a Size 12 patrol boat. The slider handles this seamlessly.</w:t>
      </w:r>
    </w:p>
    <w:p>
      <w:pPr>
        <w:spacing w:before="200" w:after="100"/>
      </w:pPr>
      <w:r>
        <w:rPr>
          <w:rFonts w:ascii="Segoe UI" w:cs="Segoe UI" w:eastAsia="Segoe UI" w:hAnsi="Segoe UI"/>
          <w:b/>
          <w:bCs/>
          <w:color w:val="C45911"/>
          <w:sz w:val="22"/>
          <w:szCs w:val="22"/>
        </w:rPr>
        <w:t xml:space="preserve">Removed in v7.0</w:t>
      </w:r>
    </w:p>
    <w:p>
      <w:pPr>
        <w:spacing w:after="12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E8E0D4"/>
          <w:sz w:val="20"/>
          <w:szCs w:val="20"/>
        </w:rPr>
        <w:t xml:space="preserve">Armour Technology buttons (Primitive, Forged, Industrial, Composite, Nanoweave, Exotic) — replaced by the Armour slider. Hull Plating modification — absorbed into the Armour slider. Composite Layering modification — absorbed into the Toughness slider. Reinforced Frame modification — absorbed into the Armour slider.</w:t>
      </w:r>
    </w:p>
    <w:p>
      <w:pPr>
        <w:spacing w:before="200" w:after="100"/>
      </w:pPr>
      <w:r>
        <w:rPr>
          <w:rFonts w:ascii="Segoe UI" w:cs="Segoe UI" w:eastAsia="Segoe UI" w:hAnsi="Segoe UI"/>
          <w:b/>
          <w:bCs/>
          <w:color w:val="C45911"/>
          <w:sz w:val="22"/>
          <w:szCs w:val="22"/>
        </w:rPr>
        <w:t xml:space="preserve">Display Format Fix</w:t>
      </w:r>
    </w:p>
    <w:p>
      <w:pPr>
        <w:spacing w:after="12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E8E0D4"/>
          <w:sz w:val="20"/>
          <w:szCs w:val="20"/>
        </w:rPr>
        <w:t xml:space="preserve">Toughness now displays in canonical Savage Worlds format: Total (Armour). For example, “Toughness: 32 (16)” means total Toughness of 32, of which 16 is Armour. Previous versions displayed this incorrectly.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Cinzel" w:cs="Cinzel" w:eastAsia="Cinzel" w:hAnsi="Cinzel"/>
          <w:b/>
          <w:bCs/>
          <w:color w:val="C45911"/>
          <w:sz w:val="32"/>
          <w:szCs w:val="32"/>
        </w:rPr>
        <w:t xml:space="preserve">Toughness Slider</w:t>
      </w:r>
    </w:p>
    <w:p>
      <w:pPr>
        <w:spacing w:after="12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E8E0D4"/>
          <w:sz w:val="20"/>
          <w:szCs w:val="20"/>
        </w:rPr>
        <w:t xml:space="preserve">The Toughness slider controls structural integrity — the vehicle’s inherent mass, frame strength, and construction quality. This is the portion of total Toughness that Armour Piercing cannot reduce.</w:t>
      </w:r>
    </w:p>
    <w:p>
      <w:pPr>
        <w:spacing w:after="80"/>
      </w:pPr>
      <w:r>
        <w:rPr>
          <w:rFonts w:ascii="Segoe UI" w:cs="Segoe UI" w:eastAsia="Segoe UI" w:hAnsi="Segoe UI"/>
          <w:b/>
          <w:bCs/>
          <w:color w:val="C45911"/>
          <w:sz w:val="20"/>
          <w:szCs w:val="20"/>
        </w:rPr>
        <w:t xml:space="preserve">Base Value: </w:t>
      </w:r>
      <w:r>
        <w:rPr>
          <w:rFonts w:ascii="Segoe UI" w:cs="Segoe UI" w:eastAsia="Segoe UI" w:hAnsi="Segoe UI"/>
          <w:color w:val="E8E0D4"/>
          <w:sz w:val="20"/>
          <w:szCs w:val="20"/>
        </w:rPr>
        <w:t xml:space="preserve">Size + 5 (universal across all domains)</w:t>
      </w:r>
    </w:p>
    <w:p>
      <w:pPr>
        <w:spacing w:after="80"/>
      </w:pPr>
      <w:r>
        <w:rPr>
          <w:rFonts w:ascii="Segoe UI" w:cs="Segoe UI" w:eastAsia="Segoe UI" w:hAnsi="Segoe UI"/>
          <w:b/>
          <w:bCs/>
          <w:color w:val="C45911"/>
          <w:sz w:val="20"/>
          <w:szCs w:val="20"/>
        </w:rPr>
        <w:t xml:space="preserve">Step Size: </w:t>
      </w:r>
      <w:r>
        <w:rPr>
          <w:rFonts w:ascii="Segoe UI" w:cs="Segoe UI" w:eastAsia="Segoe UI" w:hAnsi="Segoe UI"/>
          <w:color w:val="E8E0D4"/>
          <w:sz w:val="20"/>
          <w:szCs w:val="20"/>
        </w:rPr>
        <w:t xml:space="preserve">max(1, round(Size / 4) + 1) — larger vehicles have bigger steps</w:t>
      </w:r>
    </w:p>
    <w:p>
      <w:pPr>
        <w:spacing w:after="80"/>
      </w:pPr>
      <w:r>
        <w:rPr>
          <w:rFonts w:ascii="Segoe UI" w:cs="Segoe UI" w:eastAsia="Segoe UI" w:hAnsi="Segoe UI"/>
          <w:b/>
          <w:bCs/>
          <w:color w:val="C45911"/>
          <w:sz w:val="20"/>
          <w:szCs w:val="20"/>
        </w:rPr>
        <w:t xml:space="preserve">Structural Toughness: </w:t>
      </w:r>
      <w:r>
        <w:rPr>
          <w:rFonts w:ascii="Segoe UI" w:cs="Segoe UI" w:eastAsia="Segoe UI" w:hAnsi="Segoe UI"/>
          <w:color w:val="E8E0D4"/>
          <w:sz w:val="20"/>
          <w:szCs w:val="20"/>
        </w:rPr>
        <w:t xml:space="preserve">Base + (slider position × step)</w:t>
      </w:r>
    </w:p>
    <w:p>
      <w:pPr>
        <w:spacing w:after="12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E8E0D4"/>
          <w:sz w:val="20"/>
          <w:szCs w:val="20"/>
        </w:rPr>
        <w:t xml:space="preserve">The Weak and Tough modifications still apply on top of the slider value, providing fine-tuning at the cost of mod slots.</w:t>
      </w:r>
    </w:p>
    <w:p>
      <w:pPr>
        <w:spacing w:before="200" w:after="100"/>
      </w:pPr>
      <w:r>
        <w:rPr>
          <w:rFonts w:ascii="Segoe UI" w:cs="Segoe UI" w:eastAsia="Segoe UI" w:hAnsi="Segoe UI"/>
          <w:b/>
          <w:bCs/>
          <w:color w:val="C45911"/>
          <w:sz w:val="22"/>
          <w:szCs w:val="22"/>
        </w:rPr>
        <w:t xml:space="preserve">Toughness Labels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7480"/>
      </w:tblGrid>
      <w:tr>
        <w:tc>
          <w:tcPr>
            <w:tcW w:type="dxa" w:w="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A2A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45911"/>
                <w:sz w:val="18"/>
                <w:szCs w:val="18"/>
              </w:rPr>
              <w:t xml:space="preserve">Position</w:t>
            </w:r>
          </w:p>
        </w:tc>
        <w:tc>
          <w:tcPr>
            <w:tcW w:type="dxa" w:w="1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A2A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45911"/>
                <w:sz w:val="18"/>
                <w:szCs w:val="18"/>
              </w:rPr>
              <w:t xml:space="preserve">Label</w:t>
            </w:r>
          </w:p>
        </w:tc>
        <w:tc>
          <w:tcPr>
            <w:tcW w:type="dxa" w:w="74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A2A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45911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−5</w:t>
            </w:r>
          </w:p>
        </w:tc>
        <w:tc>
          <w:tcPr>
            <w:tcW w:type="dxa" w:w="1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Fragile</w:t>
            </w:r>
          </w:p>
        </w:tc>
        <w:tc>
          <w:tcPr>
            <w:tcW w:type="dxa" w:w="74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Extremely fragile construction for this class.</w:t>
            </w:r>
          </w:p>
        </w:tc>
      </w:tr>
      <w:tr>
        <w:tc>
          <w:tcPr>
            <w:tcW w:type="dxa" w:w="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−4</w:t>
            </w:r>
          </w:p>
        </w:tc>
        <w:tc>
          <w:tcPr>
            <w:tcW w:type="dxa" w:w="1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Flimsy</w:t>
            </w:r>
          </w:p>
        </w:tc>
        <w:tc>
          <w:tcPr>
            <w:tcW w:type="dxa" w:w="74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Very flimsy. Will not survive serious impacts.</w:t>
            </w:r>
          </w:p>
        </w:tc>
      </w:tr>
      <w:tr>
        <w:tc>
          <w:tcPr>
            <w:tcW w:type="dxa" w:w="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−3</w:t>
            </w:r>
          </w:p>
        </w:tc>
        <w:tc>
          <w:tcPr>
            <w:tcW w:type="dxa" w:w="1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Lightweight</w:t>
            </w:r>
          </w:p>
        </w:tc>
        <w:tc>
          <w:tcPr>
            <w:tcW w:type="dxa" w:w="74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Lightweight construction. Sacrifices durability for speed.</w:t>
            </w:r>
          </w:p>
        </w:tc>
      </w:tr>
      <w:tr>
        <w:tc>
          <w:tcPr>
            <w:tcW w:type="dxa" w:w="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−2</w:t>
            </w:r>
          </w:p>
        </w:tc>
        <w:tc>
          <w:tcPr>
            <w:tcW w:type="dxa" w:w="1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Light</w:t>
            </w:r>
          </w:p>
        </w:tc>
        <w:tc>
          <w:tcPr>
            <w:tcW w:type="dxa" w:w="74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Lighter than average for this size class.</w:t>
            </w:r>
          </w:p>
        </w:tc>
      </w:tr>
      <w:tr>
        <w:tc>
          <w:tcPr>
            <w:tcW w:type="dxa" w:w="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−1</w:t>
            </w:r>
          </w:p>
        </w:tc>
        <w:tc>
          <w:tcPr>
            <w:tcW w:type="dxa" w:w="1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Slightly Light</w:t>
            </w:r>
          </w:p>
        </w:tc>
        <w:tc>
          <w:tcPr>
            <w:tcW w:type="dxa" w:w="74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Slightly below standard structural strength.</w:t>
            </w:r>
          </w:p>
        </w:tc>
      </w:tr>
      <w:tr>
        <w:tc>
          <w:tcPr>
            <w:tcW w:type="dxa" w:w="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Standard</w:t>
            </w:r>
          </w:p>
        </w:tc>
        <w:tc>
          <w:tcPr>
            <w:tcW w:type="dxa" w:w="74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Standard structural strength for this size class.</w:t>
            </w:r>
          </w:p>
        </w:tc>
      </w:tr>
      <w:tr>
        <w:tc>
          <w:tcPr>
            <w:tcW w:type="dxa" w:w="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+1</w:t>
            </w:r>
          </w:p>
        </w:tc>
        <w:tc>
          <w:tcPr>
            <w:tcW w:type="dxa" w:w="1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Sturdy</w:t>
            </w:r>
          </w:p>
        </w:tc>
        <w:tc>
          <w:tcPr>
            <w:tcW w:type="dxa" w:w="74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Sturdier than typical. Reinforced frame or heavier materials.</w:t>
            </w:r>
          </w:p>
        </w:tc>
      </w:tr>
      <w:tr>
        <w:tc>
          <w:tcPr>
            <w:tcW w:type="dxa" w:w="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+2</w:t>
            </w:r>
          </w:p>
        </w:tc>
        <w:tc>
          <w:tcPr>
            <w:tcW w:type="dxa" w:w="1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Robust</w:t>
            </w:r>
          </w:p>
        </w:tc>
        <w:tc>
          <w:tcPr>
            <w:tcW w:type="dxa" w:w="74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Robust construction. Built to take punishment.</w:t>
            </w:r>
          </w:p>
        </w:tc>
      </w:tr>
      <w:tr>
        <w:tc>
          <w:tcPr>
            <w:tcW w:type="dxa" w:w="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+3</w:t>
            </w:r>
          </w:p>
        </w:tc>
        <w:tc>
          <w:tcPr>
            <w:tcW w:type="dxa" w:w="1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Very Tough</w:t>
            </w:r>
          </w:p>
        </w:tc>
        <w:tc>
          <w:tcPr>
            <w:tcW w:type="dxa" w:w="74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Very tough. Significantly over-engineered.</w:t>
            </w:r>
          </w:p>
        </w:tc>
      </w:tr>
      <w:tr>
        <w:tc>
          <w:tcPr>
            <w:tcW w:type="dxa" w:w="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+4</w:t>
            </w:r>
          </w:p>
        </w:tc>
        <w:tc>
          <w:tcPr>
            <w:tcW w:type="dxa" w:w="1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Extremely Tough</w:t>
            </w:r>
          </w:p>
        </w:tc>
        <w:tc>
          <w:tcPr>
            <w:tcW w:type="dxa" w:w="74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Among the most solid of this size.</w:t>
            </w:r>
          </w:p>
        </w:tc>
      </w:tr>
      <w:tr>
        <w:tc>
          <w:tcPr>
            <w:tcW w:type="dxa" w:w="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+5</w:t>
            </w:r>
          </w:p>
        </w:tc>
        <w:tc>
          <w:tcPr>
            <w:tcW w:type="dxa" w:w="1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Ironclad</w:t>
            </w:r>
          </w:p>
        </w:tc>
        <w:tc>
          <w:tcPr>
            <w:tcW w:type="dxa" w:w="74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Maximum structural integrity for this class.</w:t>
            </w:r>
          </w:p>
        </w:tc>
      </w:tr>
    </w:tbl>
    <w:p>
      <w:pPr>
        <w:spacing w:before="200" w:after="100"/>
      </w:pPr>
      <w:r>
        <w:rPr>
          <w:rFonts w:ascii="Segoe UI" w:cs="Segoe UI" w:eastAsia="Segoe UI" w:hAnsi="Segoe UI"/>
          <w:b/>
          <w:bCs/>
          <w:color w:val="C45911"/>
          <w:sz w:val="22"/>
          <w:szCs w:val="22"/>
        </w:rPr>
        <w:t xml:space="preserve">Step Size Table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2000"/>
        <w:gridCol w:w="2000"/>
        <w:gridCol w:w="2000"/>
      </w:tblGrid>
      <w:tr>
        <w:tc>
          <w:tcPr>
            <w:tcW w:type="dxa" w:w="1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A2A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45911"/>
                <w:sz w:val="18"/>
                <w:szCs w:val="18"/>
              </w:rPr>
              <w:t xml:space="preserve">Size</w:t>
            </w:r>
          </w:p>
        </w:tc>
        <w:tc>
          <w:tcPr>
            <w:tcW w:type="dxa" w:w="1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A2A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45911"/>
                <w:sz w:val="18"/>
                <w:szCs w:val="18"/>
              </w:rPr>
              <w:t xml:space="preserve">Step</w:t>
            </w:r>
          </w:p>
        </w:tc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A2A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45911"/>
                <w:sz w:val="18"/>
                <w:szCs w:val="18"/>
              </w:rPr>
              <w:t xml:space="preserve">Min Struct</w:t>
            </w:r>
          </w:p>
        </w:tc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A2A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45911"/>
                <w:sz w:val="18"/>
                <w:szCs w:val="18"/>
              </w:rPr>
              <w:t xml:space="preserve">Std Struct</w:t>
            </w:r>
          </w:p>
        </w:tc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A2A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45911"/>
                <w:sz w:val="18"/>
                <w:szCs w:val="18"/>
              </w:rPr>
              <w:t xml:space="preserve">Max Struct</w:t>
            </w:r>
          </w:p>
        </w:tc>
      </w:tr>
      <w:tr>
        <w:tc>
          <w:tcPr>
            <w:tcW w:type="dxa" w:w="1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0–3</w:t>
            </w:r>
          </w:p>
        </w:tc>
        <w:tc>
          <w:tcPr>
            <w:tcW w:type="dxa" w:w="1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0</w:t>
            </w:r>
          </w:p>
        </w:tc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1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4–7</w:t>
            </w:r>
          </w:p>
        </w:tc>
        <w:tc>
          <w:tcPr>
            <w:tcW w:type="dxa" w:w="1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-1</w:t>
            </w:r>
          </w:p>
        </w:tc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9</w:t>
            </w:r>
          </w:p>
        </w:tc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19</w:t>
            </w:r>
          </w:p>
        </w:tc>
      </w:tr>
      <w:tr>
        <w:tc>
          <w:tcPr>
            <w:tcW w:type="dxa" w:w="1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8–11</w:t>
            </w:r>
          </w:p>
        </w:tc>
        <w:tc>
          <w:tcPr>
            <w:tcW w:type="dxa" w:w="1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-2</w:t>
            </w:r>
          </w:p>
        </w:tc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13</w:t>
            </w:r>
          </w:p>
        </w:tc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28</w:t>
            </w:r>
          </w:p>
        </w:tc>
      </w:tr>
      <w:tr>
        <w:tc>
          <w:tcPr>
            <w:tcW w:type="dxa" w:w="1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12–15</w:t>
            </w:r>
          </w:p>
        </w:tc>
        <w:tc>
          <w:tcPr>
            <w:tcW w:type="dxa" w:w="1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-3</w:t>
            </w:r>
          </w:p>
        </w:tc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17</w:t>
            </w:r>
          </w:p>
        </w:tc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37</w:t>
            </w:r>
          </w:p>
        </w:tc>
      </w:tr>
      <w:tr>
        <w:tc>
          <w:tcPr>
            <w:tcW w:type="dxa" w:w="1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16–19</w:t>
            </w:r>
          </w:p>
        </w:tc>
        <w:tc>
          <w:tcPr>
            <w:tcW w:type="dxa" w:w="1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-4</w:t>
            </w:r>
          </w:p>
        </w:tc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21</w:t>
            </w:r>
          </w:p>
        </w:tc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46</w:t>
            </w:r>
          </w:p>
        </w:tc>
      </w:tr>
      <w:tr>
        <w:tc>
          <w:tcPr>
            <w:tcW w:type="dxa" w:w="1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20+</w:t>
            </w:r>
          </w:p>
        </w:tc>
        <w:tc>
          <w:tcPr>
            <w:tcW w:type="dxa" w:w="1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6+</w:t>
            </w:r>
          </w:p>
        </w:tc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varies</w:t>
            </w:r>
          </w:p>
        </w:tc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Size+5</w:t>
            </w:r>
          </w:p>
        </w:tc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varies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Cinzel" w:cs="Cinzel" w:eastAsia="Cinzel" w:hAnsi="Cinzel"/>
          <w:b/>
          <w:bCs/>
          <w:color w:val="C45911"/>
          <w:sz w:val="32"/>
          <w:szCs w:val="32"/>
        </w:rPr>
        <w:t xml:space="preserve">Armour Slider</w:t>
      </w:r>
    </w:p>
    <w:p>
      <w:pPr>
        <w:spacing w:after="12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E8E0D4"/>
          <w:sz w:val="20"/>
          <w:szCs w:val="20"/>
        </w:rPr>
        <w:t xml:space="preserve">The Armour slider controls protective plating, shielding, or whatever defensive layer the GM imagines for their setting. This is the parenthetical value in the Toughness stat — the number that Armour Piercing specifically targets.</w:t>
      </w:r>
    </w:p>
    <w:p>
      <w:pPr>
        <w:spacing w:after="80"/>
      </w:pPr>
      <w:r>
        <w:rPr>
          <w:rFonts w:ascii="Segoe UI" w:cs="Segoe UI" w:eastAsia="Segoe UI" w:hAnsi="Segoe UI"/>
          <w:b/>
          <w:bCs/>
          <w:color w:val="C45911"/>
          <w:sz w:val="20"/>
          <w:szCs w:val="20"/>
        </w:rPr>
        <w:t xml:space="preserve">Base Value: </w:t>
      </w:r>
      <w:r>
        <w:rPr>
          <w:rFonts w:ascii="Segoe UI" w:cs="Segoe UI" w:eastAsia="Segoe UI" w:hAnsi="Segoe UI"/>
          <w:color w:val="E8E0D4"/>
          <w:sz w:val="20"/>
          <w:szCs w:val="20"/>
        </w:rPr>
        <w:t xml:space="preserve">Domain-aware — varies by locomotion group and Size</w:t>
      </w:r>
    </w:p>
    <w:p>
      <w:pPr>
        <w:spacing w:after="80"/>
      </w:pPr>
      <w:r>
        <w:rPr>
          <w:rFonts w:ascii="Segoe UI" w:cs="Segoe UI" w:eastAsia="Segoe UI" w:hAnsi="Segoe UI"/>
          <w:b/>
          <w:bCs/>
          <w:color w:val="C45911"/>
          <w:sz w:val="20"/>
          <w:szCs w:val="20"/>
        </w:rPr>
        <w:t xml:space="preserve">Step Size: </w:t>
      </w:r>
      <w:r>
        <w:rPr>
          <w:rFonts w:ascii="Segoe UI" w:cs="Segoe UI" w:eastAsia="Segoe UI" w:hAnsi="Segoe UI"/>
          <w:color w:val="E8E0D4"/>
          <w:sz w:val="20"/>
          <w:szCs w:val="20"/>
        </w:rPr>
        <w:t xml:space="preserve">Domain-aware — varies by locomotion group and Size</w:t>
      </w:r>
    </w:p>
    <w:p>
      <w:pPr>
        <w:spacing w:after="80"/>
      </w:pPr>
      <w:r>
        <w:rPr>
          <w:rFonts w:ascii="Segoe UI" w:cs="Segoe UI" w:eastAsia="Segoe UI" w:hAnsi="Segoe UI"/>
          <w:b/>
          <w:bCs/>
          <w:color w:val="C45911"/>
          <w:sz w:val="20"/>
          <w:szCs w:val="20"/>
        </w:rPr>
        <w:t xml:space="preserve">Armour Value: </w:t>
      </w:r>
      <w:r>
        <w:rPr>
          <w:rFonts w:ascii="Segoe UI" w:cs="Segoe UI" w:eastAsia="Segoe UI" w:hAnsi="Segoe UI"/>
          <w:color w:val="E8E0D4"/>
          <w:sz w:val="20"/>
          <w:szCs w:val="20"/>
        </w:rPr>
        <w:t xml:space="preserve">Base + (slider position × step)</w:t>
      </w:r>
    </w:p>
    <w:p>
      <w:pPr>
        <w:spacing w:after="80"/>
      </w:pPr>
      <w:r>
        <w:rPr>
          <w:rFonts w:ascii="Segoe UI" w:cs="Segoe UI" w:eastAsia="Segoe UI" w:hAnsi="Segoe UI"/>
          <w:b/>
          <w:bCs/>
          <w:color w:val="C45911"/>
          <w:sz w:val="20"/>
          <w:szCs w:val="20"/>
        </w:rPr>
        <w:t xml:space="preserve">Total Toughness: </w:t>
      </w:r>
      <w:r>
        <w:rPr>
          <w:rFonts w:ascii="Segoe UI" w:cs="Segoe UI" w:eastAsia="Segoe UI" w:hAnsi="Segoe UI"/>
          <w:color w:val="E8E0D4"/>
          <w:sz w:val="20"/>
          <w:szCs w:val="20"/>
        </w:rPr>
        <w:t xml:space="preserve">Structural Toughness + Armour Value</w:t>
      </w:r>
    </w:p>
    <w:p>
      <w:pPr>
        <w:spacing w:after="12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E8E0D4"/>
          <w:sz w:val="20"/>
          <w:szCs w:val="20"/>
        </w:rPr>
        <w:t xml:space="preserve">The slider is setting-agnostic. No materials are named. “Maximum” might mean dragon-scale plate in a fantasy game, composite ceramics in a modern setting, or energy shielding in science fiction. The GM provides the fiction.</w:t>
      </w:r>
    </w:p>
    <w:p>
      <w:pPr>
        <w:spacing w:before="200" w:after="100"/>
      </w:pPr>
      <w:r>
        <w:rPr>
          <w:rFonts w:ascii="Segoe UI" w:cs="Segoe UI" w:eastAsia="Segoe UI" w:hAnsi="Segoe UI"/>
          <w:b/>
          <w:bCs/>
          <w:color w:val="C45911"/>
          <w:sz w:val="22"/>
          <w:szCs w:val="22"/>
        </w:rPr>
        <w:t xml:space="preserve">Armour Labels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7480"/>
      </w:tblGrid>
      <w:tr>
        <w:tc>
          <w:tcPr>
            <w:tcW w:type="dxa" w:w="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A2A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45911"/>
                <w:sz w:val="18"/>
                <w:szCs w:val="18"/>
              </w:rPr>
              <w:t xml:space="preserve">Position</w:t>
            </w:r>
          </w:p>
        </w:tc>
        <w:tc>
          <w:tcPr>
            <w:tcW w:type="dxa" w:w="1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A2A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45911"/>
                <w:sz w:val="18"/>
                <w:szCs w:val="18"/>
              </w:rPr>
              <w:t xml:space="preserve">Label</w:t>
            </w:r>
          </w:p>
        </w:tc>
        <w:tc>
          <w:tcPr>
            <w:tcW w:type="dxa" w:w="74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A2A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45911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−5</w:t>
            </w:r>
          </w:p>
        </w:tc>
        <w:tc>
          <w:tcPr>
            <w:tcW w:type="dxa" w:w="1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Unprotected</w:t>
            </w:r>
          </w:p>
        </w:tc>
        <w:tc>
          <w:tcPr>
            <w:tcW w:type="dxa" w:w="74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Virtually no protection. Civilian bodywork, canvas, or thin hull.</w:t>
            </w:r>
          </w:p>
        </w:tc>
      </w:tr>
      <w:tr>
        <w:tc>
          <w:tcPr>
            <w:tcW w:type="dxa" w:w="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−4</w:t>
            </w:r>
          </w:p>
        </w:tc>
        <w:tc>
          <w:tcPr>
            <w:tcW w:type="dxa" w:w="1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Minimal</w:t>
            </w:r>
          </w:p>
        </w:tc>
        <w:tc>
          <w:tcPr>
            <w:tcW w:type="dxa" w:w="74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Negligible protection. Light commercial construction.</w:t>
            </w:r>
          </w:p>
        </w:tc>
      </w:tr>
      <w:tr>
        <w:tc>
          <w:tcPr>
            <w:tcW w:type="dxa" w:w="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−3</w:t>
            </w:r>
          </w:p>
        </w:tc>
        <w:tc>
          <w:tcPr>
            <w:tcW w:type="dxa" w:w="1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Light</w:t>
            </w:r>
          </w:p>
        </w:tc>
        <w:tc>
          <w:tcPr>
            <w:tcW w:type="dxa" w:w="74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Light protection. Hardened or lightly armoured.</w:t>
            </w:r>
          </w:p>
        </w:tc>
      </w:tr>
      <w:tr>
        <w:tc>
          <w:tcPr>
            <w:tcW w:type="dxa" w:w="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−2</w:t>
            </w:r>
          </w:p>
        </w:tc>
        <w:tc>
          <w:tcPr>
            <w:tcW w:type="dxa" w:w="1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Below Average</w:t>
            </w:r>
          </w:p>
        </w:tc>
        <w:tc>
          <w:tcPr>
            <w:tcW w:type="dxa" w:w="74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Below average for a combat vehicle. Scout or recon class.</w:t>
            </w:r>
          </w:p>
        </w:tc>
      </w:tr>
      <w:tr>
        <w:tc>
          <w:tcPr>
            <w:tcW w:type="dxa" w:w="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−1</w:t>
            </w:r>
          </w:p>
        </w:tc>
        <w:tc>
          <w:tcPr>
            <w:tcW w:type="dxa" w:w="1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Modest</w:t>
            </w:r>
          </w:p>
        </w:tc>
        <w:tc>
          <w:tcPr>
            <w:tcW w:type="dxa" w:w="74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Modest protection. Light military or up-armoured civilian.</w:t>
            </w:r>
          </w:p>
        </w:tc>
      </w:tr>
      <w:tr>
        <w:tc>
          <w:tcPr>
            <w:tcW w:type="dxa" w:w="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Standard</w:t>
            </w:r>
          </w:p>
        </w:tc>
        <w:tc>
          <w:tcPr>
            <w:tcW w:type="dxa" w:w="74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Standard military protection for this size class.</w:t>
            </w:r>
          </w:p>
        </w:tc>
      </w:tr>
      <w:tr>
        <w:tc>
          <w:tcPr>
            <w:tcW w:type="dxa" w:w="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+1</w:t>
            </w:r>
          </w:p>
        </w:tc>
        <w:tc>
          <w:tcPr>
            <w:tcW w:type="dxa" w:w="1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Reinforced</w:t>
            </w:r>
          </w:p>
        </w:tc>
        <w:tc>
          <w:tcPr>
            <w:tcW w:type="dxa" w:w="74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Better protected than typical military vehicles.</w:t>
            </w:r>
          </w:p>
        </w:tc>
      </w:tr>
      <w:tr>
        <w:tc>
          <w:tcPr>
            <w:tcW w:type="dxa" w:w="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+2</w:t>
            </w:r>
          </w:p>
        </w:tc>
        <w:tc>
          <w:tcPr>
            <w:tcW w:type="dxa" w:w="1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Heavy</w:t>
            </w:r>
          </w:p>
        </w:tc>
        <w:tc>
          <w:tcPr>
            <w:tcW w:type="dxa" w:w="74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Heavy protection. Elite or next-generation military.</w:t>
            </w:r>
          </w:p>
        </w:tc>
      </w:tr>
      <w:tr>
        <w:tc>
          <w:tcPr>
            <w:tcW w:type="dxa" w:w="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+3</w:t>
            </w:r>
          </w:p>
        </w:tc>
        <w:tc>
          <w:tcPr>
            <w:tcW w:type="dxa" w:w="1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Superior</w:t>
            </w:r>
          </w:p>
        </w:tc>
        <w:tc>
          <w:tcPr>
            <w:tcW w:type="dxa" w:w="74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Superior protection. Cutting-edge or experimental.</w:t>
            </w:r>
          </w:p>
        </w:tc>
      </w:tr>
      <w:tr>
        <w:tc>
          <w:tcPr>
            <w:tcW w:type="dxa" w:w="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+4</w:t>
            </w:r>
          </w:p>
        </w:tc>
        <w:tc>
          <w:tcPr>
            <w:tcW w:type="dxa" w:w="1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Extreme</w:t>
            </w:r>
          </w:p>
        </w:tc>
        <w:tc>
          <w:tcPr>
            <w:tcW w:type="dxa" w:w="74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Among the toughest of this size class.</w:t>
            </w:r>
          </w:p>
        </w:tc>
      </w:tr>
      <w:tr>
        <w:tc>
          <w:tcPr>
            <w:tcW w:type="dxa" w:w="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+5</w:t>
            </w:r>
          </w:p>
        </w:tc>
        <w:tc>
          <w:tcPr>
            <w:tcW w:type="dxa" w:w="1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Maximum</w:t>
            </w:r>
          </w:p>
        </w:tc>
        <w:tc>
          <w:tcPr>
            <w:tcW w:type="dxa" w:w="74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Pushing the limits of known engineering.</w:t>
            </w:r>
          </w:p>
        </w:tc>
      </w:tr>
    </w:tbl>
    <w:p>
      <w:pPr>
        <w:spacing w:before="200" w:after="100"/>
      </w:pPr>
      <w:r>
        <w:rPr>
          <w:rFonts w:ascii="Segoe UI" w:cs="Segoe UI" w:eastAsia="Segoe UI" w:hAnsi="Segoe UI"/>
          <w:b/>
          <w:bCs/>
          <w:color w:val="C45911"/>
          <w:sz w:val="22"/>
          <w:szCs w:val="22"/>
        </w:rPr>
        <w:t xml:space="preserve">Domain-Aware Baselines</w:t>
      </w:r>
    </w:p>
    <w:p>
      <w:pPr>
        <w:spacing w:after="12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E8E0D4"/>
          <w:sz w:val="20"/>
          <w:szCs w:val="20"/>
        </w:rPr>
        <w:t xml:space="preserve">When you select a locomotion type, the armour base and step automatically adjust. Ground vehicles and walkers share one scale. Watercraft use a different scale that accounts for the jump from patrol boats to belt-armoured warships. Aircraft use a lighter scale reflecting the weight-sensitivity of flight.</w:t>
      </w:r>
    </w:p>
    <w:p>
      <w:pPr>
        <w:spacing w:before="200" w:after="100"/>
      </w:pPr>
      <w:r>
        <w:rPr>
          <w:rFonts w:ascii="Segoe UI" w:cs="Segoe UI" w:eastAsia="Segoe UI" w:hAnsi="Segoe UI"/>
          <w:b/>
          <w:bCs/>
          <w:color w:val="C45911"/>
          <w:sz w:val="22"/>
          <w:szCs w:val="22"/>
        </w:rPr>
        <w:t xml:space="preserve">Ground / Walker Armour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000"/>
        <w:gridCol w:w="1700"/>
        <w:gridCol w:w="1700"/>
        <w:gridCol w:w="1700"/>
      </w:tblGrid>
      <w:tr>
        <w:tc>
          <w:tcPr>
            <w:tcW w:type="dxa" w:w="1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A2A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45911"/>
                <w:sz w:val="18"/>
                <w:szCs w:val="18"/>
              </w:rPr>
              <w:t xml:space="preserve">Size</w:t>
            </w:r>
          </w:p>
        </w:tc>
        <w:tc>
          <w:tcPr>
            <w:tcW w:type="dxa" w:w="1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A2A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45911"/>
                <w:sz w:val="18"/>
                <w:szCs w:val="18"/>
              </w:rPr>
              <w:t xml:space="preserve">Base</w:t>
            </w:r>
          </w:p>
        </w:tc>
        <w:tc>
          <w:tcPr>
            <w:tcW w:type="dxa" w:w="1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A2A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45911"/>
                <w:sz w:val="18"/>
                <w:szCs w:val="18"/>
              </w:rPr>
              <w:t xml:space="preserve">Step</w:t>
            </w:r>
          </w:p>
        </w:tc>
        <w:tc>
          <w:tcPr>
            <w:tcW w:type="dxa" w:w="17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A2A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45911"/>
                <w:sz w:val="18"/>
                <w:szCs w:val="18"/>
              </w:rPr>
              <w:t xml:space="preserve">At −5</w:t>
            </w:r>
          </w:p>
        </w:tc>
        <w:tc>
          <w:tcPr>
            <w:tcW w:type="dxa" w:w="17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A2A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45911"/>
                <w:sz w:val="18"/>
                <w:szCs w:val="18"/>
              </w:rPr>
              <w:t xml:space="preserve">At 0</w:t>
            </w:r>
          </w:p>
        </w:tc>
        <w:tc>
          <w:tcPr>
            <w:tcW w:type="dxa" w:w="17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A2A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45911"/>
                <w:sz w:val="18"/>
                <w:szCs w:val="18"/>
              </w:rPr>
              <w:t xml:space="preserve">At +5</w:t>
            </w:r>
          </w:p>
        </w:tc>
      </w:tr>
      <w:tr>
        <w:tc>
          <w:tcPr>
            <w:tcW w:type="dxa" w:w="1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−3</w:t>
            </w:r>
          </w:p>
        </w:tc>
        <w:tc>
          <w:tcPr>
            <w:tcW w:type="dxa" w:w="17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2</w:t>
            </w:r>
          </w:p>
        </w:tc>
        <w:tc>
          <w:tcPr>
            <w:tcW w:type="dxa" w:w="17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1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−2</w:t>
            </w:r>
          </w:p>
        </w:tc>
        <w:tc>
          <w:tcPr>
            <w:tcW w:type="dxa" w:w="17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3</w:t>
            </w:r>
          </w:p>
        </w:tc>
        <w:tc>
          <w:tcPr>
            <w:tcW w:type="dxa" w:w="17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1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2</w:t>
            </w:r>
          </w:p>
        </w:tc>
        <w:tc>
          <w:tcPr>
            <w:tcW w:type="dxa" w:w="17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−6</w:t>
            </w:r>
          </w:p>
        </w:tc>
        <w:tc>
          <w:tcPr>
            <w:tcW w:type="dxa" w:w="17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4</w:t>
            </w:r>
          </w:p>
        </w:tc>
        <w:tc>
          <w:tcPr>
            <w:tcW w:type="dxa" w:w="17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14</w:t>
            </w:r>
          </w:p>
        </w:tc>
      </w:tr>
      <w:tr>
        <w:tc>
          <w:tcPr>
            <w:tcW w:type="dxa" w:w="1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12</w:t>
            </w:r>
          </w:p>
        </w:tc>
        <w:tc>
          <w:tcPr>
            <w:tcW w:type="dxa" w:w="1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2</w:t>
            </w:r>
          </w:p>
        </w:tc>
        <w:tc>
          <w:tcPr>
            <w:tcW w:type="dxa" w:w="17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2</w:t>
            </w:r>
          </w:p>
        </w:tc>
        <w:tc>
          <w:tcPr>
            <w:tcW w:type="dxa" w:w="17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12</w:t>
            </w:r>
          </w:p>
        </w:tc>
        <w:tc>
          <w:tcPr>
            <w:tcW w:type="dxa" w:w="17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22</w:t>
            </w:r>
          </w:p>
        </w:tc>
      </w:tr>
      <w:tr>
        <w:tc>
          <w:tcPr>
            <w:tcW w:type="dxa" w:w="1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16</w:t>
            </w:r>
          </w:p>
        </w:tc>
        <w:tc>
          <w:tcPr>
            <w:tcW w:type="dxa" w:w="1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3</w:t>
            </w:r>
          </w:p>
        </w:tc>
        <w:tc>
          <w:tcPr>
            <w:tcW w:type="dxa" w:w="17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16</w:t>
            </w:r>
          </w:p>
        </w:tc>
        <w:tc>
          <w:tcPr>
            <w:tcW w:type="dxa" w:w="17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31</w:t>
            </w:r>
          </w:p>
        </w:tc>
      </w:tr>
      <w:tr>
        <w:tc>
          <w:tcPr>
            <w:tcW w:type="dxa" w:w="1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20</w:t>
            </w:r>
          </w:p>
        </w:tc>
        <w:tc>
          <w:tcPr>
            <w:tcW w:type="dxa" w:w="1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4</w:t>
            </w:r>
          </w:p>
        </w:tc>
        <w:tc>
          <w:tcPr>
            <w:tcW w:type="dxa" w:w="17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0</w:t>
            </w:r>
          </w:p>
        </w:tc>
        <w:tc>
          <w:tcPr>
            <w:tcW w:type="dxa" w:w="17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20</w:t>
            </w:r>
          </w:p>
        </w:tc>
        <w:tc>
          <w:tcPr>
            <w:tcW w:type="dxa" w:w="17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40</w:t>
            </w:r>
          </w:p>
        </w:tc>
      </w:tr>
      <w:tr>
        <w:tc>
          <w:tcPr>
            <w:tcW w:type="dxa" w:w="1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24</w:t>
            </w:r>
          </w:p>
        </w:tc>
        <w:tc>
          <w:tcPr>
            <w:tcW w:type="dxa" w:w="1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5</w:t>
            </w:r>
          </w:p>
        </w:tc>
        <w:tc>
          <w:tcPr>
            <w:tcW w:type="dxa" w:w="17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−1</w:t>
            </w:r>
          </w:p>
        </w:tc>
        <w:tc>
          <w:tcPr>
            <w:tcW w:type="dxa" w:w="17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24</w:t>
            </w:r>
          </w:p>
        </w:tc>
        <w:tc>
          <w:tcPr>
            <w:tcW w:type="dxa" w:w="17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49</w:t>
            </w:r>
          </w:p>
        </w:tc>
      </w:tr>
      <w:tr>
        <w:tc>
          <w:tcPr>
            <w:tcW w:type="dxa" w:w="1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14</w:t>
            </w:r>
          </w:p>
        </w:tc>
        <w:tc>
          <w:tcPr>
            <w:tcW w:type="dxa" w:w="1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28</w:t>
            </w:r>
          </w:p>
        </w:tc>
        <w:tc>
          <w:tcPr>
            <w:tcW w:type="dxa" w:w="1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6</w:t>
            </w:r>
          </w:p>
        </w:tc>
        <w:tc>
          <w:tcPr>
            <w:tcW w:type="dxa" w:w="17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−2</w:t>
            </w:r>
          </w:p>
        </w:tc>
        <w:tc>
          <w:tcPr>
            <w:tcW w:type="dxa" w:w="17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28</w:t>
            </w:r>
          </w:p>
        </w:tc>
        <w:tc>
          <w:tcPr>
            <w:tcW w:type="dxa" w:w="17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58</w:t>
            </w:r>
          </w:p>
        </w:tc>
      </w:tr>
    </w:tbl>
    <w:p>
      <w:pPr>
        <w:spacing w:before="200" w:after="100"/>
      </w:pPr>
      <w:r>
        <w:rPr>
          <w:rFonts w:ascii="Segoe UI" w:cs="Segoe UI" w:eastAsia="Segoe UI" w:hAnsi="Segoe UI"/>
          <w:b/>
          <w:bCs/>
          <w:color w:val="C45911"/>
          <w:sz w:val="22"/>
          <w:szCs w:val="22"/>
        </w:rPr>
        <w:t xml:space="preserve">Water Armour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1000"/>
        <w:gridCol w:w="5280"/>
      </w:tblGrid>
      <w:tr>
        <w:tc>
          <w:tcPr>
            <w:tcW w:type="dxa" w:w="1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A2A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45911"/>
                <w:sz w:val="18"/>
                <w:szCs w:val="18"/>
              </w:rPr>
              <w:t xml:space="preserve">Size</w:t>
            </w:r>
          </w:p>
        </w:tc>
        <w:tc>
          <w:tcPr>
            <w:tcW w:type="dxa" w:w="16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A2A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45911"/>
                <w:sz w:val="18"/>
                <w:szCs w:val="18"/>
              </w:rPr>
              <w:t xml:space="preserve">Base</w:t>
            </w:r>
          </w:p>
        </w:tc>
        <w:tc>
          <w:tcPr>
            <w:tcW w:type="dxa" w:w="1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A2A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45911"/>
                <w:sz w:val="18"/>
                <w:szCs w:val="18"/>
              </w:rPr>
              <w:t xml:space="preserve">Step</w:t>
            </w:r>
          </w:p>
        </w:tc>
        <w:tc>
          <w:tcPr>
            <w:tcW w:type="dxa" w:w="52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A2A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45911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0–11</w:t>
            </w:r>
          </w:p>
        </w:tc>
        <w:tc>
          <w:tcPr>
            <w:tcW w:type="dxa" w:w="16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1–5</w:t>
            </w:r>
          </w:p>
        </w:tc>
        <w:tc>
          <w:tcPr>
            <w:tcW w:type="dxa" w:w="1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sz/3</w:t>
            </w:r>
          </w:p>
        </w:tc>
        <w:tc>
          <w:tcPr>
            <w:tcW w:type="dxa" w:w="52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Small craft, patrol boats</w:t>
            </w:r>
          </w:p>
        </w:tc>
      </w:tr>
      <w:tr>
        <w:tc>
          <w:tcPr>
            <w:tcW w:type="dxa" w:w="1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12–16</w:t>
            </w:r>
          </w:p>
        </w:tc>
        <w:tc>
          <w:tcPr>
            <w:tcW w:type="dxa" w:w="16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6–8</w:t>
            </w:r>
          </w:p>
        </w:tc>
        <w:tc>
          <w:tcPr>
            <w:tcW w:type="dxa" w:w="1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4</w:t>
            </w:r>
          </w:p>
        </w:tc>
        <w:tc>
          <w:tcPr>
            <w:tcW w:type="dxa" w:w="52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Corvettes through frigates</w:t>
            </w:r>
          </w:p>
        </w:tc>
      </w:tr>
      <w:tr>
        <w:tc>
          <w:tcPr>
            <w:tcW w:type="dxa" w:w="1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17+</w:t>
            </w:r>
          </w:p>
        </w:tc>
        <w:tc>
          <w:tcPr>
            <w:tcW w:type="dxa" w:w="16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18–46</w:t>
            </w:r>
          </w:p>
        </w:tc>
        <w:tc>
          <w:tcPr>
            <w:tcW w:type="dxa" w:w="1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4</w:t>
            </w:r>
          </w:p>
        </w:tc>
        <w:tc>
          <w:tcPr>
            <w:tcW w:type="dxa" w:w="52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Destroyers through carriers</w:t>
            </w:r>
          </w:p>
        </w:tc>
      </w:tr>
    </w:tbl>
    <w:p>
      <w:pPr>
        <w:spacing w:after="120"/>
      </w:pPr>
      <w:r>
        <w:rPr>
          <w:rFonts w:ascii="Segoe UI" w:cs="Segoe UI" w:eastAsia="Segoe UI" w:hAnsi="Segoe UI"/>
          <w:b w:val="false"/>
          <w:bCs w:val="false"/>
          <w:i/>
          <w:iCs/>
          <w:color w:val="E8E0D4"/>
          <w:sz w:val="20"/>
          <w:szCs w:val="20"/>
        </w:rPr>
        <w:t xml:space="preserve">Belt-armoured warships (destroyers, battleships) sit at Standard or above. An SFC-class destroyer might need Maximum +3 to reach its canonical armour value — that’s what the overflow buttons are for.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Cinzel" w:cs="Cinzel" w:eastAsia="Cinzel" w:hAnsi="Cinzel"/>
          <w:b/>
          <w:bCs/>
          <w:color w:val="C45911"/>
          <w:sz w:val="32"/>
          <w:szCs w:val="32"/>
        </w:rPr>
        <w:t xml:space="preserve">The Overflow Mechanic</w:t>
      </w:r>
    </w:p>
    <w:p>
      <w:pPr>
        <w:spacing w:after="12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E8E0D4"/>
          <w:sz w:val="20"/>
          <w:szCs w:val="20"/>
        </w:rPr>
        <w:t xml:space="preserve">Most vehicles fit comfortably within the −5 to +5 range. But some extreme builds push beyond — a heavily armoured battleship, a future super-tank, a dwarven ironclad with impossibly thick plating. The + and − buttons extend the slider range indefinitely, following the d12+X convention.</w:t>
      </w:r>
    </w:p>
    <w:p>
      <w:pPr>
        <w:spacing w:after="12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E8E0D4"/>
          <w:sz w:val="20"/>
          <w:szCs w:val="20"/>
        </w:rPr>
        <w:t xml:space="preserve">Clicking + when the slider is already at +5 moves the value to +6, displayed as “Maximum +1”. Continue clicking for +7 (“Maximum +2”), +8 (“Maximum +3”), and so on. The same works in the negative direction: below −5 shows “Unprotected −1”, “Unprotected −2”, etc.</w:t>
      </w:r>
    </w:p>
    <w:p>
      <w:pPr>
        <w:spacing w:before="200" w:after="100"/>
      </w:pPr>
      <w:r>
        <w:rPr>
          <w:rFonts w:ascii="Segoe UI" w:cs="Segoe UI" w:eastAsia="Segoe UI" w:hAnsi="Segoe UI"/>
          <w:b/>
          <w:bCs/>
          <w:color w:val="C45911"/>
          <w:sz w:val="22"/>
          <w:szCs w:val="22"/>
        </w:rPr>
        <w:t xml:space="preserve">Canon Vehicles Requiring Overflow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00"/>
        <w:gridCol w:w="2500"/>
        <w:gridCol w:w="3580"/>
      </w:tblGrid>
      <w:tr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A2A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45911"/>
                <w:sz w:val="18"/>
                <w:szCs w:val="18"/>
              </w:rPr>
              <w:t xml:space="preserve">Vehicle</w:t>
            </w:r>
          </w:p>
        </w:tc>
        <w:tc>
          <w:tcPr>
            <w:tcW w:type="dxa" w:w="1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A2A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45911"/>
                <w:sz w:val="18"/>
                <w:szCs w:val="18"/>
              </w:rPr>
              <w:t xml:space="preserve">Size</w:t>
            </w:r>
          </w:p>
        </w:tc>
        <w:tc>
          <w:tcPr>
            <w:tcW w:type="dxa" w:w="25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A2A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45911"/>
                <w:sz w:val="18"/>
                <w:szCs w:val="18"/>
              </w:rPr>
              <w:t xml:space="preserve">Armour Position</w:t>
            </w:r>
          </w:p>
        </w:tc>
        <w:tc>
          <w:tcPr>
            <w:tcW w:type="dxa" w:w="35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A2A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45911"/>
                <w:sz w:val="18"/>
                <w:szCs w:val="18"/>
              </w:rPr>
              <w:t xml:space="preserve">Label</w:t>
            </w:r>
          </w:p>
        </w:tc>
      </w:tr>
      <w:tr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SFC Destroyer</w:t>
            </w:r>
          </w:p>
        </w:tc>
        <w:tc>
          <w:tcPr>
            <w:tcW w:type="dxa" w:w="1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12</w:t>
            </w:r>
          </w:p>
        </w:tc>
        <w:tc>
          <w:tcPr>
            <w:tcW w:type="dxa" w:w="25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+8</w:t>
            </w:r>
          </w:p>
        </w:tc>
        <w:tc>
          <w:tcPr>
            <w:tcW w:type="dxa" w:w="35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Maximum +3</w:t>
            </w:r>
          </w:p>
        </w:tc>
      </w:tr>
      <w:tr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SFC Battleship</w:t>
            </w:r>
          </w:p>
        </w:tc>
        <w:tc>
          <w:tcPr>
            <w:tcW w:type="dxa" w:w="1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16</w:t>
            </w:r>
          </w:p>
        </w:tc>
        <w:tc>
          <w:tcPr>
            <w:tcW w:type="dxa" w:w="25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+10</w:t>
            </w:r>
          </w:p>
        </w:tc>
        <w:tc>
          <w:tcPr>
            <w:tcW w:type="dxa" w:w="35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Maximum +5</w:t>
            </w:r>
          </w:p>
        </w:tc>
      </w:tr>
      <w:tr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Future Hover Car</w:t>
            </w:r>
          </w:p>
        </w:tc>
        <w:tc>
          <w:tcPr>
            <w:tcW w:type="dxa" w:w="1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+6</w:t>
            </w:r>
          </w:p>
        </w:tc>
        <w:tc>
          <w:tcPr>
            <w:tcW w:type="dxa" w:w="35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Maximum +1</w:t>
            </w:r>
          </w:p>
        </w:tc>
      </w:tr>
      <w:tr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Future APC</w:t>
            </w:r>
          </w:p>
        </w:tc>
        <w:tc>
          <w:tcPr>
            <w:tcW w:type="dxa" w:w="1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6</w:t>
            </w:r>
          </w:p>
        </w:tc>
        <w:tc>
          <w:tcPr>
            <w:tcW w:type="dxa" w:w="25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+6</w:t>
            </w:r>
          </w:p>
        </w:tc>
        <w:tc>
          <w:tcPr>
            <w:tcW w:type="dxa" w:w="35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Maximum +1</w:t>
            </w:r>
          </w:p>
        </w:tc>
      </w:tr>
      <w:tr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Future Hover Loco</w:t>
            </w:r>
          </w:p>
        </w:tc>
        <w:tc>
          <w:tcPr>
            <w:tcW w:type="dxa" w:w="1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11</w:t>
            </w:r>
          </w:p>
        </w:tc>
        <w:tc>
          <w:tcPr>
            <w:tcW w:type="dxa" w:w="25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+6</w:t>
            </w:r>
          </w:p>
        </w:tc>
        <w:tc>
          <w:tcPr>
            <w:tcW w:type="dxa" w:w="35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Maximum +1</w:t>
            </w:r>
          </w:p>
        </w:tc>
      </w:tr>
    </w:tbl>
    <w:p>
      <w:pPr>
        <w:spacing w:after="12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E8E0D4"/>
          <w:sz w:val="20"/>
          <w:szCs w:val="20"/>
        </w:rPr>
        <w:t xml:space="preserve">Only 6 out of 102 canon vehicles need overflow. The slider handles 94% of builds without touching the buttons.</w:t>
      </w:r>
    </w:p>
    <w:p>
      <w:pPr>
        <w:pStyle w:val="Heading1"/>
        <w:spacing w:before="360" w:after="200"/>
      </w:pPr>
      <w:r>
        <w:rPr>
          <w:rFonts w:ascii="Cinzel" w:cs="Cinzel" w:eastAsia="Cinzel" w:hAnsi="Cinzel"/>
          <w:b/>
          <w:bCs/>
          <w:color w:val="C45911"/>
          <w:sz w:val="32"/>
          <w:szCs w:val="32"/>
        </w:rPr>
        <w:t xml:space="preserve">Defence Grade</w:t>
      </w:r>
    </w:p>
    <w:p>
      <w:pPr>
        <w:spacing w:after="12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E8E0D4"/>
          <w:sz w:val="20"/>
          <w:szCs w:val="20"/>
        </w:rPr>
        <w:t xml:space="preserve">The Defence Grade reads from total Toughness (structural + armour combined) and provides a quick at-a-glance threat assessment. This is DiceForge’s own IP-clean rating system, distinct from any published source.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6580"/>
      </w:tblGrid>
      <w:tr>
        <w:tc>
          <w:tcPr>
            <w:tcW w:type="dxa" w:w="1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A2A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45911"/>
                <w:sz w:val="18"/>
                <w:szCs w:val="18"/>
              </w:rPr>
              <w:t xml:space="preserve">Grade</w:t>
            </w:r>
          </w:p>
        </w:tc>
        <w:tc>
          <w:tcPr>
            <w:tcW w:type="dxa" w:w="25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A2A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45911"/>
                <w:sz w:val="18"/>
                <w:szCs w:val="18"/>
              </w:rPr>
              <w:t xml:space="preserve">Total Toughness</w:t>
            </w:r>
          </w:p>
        </w:tc>
        <w:tc>
          <w:tcPr>
            <w:tcW w:type="dxa" w:w="65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A2A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45911"/>
                <w:sz w:val="18"/>
                <w:szCs w:val="18"/>
              </w:rPr>
              <w:t xml:space="preserve">Typical Examples</w:t>
            </w:r>
          </w:p>
        </w:tc>
      </w:tr>
      <w:tr>
        <w:tc>
          <w:tcPr>
            <w:tcW w:type="dxa" w:w="1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A</w:t>
            </w:r>
          </w:p>
        </w:tc>
        <w:tc>
          <w:tcPr>
            <w:tcW w:type="dxa" w:w="25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0–15</w:t>
            </w:r>
          </w:p>
        </w:tc>
        <w:tc>
          <w:tcPr>
            <w:tcW w:type="dxa" w:w="65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Motorcycles, civilian cars, light craft</w:t>
            </w:r>
          </w:p>
        </w:tc>
      </w:tr>
      <w:tr>
        <w:tc>
          <w:tcPr>
            <w:tcW w:type="dxa" w:w="1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B</w:t>
            </w:r>
          </w:p>
        </w:tc>
        <w:tc>
          <w:tcPr>
            <w:tcW w:type="dxa" w:w="25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16–25</w:t>
            </w:r>
          </w:p>
        </w:tc>
        <w:tc>
          <w:tcPr>
            <w:tcW w:type="dxa" w:w="65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Military jeeps, APCs, patrol boats</w:t>
            </w:r>
          </w:p>
        </w:tc>
      </w:tr>
      <w:tr>
        <w:tc>
          <w:tcPr>
            <w:tcW w:type="dxa" w:w="1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C</w:t>
            </w:r>
          </w:p>
        </w:tc>
        <w:tc>
          <w:tcPr>
            <w:tcW w:type="dxa" w:w="25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26–35</w:t>
            </w:r>
          </w:p>
        </w:tc>
        <w:tc>
          <w:tcPr>
            <w:tcW w:type="dxa" w:w="65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Light tanks, armoured vehicles</w:t>
            </w:r>
          </w:p>
        </w:tc>
      </w:tr>
      <w:tr>
        <w:tc>
          <w:tcPr>
            <w:tcW w:type="dxa" w:w="1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D</w:t>
            </w:r>
          </w:p>
        </w:tc>
        <w:tc>
          <w:tcPr>
            <w:tcW w:type="dxa" w:w="25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36–45</w:t>
            </w:r>
          </w:p>
        </w:tc>
        <w:tc>
          <w:tcPr>
            <w:tcW w:type="dxa" w:w="65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Main battle tanks, heavy AFVs</w:t>
            </w:r>
          </w:p>
        </w:tc>
      </w:tr>
      <w:tr>
        <w:tc>
          <w:tcPr>
            <w:tcW w:type="dxa" w:w="1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E</w:t>
            </w:r>
          </w:p>
        </w:tc>
        <w:tc>
          <w:tcPr>
            <w:tcW w:type="dxa" w:w="25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46–55</w:t>
            </w:r>
          </w:p>
        </w:tc>
        <w:tc>
          <w:tcPr>
            <w:tcW w:type="dxa" w:w="65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Future MBTs, heavy warships</w:t>
            </w:r>
          </w:p>
        </w:tc>
      </w:tr>
      <w:tr>
        <w:tc>
          <w:tcPr>
            <w:tcW w:type="dxa" w:w="1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F</w:t>
            </w:r>
          </w:p>
        </w:tc>
        <w:tc>
          <w:tcPr>
            <w:tcW w:type="dxa" w:w="25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56+</w:t>
            </w:r>
          </w:p>
        </w:tc>
        <w:tc>
          <w:tcPr>
            <w:tcW w:type="dxa" w:w="65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Super-heavy tanks, capital ships</w:t>
            </w:r>
          </w:p>
        </w:tc>
      </w:tr>
    </w:tbl>
    <w:p>
      <w:pPr>
        <w:spacing w:after="12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E8E0D4"/>
          <w:sz w:val="20"/>
          <w:szCs w:val="20"/>
        </w:rPr>
        <w:t xml:space="preserve">Each grade has +/− subdivisions based on position within the band. A vehicle near the top of B band shows B+, near the bottom shows B−.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Cinzel" w:cs="Cinzel" w:eastAsia="Cinzel" w:hAnsi="Cinzel"/>
          <w:b/>
          <w:bCs/>
          <w:color w:val="C45911"/>
          <w:sz w:val="32"/>
          <w:szCs w:val="32"/>
        </w:rPr>
        <w:t xml:space="preserve">Known Issues &amp; Next Steps</w:t>
      </w:r>
    </w:p>
    <w:p>
      <w:pPr>
        <w:spacing w:before="200" w:after="100"/>
      </w:pPr>
      <w:r>
        <w:rPr>
          <w:rFonts w:ascii="Segoe UI" w:cs="Segoe UI" w:eastAsia="Segoe UI" w:hAnsi="Segoe UI"/>
          <w:b/>
          <w:bCs/>
          <w:color w:val="C45911"/>
          <w:sz w:val="22"/>
          <w:szCs w:val="22"/>
        </w:rPr>
        <w:t xml:space="preserve">Frame Type Overlap (Design Review Pending)</w:t>
      </w:r>
    </w:p>
    <w:p>
      <w:pPr>
        <w:spacing w:after="12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E8E0D4"/>
          <w:sz w:val="20"/>
          <w:szCs w:val="20"/>
        </w:rPr>
        <w:t xml:space="preserve">The Civilian/Rugged/Military/Futuristic frame type buttons currently multiply base Toughness in the getFrame function. However, the new Toughness slider also adjusts structural toughness, creating potential overlap. A design review is scheduled to determine whether frame types should affect Toughness, cost only, or be replaced entirely.</w:t>
      </w:r>
    </w:p>
    <w:p>
      <w:pPr>
        <w:spacing w:before="200" w:after="100"/>
      </w:pPr>
      <w:r>
        <w:rPr>
          <w:rFonts w:ascii="Segoe UI" w:cs="Segoe UI" w:eastAsia="Segoe UI" w:hAnsi="Segoe UI"/>
          <w:b/>
          <w:bCs/>
          <w:color w:val="C45911"/>
          <w:sz w:val="22"/>
          <w:szCs w:val="22"/>
        </w:rPr>
        <w:t xml:space="preserve">Weak/Tough Mod Overlap</w:t>
      </w:r>
    </w:p>
    <w:p>
      <w:pPr>
        <w:spacing w:after="12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E8E0D4"/>
          <w:sz w:val="20"/>
          <w:szCs w:val="20"/>
        </w:rPr>
        <w:t xml:space="preserve">The Weak and Tough modifications (±1 Toughness per take) overlap with the Toughness slider. These may be consolidated in a future version.</w:t>
      </w:r>
    </w:p>
    <w:p>
      <w:pPr>
        <w:spacing w:before="200" w:after="100"/>
      </w:pPr>
      <w:r>
        <w:rPr>
          <w:rFonts w:ascii="Segoe UI" w:cs="Segoe UI" w:eastAsia="Segoe UI" w:hAnsi="Segoe UI"/>
          <w:b/>
          <w:bCs/>
          <w:color w:val="C45911"/>
          <w:sz w:val="22"/>
          <w:szCs w:val="22"/>
        </w:rPr>
        <w:t xml:space="preserve">Mod Slot Costs (Open Question)</w:t>
      </w:r>
    </w:p>
    <w:p>
      <w:pPr>
        <w:spacing w:after="12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E8E0D4"/>
          <w:sz w:val="20"/>
          <w:szCs w:val="20"/>
        </w:rPr>
        <w:t xml:space="preserve">Does overflow beyond +5 consume mod slots? Current implementation applies a cost multiplier but no mod slot cost. Options under consideration: free within slider with mod cost on overflow, progressive mod cost per position, or entirely free with cost-only scaling.</w:t>
      </w:r>
    </w:p>
    <w:p>
      <w:pPr>
        <w:spacing w:before="200" w:after="100"/>
      </w:pPr>
      <w:r>
        <w:rPr>
          <w:rFonts w:ascii="Segoe UI" w:cs="Segoe UI" w:eastAsia="Segoe UI" w:hAnsi="Segoe UI"/>
          <w:b/>
          <w:bCs/>
          <w:color w:val="C45911"/>
          <w:sz w:val="22"/>
          <w:szCs w:val="22"/>
        </w:rPr>
        <w:t xml:space="preserve">Price Scaling (Open Question)</w:t>
      </w:r>
    </w:p>
    <w:p>
      <w:pPr>
        <w:spacing w:after="12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E8E0D4"/>
          <w:sz w:val="20"/>
          <w:szCs w:val="20"/>
        </w:rPr>
        <w:t xml:space="preserve">The current cost multiplier uses combined absolute slider positions. This is a placeholder pending more detailed calibration against canon vehicle prices.</w:t>
      </w:r>
    </w:p>
    <w:p>
      <w:pPr>
        <w:spacing w:before="200" w:after="100"/>
      </w:pPr>
      <w:r>
        <w:rPr>
          <w:rFonts w:ascii="Segoe UI" w:cs="Segoe UI" w:eastAsia="Segoe UI" w:hAnsi="Segoe UI"/>
          <w:b/>
          <w:bCs/>
          <w:color w:val="C45911"/>
          <w:sz w:val="22"/>
          <w:szCs w:val="22"/>
        </w:rPr>
        <w:t xml:space="preserve">UI Layout Refactor</w:t>
      </w:r>
    </w:p>
    <w:p>
      <w:pPr>
        <w:spacing w:after="12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E8E0D4"/>
          <w:sz w:val="20"/>
          <w:szCs w:val="20"/>
        </w:rPr>
        <w:t xml:space="preserve">The sidebar-dominant layout needs restructuring. A three-zone grid layout with content-driven sizing is planned for v7.1.</w:t>
      </w:r>
    </w:p>
    <w:p>
      <w:pPr>
        <w:pStyle w:val="Heading1"/>
        <w:spacing w:before="360" w:after="200"/>
      </w:pPr>
      <w:r>
        <w:rPr>
          <w:rFonts w:ascii="Cinzel" w:cs="Cinzel" w:eastAsia="Cinzel" w:hAnsi="Cinzel"/>
          <w:b/>
          <w:bCs/>
          <w:color w:val="C45911"/>
          <w:sz w:val="32"/>
          <w:szCs w:val="32"/>
        </w:rPr>
        <w:t xml:space="preserve">Version History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7580"/>
      </w:tblGrid>
      <w:tr>
        <w:tc>
          <w:tcPr>
            <w:tcW w:type="dxa" w:w="1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A2A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45911"/>
                <w:sz w:val="18"/>
                <w:szCs w:val="18"/>
              </w:rPr>
              <w:t xml:space="preserve">Version</w:t>
            </w:r>
          </w:p>
        </w:tc>
        <w:tc>
          <w:tcPr>
            <w:tcW w:type="dxa" w:w="15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A2A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45911"/>
                <w:sz w:val="18"/>
                <w:szCs w:val="18"/>
              </w:rPr>
              <w:t xml:space="preserve">Date</w:t>
            </w:r>
          </w:p>
        </w:tc>
        <w:tc>
          <w:tcPr>
            <w:tcW w:type="dxa" w:w="75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A2A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45911"/>
                <w:sz w:val="18"/>
                <w:szCs w:val="18"/>
              </w:rPr>
              <w:t xml:space="preserve">Changes</w:t>
            </w:r>
          </w:p>
        </w:tc>
      </w:tr>
      <w:tr>
        <w:tc>
          <w:tcPr>
            <w:tcW w:type="dxa" w:w="1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v7.0</w:t>
            </w:r>
          </w:p>
        </w:tc>
        <w:tc>
          <w:tcPr>
            <w:tcW w:type="dxa" w:w="15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Feb 2026</w:t>
            </w:r>
          </w:p>
        </w:tc>
        <w:tc>
          <w:tcPr>
            <w:tcW w:type="dxa" w:w="75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Two-slider armour system, domain-aware baselines, overflow mechanic, display format fix, removed AT buttons and 3 defensive mods</w:t>
            </w:r>
          </w:p>
        </w:tc>
      </w:tr>
      <w:tr>
        <w:tc>
          <w:tcPr>
            <w:tcW w:type="dxa" w:w="1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v6.7</w:t>
            </w:r>
          </w:p>
        </w:tc>
        <w:tc>
          <w:tcPr>
            <w:tcW w:type="dxa" w:w="15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Feb 2026</w:t>
            </w:r>
          </w:p>
        </w:tc>
        <w:tc>
          <w:tcPr>
            <w:tcW w:type="dxa" w:w="75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Armour Technology button fix, single source of truth for AT data</w:t>
            </w:r>
          </w:p>
        </w:tc>
      </w:tr>
      <w:tr>
        <w:tc>
          <w:tcPr>
            <w:tcW w:type="dxa" w:w="1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v6.6</w:t>
            </w:r>
          </w:p>
        </w:tc>
        <w:tc>
          <w:tcPr>
            <w:tcW w:type="dxa" w:w="15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Feb 2026</w:t>
            </w:r>
          </w:p>
        </w:tc>
        <w:tc>
          <w:tcPr>
            <w:tcW w:type="dxa" w:w="75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Toughness calc fix, clipboard export parity</w:t>
            </w:r>
          </w:p>
        </w:tc>
      </w:tr>
      <w:tr>
        <w:tc>
          <w:tcPr>
            <w:tcW w:type="dxa" w:w="1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v6.4</w:t>
            </w:r>
          </w:p>
        </w:tc>
        <w:tc>
          <w:tcPr>
            <w:tcW w:type="dxa" w:w="15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Jan 2026</w:t>
            </w:r>
          </w:p>
        </w:tc>
        <w:tc>
          <w:tcPr>
            <w:tcW w:type="dxa" w:w="75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Companion Guide first edition, DiceForge Threat Grade system</w:t>
            </w:r>
          </w:p>
        </w:tc>
      </w:tr>
      <w:tr>
        <w:tc>
          <w:tcPr>
            <w:tcW w:type="dxa" w:w="1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v6.0</w:t>
            </w:r>
          </w:p>
        </w:tc>
        <w:tc>
          <w:tcPr>
            <w:tcW w:type="dxa" w:w="15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Jan 2026</w:t>
            </w:r>
          </w:p>
        </w:tc>
        <w:tc>
          <w:tcPr>
            <w:tcW w:type="dxa" w:w="75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E8E0D4"/>
                <w:sz w:val="18"/>
                <w:szCs w:val="18"/>
              </w:rPr>
              <w:t xml:space="preserve">Major rebuild: drag-and-drop mods/weapons, colour-coded mounts, linked weapons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E8E0D4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Cinzel" w:cs="Cinzel" w:eastAsia="Cinzel" w:hAnsi="Cinzel"/>
      <w:b/>
      <w:bCs/>
      <w:color w:val="C45911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Cinzel" w:cs="Cinzel" w:eastAsia="Cinzel" w:hAnsi="Cinzel"/>
      <w:b/>
      <w:bCs/>
      <w:color w:val="E8E0D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2026-02-21T22:29:20.875Z</dcterms:created>
  <dcterms:modified xsi:type="dcterms:W3CDTF">2026-02-21T22:29:20.875Z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