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C05621"/>
          <w:sz w:val="30"/>
          <w:szCs w:val="30"/>
        </w:rPr>
        <w:t xml:space="preserve">ZR MECADEMY</w:t>
      </w:r>
    </w:p>
    <w:p>
      <w:pPr>
        <w:spacing w:before="200"/>
        <w:jc w:val="center"/>
      </w:pPr>
      <w:r>
        <w:rPr>
          <w:b/>
          <w:bCs/>
          <w:color w:val="1F2937"/>
          <w:sz w:val="64"/>
          <w:szCs w:val="64"/>
        </w:rPr>
        <w:t xml:space="preserve">ZR APP</w:t>
      </w:r>
    </w:p>
    <w:p>
      <w:pPr>
        <w:spacing w:after="600" w:before="120"/>
        <w:jc w:val="center"/>
      </w:pPr>
      <w:r>
        <w:rPr>
          <w:color w:val="1F2937"/>
          <w:sz w:val="30"/>
          <w:szCs w:val="30"/>
        </w:rPr>
        <w:t xml:space="preserve">Propuesta de Valor, Diferenciadores e Innovación</w:t>
      </w:r>
    </w:p>
    <w:p>
      <w:pPr>
        <w:spacing w:after="80"/>
        <w:jc w:val="center"/>
      </w:pPr>
      <w:r>
        <w:rPr>
          <w:color w:val="6B7280"/>
          <w:sz w:val="22"/>
          <w:szCs w:val="22"/>
        </w:rPr>
        <w:t xml:space="preserve">Documento ejecutivo para Dirección y Junta</w:t>
      </w:r>
    </w:p>
    <w:p>
      <w:pPr>
        <w:spacing w:after="80"/>
        <w:jc w:val="center"/>
      </w:pPr>
      <w:r>
        <w:rPr>
          <w:color w:val="6B7280"/>
          <w:sz w:val="20"/>
          <w:szCs w:val="20"/>
        </w:rPr>
        <w:t xml:space="preserve">Incluye: resumen del sistema, propuesta de valor por rol, elementos innovadores, vacíos identificados y banco de preguntas de cierre por coordinación</w:t>
      </w:r>
    </w:p>
    <w:p>
      <w:pPr>
        <w:spacing w:before="900"/>
        <w:jc w:val="center"/>
      </w:pPr>
      <w:r>
        <w:rPr>
          <w:color w:val="6B7280"/>
          <w:sz w:val="20"/>
          <w:szCs w:val="20"/>
        </w:rPr>
        <w:t xml:space="preserve">Julio 2026</w:t>
      </w:r>
    </w:p>
    <w:p>
      <w:r>
        <w:br w:type="page"/>
      </w:r>
    </w:p>
    <w:p>
      <w:pPr>
        <w:pStyle w:val="Heading1"/>
        <w:pBdr>
          <w:bottom w:val="single" w:color="C05621" w:sz="12" w:space="4"/>
        </w:pBdr>
        <w:spacing w:after="200" w:before="400"/>
      </w:pPr>
      <w:r>
        <w:rPr>
          <w:b/>
          <w:bCs/>
          <w:color w:val="1F2937"/>
          <w:sz w:val="30"/>
          <w:szCs w:val="30"/>
        </w:rPr>
        <w:t xml:space="preserve">Tabla de Contenido</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05621" w:sz="12" w:space="4"/>
        </w:pBdr>
        <w:spacing w:after="200" w:before="400"/>
      </w:pPr>
      <w:r>
        <w:rPr>
          <w:b/>
          <w:bCs/>
          <w:color w:val="1F2937"/>
          <w:sz w:val="30"/>
          <w:szCs w:val="30"/>
        </w:rPr>
        <w:t xml:space="preserve">1. Resumen Ejecutivo</w:t>
      </w:r>
    </w:p>
    <w:p>
      <w:pPr>
        <w:spacing w:after="160" w:line="300"/>
      </w:pPr>
      <w:r>
        <w:rPr>
          <w:color w:val="1A1A1A"/>
          <w:sz w:val="21"/>
          <w:szCs w:val="21"/>
        </w:rPr>
        <w:t xml:space="preserve">ZR App es la plataforma digital de ZR Mecademy para la gestión académica y la experiencia del estudiante de mecánica automotriz. No es un intento de digitalizar todo lo imaginable: es una solución dirigida primero a resolver los dolores operativos reales de la academia (asistencia, evaluaciones, contenido, pagos) y, sobre esa base ya funcionando, sumar capas de retención e ingreso (financiamiento flexible, gamificación con evidencia real de dominio, comunidad).</w:t>
      </w:r>
    </w:p>
    <w:p>
      <w:pPr>
        <w:spacing w:after="160" w:line="300"/>
      </w:pPr>
      <w:r>
        <w:rPr>
          <w:b/>
          <w:bCs/>
          <w:color w:val="1F2937"/>
          <w:sz w:val="21"/>
          <w:szCs w:val="21"/>
        </w:rPr>
        <w:t xml:space="preserve">Principio rector del proyecto: </w:t>
      </w:r>
      <w:r>
        <w:rPr>
          <w:color w:val="1A1A1A"/>
          <w:sz w:val="21"/>
          <w:szCs w:val="21"/>
        </w:rPr>
        <w:t xml:space="preserve">cada módulo debe sumar valor neto a al menos uno de los tres roles del sistema (estudiante, profesor, administración) sin generar fricción a los otros dos. Un módulo que agrega trabajo sin quitar trabajo en otro lado se cuestiona antes de construirse.</w:t>
      </w:r>
    </w:p>
    <w:p>
      <w:pPr>
        <w:spacing w:after="160" w:line="300"/>
      </w:pPr>
      <w:r>
        <w:rPr>
          <w:color w:val="1A1A1A"/>
          <w:sz w:val="21"/>
          <w:szCs w:val="21"/>
        </w:rPr>
        <w:t xml:space="preserve">El sistema se construye por fases, no como un lanzamiento único: primero el MVP operativo (lo que hace que la academia deje de depender de planillas físicas y WhatsApp), luego la capa de retención e ingresos (financiamiento y progreso visible), y por último el diferenciador de marca (comunidad y portafolio profesional), condicionado a que las fases anteriores demuestren tracción real.</w:t>
      </w:r>
    </w:p>
    <w:p>
      <w:pPr>
        <w:pStyle w:val="Heading2"/>
        <w:spacing w:after="140" w:before="280"/>
      </w:pPr>
      <w:r>
        <w:rPr>
          <w:b/>
          <w:bCs/>
          <w:color w:val="C05621"/>
          <w:sz w:val="24"/>
          <w:szCs w:val="24"/>
        </w:rPr>
        <w:t xml:space="preserve">¿Qué resuelve para el negocio, en una frase por área?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shd w:fill="1F2937" w:val="clear"/>
            <w:tcMar>
              <w:top w:type="dxa" w:w="100"/>
              <w:left w:type="dxa" w:w="120"/>
              <w:bottom w:type="dxa" w:w="100"/>
              <w:right w:type="dxa" w:w="120"/>
            </w:tcMar>
            <w:vAlign w:val="center"/>
          </w:tcPr>
          <w:p>
            <w:pPr>
              <w:spacing w:after="60"/>
            </w:pPr>
            <w:r>
              <w:rPr>
                <w:b/>
                <w:bCs/>
                <w:color w:val="FFFFFF"/>
                <w:sz w:val="19"/>
                <w:szCs w:val="19"/>
              </w:rPr>
              <w:t xml:space="preserve">Área</w:t>
            </w:r>
          </w:p>
        </w:tc>
        <w:tc>
          <w:tcPr>
            <w:tcW w:type="dxa" w:w="7000"/>
            <w:shd w:fill="1F2937" w:val="clear"/>
            <w:tcMar>
              <w:top w:type="dxa" w:w="100"/>
              <w:left w:type="dxa" w:w="120"/>
              <w:bottom w:type="dxa" w:w="100"/>
              <w:right w:type="dxa" w:w="120"/>
            </w:tcMar>
            <w:vAlign w:val="center"/>
          </w:tcPr>
          <w:p>
            <w:pPr>
              <w:spacing w:after="60"/>
            </w:pPr>
            <w:r>
              <w:rPr>
                <w:b/>
                <w:bCs/>
                <w:color w:val="FFFFFF"/>
                <w:sz w:val="19"/>
                <w:szCs w:val="19"/>
              </w:rPr>
              <w:t xml:space="preserve">Resultado esperado</w:t>
            </w:r>
          </w:p>
        </w:tc>
      </w:tr>
      <w:tr>
        <w:tc>
          <w:tcPr>
            <w:tcW w:type="dxa" w:w="2300"/>
            <w:tcMar>
              <w:top w:type="dxa" w:w="100"/>
              <w:left w:type="dxa" w:w="120"/>
              <w:bottom w:type="dxa" w:w="100"/>
              <w:right w:type="dxa" w:w="120"/>
            </w:tcMar>
            <w:vAlign w:val="center"/>
          </w:tcPr>
          <w:p>
            <w:pPr>
              <w:spacing w:after="60"/>
            </w:pPr>
            <w:r>
              <w:rPr>
                <w:b w:val="false"/>
                <w:bCs w:val="false"/>
                <w:color w:val="1A1A1A"/>
                <w:sz w:val="20"/>
                <w:szCs w:val="20"/>
              </w:rPr>
              <w:t xml:space="preserve">Cobranza</w:t>
            </w:r>
          </w:p>
        </w:tc>
        <w:tc>
          <w:tcPr>
            <w:tcW w:type="dxa" w:w="7000"/>
            <w:tcMar>
              <w:top w:type="dxa" w:w="100"/>
              <w:left w:type="dxa" w:w="120"/>
              <w:bottom w:type="dxa" w:w="100"/>
              <w:right w:type="dxa" w:w="120"/>
            </w:tcMar>
            <w:vAlign w:val="center"/>
          </w:tcPr>
          <w:p>
            <w:pPr>
              <w:spacing w:after="60"/>
            </w:pPr>
            <w:r>
              <w:rPr>
                <w:b w:val="false"/>
                <w:bCs w:val="false"/>
                <w:color w:val="1A1A1A"/>
                <w:sz w:val="20"/>
                <w:szCs w:val="20"/>
              </w:rPr>
              <w:t xml:space="preserve">Menos tiempo de personal dedicado a conciliar comprobantes manualmente; mora visible y accionable en tiempo real.</w:t>
            </w:r>
          </w:p>
        </w:tc>
      </w:tr>
      <w:tr>
        <w:tc>
          <w:tcPr>
            <w:tcW w:type="dxa" w:w="23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Ingresos</w:t>
            </w:r>
          </w:p>
        </w:tc>
        <w:tc>
          <w:tcPr>
            <w:tcW w:type="dxa" w:w="70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Financiamiento flexible estilo Cashea reduce la barrera de entrada al inscribirse, sin regalar el riesgo: niveles de confianza que se ganan con historial de pago.</w:t>
            </w:r>
          </w:p>
        </w:tc>
      </w:tr>
      <w:tr>
        <w:tc>
          <w:tcPr>
            <w:tcW w:type="dxa" w:w="2300"/>
            <w:tcMar>
              <w:top w:type="dxa" w:w="100"/>
              <w:left w:type="dxa" w:w="120"/>
              <w:bottom w:type="dxa" w:w="100"/>
              <w:right w:type="dxa" w:w="120"/>
            </w:tcMar>
            <w:vAlign w:val="center"/>
          </w:tcPr>
          <w:p>
            <w:pPr>
              <w:spacing w:after="60"/>
            </w:pPr>
            <w:r>
              <w:rPr>
                <w:b w:val="false"/>
                <w:bCs w:val="false"/>
                <w:color w:val="1A1A1A"/>
                <w:sz w:val="20"/>
                <w:szCs w:val="20"/>
              </w:rPr>
              <w:t xml:space="preserve">Operación diaria</w:t>
            </w:r>
          </w:p>
        </w:tc>
        <w:tc>
          <w:tcPr>
            <w:tcW w:type="dxa" w:w="7000"/>
            <w:tcMar>
              <w:top w:type="dxa" w:w="100"/>
              <w:left w:type="dxa" w:w="120"/>
              <w:bottom w:type="dxa" w:w="100"/>
              <w:right w:type="dxa" w:w="120"/>
            </w:tcMar>
            <w:vAlign w:val="center"/>
          </w:tcPr>
          <w:p>
            <w:pPr>
              <w:spacing w:after="60"/>
            </w:pPr>
            <w:r>
              <w:rPr>
                <w:b w:val="false"/>
                <w:bCs w:val="false"/>
                <w:color w:val="1A1A1A"/>
                <w:sz w:val="20"/>
                <w:szCs w:val="20"/>
              </w:rPr>
              <w:t xml:space="preserve">Asistencia y entrega de refrigerio en un solo evento de escaneo, sin planillas ni doble validación.</w:t>
            </w:r>
          </w:p>
        </w:tc>
      </w:tr>
      <w:tr>
        <w:tc>
          <w:tcPr>
            <w:tcW w:type="dxa" w:w="23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Retención</w:t>
            </w:r>
          </w:p>
        </w:tc>
        <w:tc>
          <w:tcPr>
            <w:tcW w:type="dxa" w:w="70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El estudiante ve su dominio técnico real acumularse (no una racha artificial), lo que sostiene el uso del app por motivación propia del oficio.</w:t>
            </w:r>
          </w:p>
        </w:tc>
      </w:tr>
      <w:tr>
        <w:tc>
          <w:tcPr>
            <w:tcW w:type="dxa" w:w="2300"/>
            <w:tcMar>
              <w:top w:type="dxa" w:w="100"/>
              <w:left w:type="dxa" w:w="120"/>
              <w:bottom w:type="dxa" w:w="100"/>
              <w:right w:type="dxa" w:w="120"/>
            </w:tcMar>
            <w:vAlign w:val="center"/>
          </w:tcPr>
          <w:p>
            <w:pPr>
              <w:spacing w:after="60"/>
            </w:pPr>
            <w:r>
              <w:rPr>
                <w:b w:val="false"/>
                <w:bCs w:val="false"/>
                <w:color w:val="1A1A1A"/>
                <w:sz w:val="20"/>
                <w:szCs w:val="20"/>
              </w:rPr>
              <w:t xml:space="preserve">Marca / diferenciación</w:t>
            </w:r>
          </w:p>
        </w:tc>
        <w:tc>
          <w:tcPr>
            <w:tcW w:type="dxa" w:w="7000"/>
            <w:tcMar>
              <w:top w:type="dxa" w:w="100"/>
              <w:left w:type="dxa" w:w="120"/>
              <w:bottom w:type="dxa" w:w="100"/>
              <w:right w:type="dxa" w:w="120"/>
            </w:tcMar>
            <w:vAlign w:val="center"/>
          </w:tcPr>
          <w:p>
            <w:pPr>
              <w:spacing w:after="60"/>
            </w:pPr>
            <w:r>
              <w:rPr>
                <w:b w:val="false"/>
                <w:bCs w:val="false"/>
                <w:color w:val="1A1A1A"/>
                <w:sz w:val="20"/>
                <w:szCs w:val="20"/>
              </w:rPr>
              <w:t xml:space="preserve">Portafolio profesional verificable y certificación compartible por QR: el egresado se presenta a talleres y marcas con evidencia digital de su formación.</w:t>
            </w:r>
          </w:p>
        </w:tc>
      </w:tr>
    </w:tbl>
    <w:p>
      <w:pPr>
        <w:spacing w:after="120"/>
      </w:pPr>
    </w:p>
    <w:p>
      <w:pPr>
        <w:pStyle w:val="Heading1"/>
        <w:pBdr>
          <w:bottom w:val="single" w:color="C05621" w:sz="12" w:space="4"/>
        </w:pBdr>
        <w:spacing w:after="200" w:before="400"/>
      </w:pPr>
      <w:r>
        <w:rPr>
          <w:b/>
          <w:bCs/>
          <w:color w:val="1F2937"/>
          <w:sz w:val="30"/>
          <w:szCs w:val="30"/>
        </w:rPr>
        <w:t xml:space="preserve">2. Propuesta de Valor por Rol</w:t>
      </w:r>
    </w:p>
    <w:p>
      <w:pPr>
        <w:spacing w:after="160" w:line="300"/>
      </w:pPr>
      <w:r>
        <w:rPr>
          <w:color w:val="1A1A1A"/>
          <w:sz w:val="21"/>
          <w:szCs w:val="21"/>
        </w:rPr>
        <w:t xml:space="preserve">El valor del sistema no es genérico: cada rol tiene una razón distinta y concreta para adoptarlo de forma voluntaria, no forzada.</w:t>
      </w:r>
    </w:p>
    <w:p>
      <w:pPr>
        <w:pStyle w:val="Heading2"/>
        <w:spacing w:after="140" w:before="280"/>
      </w:pPr>
      <w:r>
        <w:rPr>
          <w:b/>
          <w:bCs/>
          <w:color w:val="C05621"/>
          <w:sz w:val="24"/>
          <w:szCs w:val="24"/>
        </w:rPr>
        <w:t xml:space="preserve">2.1 Estudiante (15–25 años)</w:t>
      </w:r>
    </w:p>
    <w:p>
      <w:pPr>
        <w:pStyle w:val="ListParagraph"/>
        <w:numPr>
          <w:ilvl w:val="0"/>
          <w:numId w:val="2"/>
        </w:numPr>
        <w:spacing w:after="90"/>
      </w:pPr>
      <w:r>
        <w:rPr>
          <w:sz w:val="21"/>
          <w:szCs w:val="21"/>
        </w:rPr>
        <w:t xml:space="preserve">Onboarding en menos de 60 segundos: registro con cédula, nombre y contraseña, sin fricción de entrada.</w:t>
      </w:r>
    </w:p>
    <w:p>
      <w:pPr>
        <w:pStyle w:val="ListParagraph"/>
        <w:numPr>
          <w:ilvl w:val="0"/>
          <w:numId w:val="2"/>
        </w:numPr>
        <w:spacing w:after="90"/>
      </w:pPr>
      <w:r>
        <w:rPr>
          <w:sz w:val="21"/>
          <w:szCs w:val="21"/>
        </w:rPr>
        <w:t xml:space="preserve">Un solo lugar para todo lo que hoy resuelve por WhatsApp o en papel: carnet, contenido de clase, exámenes, estado de cuenta y progreso técnico.</w:t>
      </w:r>
    </w:p>
    <w:p>
      <w:pPr>
        <w:pStyle w:val="ListParagraph"/>
        <w:numPr>
          <w:ilvl w:val="0"/>
          <w:numId w:val="2"/>
        </w:numPr>
        <w:spacing w:after="90"/>
      </w:pPr>
      <w:r>
        <w:rPr>
          <w:sz w:val="21"/>
          <w:szCs w:val="21"/>
        </w:rPr>
        <w:t xml:space="preserve">Financiamiento accesible sin renunciar a empezar el programa: paga un inicial y fracciona el resto, con condiciones que mejoran según su propio historial de pago puntual.</w:t>
      </w:r>
    </w:p>
    <w:p>
      <w:pPr>
        <w:pStyle w:val="ListParagraph"/>
        <w:numPr>
          <w:ilvl w:val="0"/>
          <w:numId w:val="2"/>
        </w:numPr>
        <w:spacing w:after="90"/>
      </w:pPr>
      <w:r>
        <w:rPr>
          <w:sz w:val="21"/>
          <w:szCs w:val="21"/>
        </w:rPr>
        <w:t xml:space="preserve">Ve su avance técnico real (mapa de dominio por sub-competencia), no un puntaje abstracto ni una racha que se rompe si un día no abre la app.</w:t>
      </w:r>
    </w:p>
    <w:p>
      <w:pPr>
        <w:pStyle w:val="ListParagraph"/>
        <w:numPr>
          <w:ilvl w:val="0"/>
          <w:numId w:val="2"/>
        </w:numPr>
        <w:spacing w:after="90"/>
      </w:pPr>
      <w:r>
        <w:rPr>
          <w:sz w:val="21"/>
          <w:szCs w:val="21"/>
        </w:rPr>
        <w:t xml:space="preserve">Micro-video de 30 segundos en formato vertical: el mismo lenguaje audiovisual que ya consume nativamente en redes, aplicado a contenido curricular.</w:t>
      </w:r>
    </w:p>
    <w:p>
      <w:pPr>
        <w:pStyle w:val="ListParagraph"/>
        <w:numPr>
          <w:ilvl w:val="0"/>
          <w:numId w:val="2"/>
        </w:numPr>
        <w:spacing w:after="90"/>
      </w:pPr>
      <w:r>
        <w:rPr>
          <w:sz w:val="21"/>
          <w:szCs w:val="21"/>
        </w:rPr>
        <w:t xml:space="preserve">Al egresar, se lleva un portafolio profesional verificable y un certificado compartible por QR — un activo real para conseguir trabajo, no solo un diploma de papel.</w:t>
      </w:r>
    </w:p>
    <w:p>
      <w:pPr>
        <w:pStyle w:val="Heading2"/>
        <w:spacing w:after="140" w:before="280"/>
      </w:pPr>
      <w:r>
        <w:rPr>
          <w:b/>
          <w:bCs/>
          <w:color w:val="C05621"/>
          <w:sz w:val="24"/>
          <w:szCs w:val="24"/>
        </w:rPr>
        <w:t xml:space="preserve">2.2 Profesor</w:t>
      </w:r>
    </w:p>
    <w:p>
      <w:pPr>
        <w:pStyle w:val="ListParagraph"/>
        <w:numPr>
          <w:ilvl w:val="0"/>
          <w:numId w:val="2"/>
        </w:numPr>
        <w:spacing w:after="90"/>
      </w:pPr>
      <w:r>
        <w:rPr>
          <w:sz w:val="21"/>
          <w:szCs w:val="21"/>
        </w:rPr>
        <w:t xml:space="preserve">Controla exactamente cuándo un examen se habilita, con notificación automática a sus estudiantes — sin coordinar horarios manualmente.</w:t>
      </w:r>
    </w:p>
    <w:p>
      <w:pPr>
        <w:pStyle w:val="ListParagraph"/>
        <w:numPr>
          <w:ilvl w:val="0"/>
          <w:numId w:val="2"/>
        </w:numPr>
        <w:spacing w:after="90"/>
      </w:pPr>
      <w:r>
        <w:rPr>
          <w:sz w:val="21"/>
          <w:szCs w:val="21"/>
        </w:rPr>
        <w:t xml:space="preserve">Cola de calificación de redacciones abiertas centralizada, sin cuadernos ni hojas sueltas.</w:t>
      </w:r>
    </w:p>
    <w:p>
      <w:pPr>
        <w:pStyle w:val="ListParagraph"/>
        <w:numPr>
          <w:ilvl w:val="0"/>
          <w:numId w:val="2"/>
        </w:numPr>
        <w:spacing w:after="90"/>
      </w:pPr>
      <w:r>
        <w:rPr>
          <w:sz w:val="21"/>
          <w:szCs w:val="21"/>
        </w:rPr>
        <w:t xml:space="preserve">Sube el contenido de micro-learning una vez y queda ligado a la sub-competencia correcta del mapa de dominio; no repite explicaciones curso tras curso.</w:t>
      </w:r>
    </w:p>
    <w:p>
      <w:pPr>
        <w:pStyle w:val="ListParagraph"/>
        <w:numPr>
          <w:ilvl w:val="0"/>
          <w:numId w:val="2"/>
        </w:numPr>
        <w:spacing w:after="90"/>
      </w:pPr>
      <w:r>
        <w:rPr>
          <w:sz w:val="21"/>
          <w:szCs w:val="21"/>
        </w:rPr>
        <w:t xml:space="preserve">Ve el feedback agregado de sus clases sin tener que pedirlo verbalmente al final de cada sesión.</w:t>
      </w:r>
    </w:p>
    <w:p>
      <w:pPr>
        <w:pStyle w:val="Heading2"/>
        <w:spacing w:after="140" w:before="280"/>
      </w:pPr>
      <w:r>
        <w:rPr>
          <w:b/>
          <w:bCs/>
          <w:color w:val="C05621"/>
          <w:sz w:val="24"/>
          <w:szCs w:val="24"/>
        </w:rPr>
        <w:t xml:space="preserve">2.3 Administración</w:t>
      </w:r>
    </w:p>
    <w:p>
      <w:pPr>
        <w:pStyle w:val="ListParagraph"/>
        <w:numPr>
          <w:ilvl w:val="0"/>
          <w:numId w:val="2"/>
        </w:numPr>
        <w:spacing w:after="90"/>
      </w:pPr>
      <w:r>
        <w:rPr>
          <w:sz w:val="21"/>
          <w:szCs w:val="21"/>
        </w:rPr>
        <w:t xml:space="preserve">Cola única de comprobantes de pago con SLA visible, en lugar de cobranza dispersa entre caja física, capturas de pantalla y mensajes.</w:t>
      </w:r>
    </w:p>
    <w:p>
      <w:pPr>
        <w:pStyle w:val="ListParagraph"/>
        <w:numPr>
          <w:ilvl w:val="0"/>
          <w:numId w:val="2"/>
        </w:numPr>
        <w:spacing w:after="90"/>
      </w:pPr>
      <w:r>
        <w:rPr>
          <w:sz w:val="21"/>
          <w:szCs w:val="21"/>
        </w:rPr>
        <w:t xml:space="preserve">Asistencia y entrega de refrigerio resueltas por el mismo evento de escaneo — sin doble registro ni doble infraestructura (no se construye un módulo NFC aparte solo para el refrigerio).</w:t>
      </w:r>
    </w:p>
    <w:p>
      <w:pPr>
        <w:pStyle w:val="ListParagraph"/>
        <w:numPr>
          <w:ilvl w:val="0"/>
          <w:numId w:val="2"/>
        </w:numPr>
        <w:spacing w:after="90"/>
      </w:pPr>
      <w:r>
        <w:rPr>
          <w:sz w:val="21"/>
          <w:szCs w:val="21"/>
        </w:rPr>
        <w:t xml:space="preserve">Reportes de mora, dominio por cohorte y uso de e-learning como datos reales del sistema, no estimaciones.</w:t>
      </w:r>
    </w:p>
    <w:p>
      <w:pPr>
        <w:pStyle w:val="ListParagraph"/>
        <w:numPr>
          <w:ilvl w:val="0"/>
          <w:numId w:val="2"/>
        </w:numPr>
        <w:spacing w:after="90"/>
      </w:pPr>
      <w:r>
        <w:rPr>
          <w:sz w:val="21"/>
          <w:szCs w:val="21"/>
        </w:rPr>
        <w:t xml:space="preserve">Trazabilidad completa: cada comprobante aprobado o rechazado queda en un registro inmutable, con motivo estructurado — base sólida para auditoría y detección de patrones de fraude.</w:t>
      </w:r>
    </w:p>
    <w:p>
      <w:pPr>
        <w:pStyle w:val="Heading2"/>
        <w:spacing w:after="140" w:before="280"/>
      </w:pPr>
      <w:r>
        <w:rPr>
          <w:b/>
          <w:bCs/>
          <w:color w:val="C05621"/>
          <w:sz w:val="24"/>
          <w:szCs w:val="24"/>
        </w:rPr>
        <w:t xml:space="preserve">2.4 Dirección Académica / Negocio</w:t>
      </w:r>
    </w:p>
    <w:p>
      <w:pPr>
        <w:pStyle w:val="ListParagraph"/>
        <w:numPr>
          <w:ilvl w:val="0"/>
          <w:numId w:val="2"/>
        </w:numPr>
        <w:spacing w:after="90"/>
      </w:pPr>
      <w:r>
        <w:rPr>
          <w:sz w:val="21"/>
          <w:szCs w:val="21"/>
        </w:rPr>
        <w:t xml:space="preserve">Configura porcentajes de financiamiento, políticas de mora y reglas de moderación desde un panel central — no quedan hardcodeados en ninguna app.</w:t>
      </w:r>
    </w:p>
    <w:p>
      <w:pPr>
        <w:pStyle w:val="ListParagraph"/>
        <w:numPr>
          <w:ilvl w:val="0"/>
          <w:numId w:val="2"/>
        </w:numPr>
        <w:spacing w:after="90"/>
      </w:pPr>
      <w:r>
        <w:rPr>
          <w:sz w:val="21"/>
          <w:szCs w:val="21"/>
        </w:rPr>
        <w:t xml:space="preserve">Puede medir, por primera vez con datos reales, si la academia está reduciendo su tiempo de cobranza manual y si el estudiante realmente está dominando las competencias del programa.</w:t>
      </w:r>
    </w:p>
    <w:p>
      <w:pPr>
        <w:pStyle w:val="ListParagraph"/>
        <w:numPr>
          <w:ilvl w:val="0"/>
          <w:numId w:val="2"/>
        </w:numPr>
        <w:spacing w:after="90"/>
      </w:pPr>
      <w:r>
        <w:rPr>
          <w:sz w:val="21"/>
          <w:szCs w:val="21"/>
        </w:rPr>
        <w:t xml:space="preserve">El portafolio profesional público funciona como vitrina de marca frente a talleres, concesionarios y marcas automotrices — un canal de posicionamiento que hoy la academia no tiene.</w:t>
      </w:r>
    </w:p>
    <w:p>
      <w:pPr>
        <w:spacing w:after="120"/>
      </w:pPr>
    </w:p>
    <w:p>
      <w:pPr>
        <w:pStyle w:val="Heading1"/>
        <w:pBdr>
          <w:bottom w:val="single" w:color="C05621" w:sz="12" w:space="4"/>
        </w:pBdr>
        <w:spacing w:after="200" w:before="400"/>
      </w:pPr>
      <w:r>
        <w:rPr>
          <w:b/>
          <w:bCs/>
          <w:color w:val="1F2937"/>
          <w:sz w:val="30"/>
          <w:szCs w:val="30"/>
        </w:rPr>
        <w:t xml:space="preserve">3. Por Qué los Usuarios lo Adoptarán de Forma Nativa (no solo porque se les obligue)</w:t>
      </w:r>
    </w:p>
    <w:p>
      <w:pPr>
        <w:spacing w:after="160" w:line="300"/>
      </w:pPr>
      <w:r>
        <w:rPr>
          <w:color w:val="1A1A1A"/>
          <w:sz w:val="21"/>
          <w:szCs w:val="21"/>
        </w:rPr>
        <w:t xml:space="preserve">La pregunta que más le importa a un ejecutivo no es si el sistema tiene funciones, sino si la gente realmente lo va a abrir todos los días sin que se lo exijan. La respuesta de este proyecto no es 'lo obligamos con notificaciones', es diseñar el sistema alrededor de la motivación que el estudiante de ZR ya trae puesta.</w:t>
      </w:r>
    </w:p>
    <w:p>
      <w:pPr>
        <w:pStyle w:val="Heading3"/>
        <w:spacing w:after="100" w:before="200"/>
      </w:pPr>
      <w:r>
        <w:rPr>
          <w:b/>
          <w:bCs/>
          <w:color w:val="1F2937"/>
          <w:sz w:val="22"/>
          <w:szCs w:val="22"/>
        </w:rPr>
        <w:t xml:space="preserve">3.1 El estudiante de ZR no es un usuario casual: ya tiene motivación real</w:t>
      </w:r>
    </w:p>
    <w:p>
      <w:pPr>
        <w:spacing w:after="160" w:line="300"/>
      </w:pPr>
      <w:r>
        <w:rPr>
          <w:color w:val="1A1A1A"/>
          <w:sz w:val="21"/>
          <w:szCs w:val="21"/>
        </w:rPr>
        <w:t xml:space="preserve">El estudiante ya pagó matrícula, ya asiste presencialmente al taller y tiene un objetivo laboral concreto. Eso lo distingue de un usuario de una app gratuita de idiomas que necesita ser 'enganchado' desde cero. Por eso el sistema no copia el modelo de racha diaria tipo Duolingo como mecanismo central: lo reemplaza por evidencia visible de dominio técnico real, que es lo que a este estudiante genuinamente le importa mostrar (a sí mismo, a su profesor y, al graduarse, a un empleador).</w:t>
      </w:r>
    </w:p>
    <w:p>
      <w:pPr>
        <w:pBdr>
          <w:left w:val="single" w:color="C05621" w:sz="18" w:space="8"/>
        </w:pBdr>
        <w:shd w:fill="F3F4F6" w:val="clear"/>
        <w:spacing w:after="200" w:before="120" w:line="300"/>
        <w:ind w:left="360" w:right="360"/>
      </w:pPr>
      <w:r>
        <w:rPr>
          <w:i/>
          <w:iCs/>
          <w:color w:val="374151"/>
          <w:sz w:val="20"/>
          <w:szCs w:val="20"/>
        </w:rPr>
        <w:t xml:space="preserve">Base conceptual: la evidencia disponible sobre gamificación educativa muestra un efecto de pequeño a moderado sobre la motivación, y ese efecto se concentra en la percepción de autonomía y pertenencia — no en la percepción de competencia, que es la variable que más predice motivación sostenida en el tiempo. El diseño de ZR App prioriza justamente esa variable: mostrar dominio verificado, no fabricar urgencia artificial con rachas.</w:t>
      </w:r>
    </w:p>
    <w:p>
      <w:pPr>
        <w:pStyle w:val="Heading3"/>
        <w:spacing w:after="100" w:before="200"/>
      </w:pPr>
      <w:r>
        <w:rPr>
          <w:b/>
          <w:bCs/>
          <w:color w:val="1F2937"/>
          <w:sz w:val="22"/>
          <w:szCs w:val="22"/>
        </w:rPr>
        <w:t xml:space="preserve">3.2 El formato, no el mecanismo, es lo que se toma prestado de las apps de consumo masivo</w:t>
      </w:r>
    </w:p>
    <w:p>
      <w:pPr>
        <w:spacing w:after="160" w:line="300"/>
      </w:pPr>
      <w:r>
        <w:rPr>
          <w:color w:val="1A1A1A"/>
          <w:sz w:val="21"/>
          <w:szCs w:val="21"/>
        </w:rPr>
        <w:t xml:space="preserve">El público de 15 a 25 años ya consume contenido corto y vertical de forma nativa (formato tipo redes sociales). ZR App usa ese mismo formato para el micro-learning curricular de 30 segundos, pero el gancho no es la racha ni el algoritmo de recomendación: es que el video está directamente ligado a una sub-competencia concreta de su carrera técnica. Es contenido que el estudiante reconoce como útil para su oficio, presentado en el formato que ya le resulta natural consumir.</w:t>
      </w:r>
    </w:p>
    <w:p>
      <w:pPr>
        <w:pStyle w:val="Heading3"/>
        <w:spacing w:after="100" w:before="200"/>
      </w:pPr>
      <w:r>
        <w:rPr>
          <w:b/>
          <w:bCs/>
          <w:color w:val="1F2937"/>
          <w:sz w:val="22"/>
          <w:szCs w:val="22"/>
        </w:rPr>
        <w:t xml:space="preserve">3.3 El financiamiento resuelve una fricción económica real, no cosmética</w:t>
      </w:r>
    </w:p>
    <w:p>
      <w:pPr>
        <w:spacing w:after="160" w:line="300"/>
      </w:pPr>
      <w:r>
        <w:rPr>
          <w:color w:val="1A1A1A"/>
          <w:sz w:val="21"/>
          <w:szCs w:val="21"/>
        </w:rPr>
        <w:t xml:space="preserve">Subir un comprobante de pago desde el celular es trabajo adicional para el estudiante, pero elimina la fila física de caja y le permite empezar el programa sin pagar el 100% por adelantado. Es fricción que se justifica porque quita fricción en otro lado — el mismo criterio que rige cada decisión de diseño del sistema.</w:t>
      </w:r>
    </w:p>
    <w:p>
      <w:pPr>
        <w:pStyle w:val="Heading3"/>
        <w:spacing w:after="100" w:before="200"/>
      </w:pPr>
      <w:r>
        <w:rPr>
          <w:b/>
          <w:bCs/>
          <w:color w:val="1F2937"/>
          <w:sz w:val="22"/>
          <w:szCs w:val="22"/>
        </w:rPr>
        <w:t xml:space="preserve">3.4 El incentivo con peso real es económico, no cosmético</w:t>
      </w:r>
    </w:p>
    <w:p>
      <w:pPr>
        <w:spacing w:after="160" w:line="300"/>
      </w:pPr>
      <w:r>
        <w:rPr>
          <w:color w:val="1A1A1A"/>
          <w:sz w:val="21"/>
          <w:szCs w:val="21"/>
        </w:rPr>
        <w:t xml:space="preserve">Los puntos que gana el estudiante por dominar sub-competencias no son solo un número en pantalla: se canjean como descuento real en su próxima cuota. Eso convierte el progreso académico en un incentivo tangible dentro del propio flujo de pagos, reforzando el uso genuino del módulo de micro-learning sin necesidad de presión artificial (notificaciones de 'no rompas tu racha').</w:t>
      </w:r>
    </w:p>
    <w:p>
      <w:pPr>
        <w:pStyle w:val="Heading3"/>
        <w:spacing w:after="100" w:before="200"/>
      </w:pPr>
      <w:r>
        <w:rPr>
          <w:b/>
          <w:bCs/>
          <w:color w:val="1F2937"/>
          <w:sz w:val="22"/>
          <w:szCs w:val="22"/>
        </w:rPr>
        <w:t xml:space="preserve">3.5 El cierre del ciclo: empleabilidad como razón de fondo</w:t>
      </w:r>
    </w:p>
    <w:p>
      <w:pPr>
        <w:spacing w:after="160" w:line="300"/>
      </w:pPr>
      <w:r>
        <w:rPr>
          <w:color w:val="1A1A1A"/>
          <w:sz w:val="21"/>
          <w:szCs w:val="21"/>
        </w:rPr>
        <w:t xml:space="preserve">El motivo último por el que un estudiante de mecánica entra a ZR Mecademy es conseguir trabajo. El portafolio profesional y el certificado compartible por QR conectan directamente el uso diario del app con ese objetivo final — no es una función aislada, es la razón de ser de todo el histórico que el app va acumulando desde el primer día.</w:t>
      </w:r>
    </w:p>
    <w:p>
      <w:pPr>
        <w:spacing w:after="120"/>
      </w:pPr>
    </w:p>
    <w:p>
      <w:pPr>
        <w:pStyle w:val="Heading1"/>
        <w:pBdr>
          <w:bottom w:val="single" w:color="C05621" w:sz="12" w:space="4"/>
        </w:pBdr>
        <w:spacing w:after="200" w:before="400"/>
      </w:pPr>
      <w:r>
        <w:rPr>
          <w:b/>
          <w:bCs/>
          <w:color w:val="1F2937"/>
          <w:sz w:val="30"/>
          <w:szCs w:val="30"/>
        </w:rPr>
        <w:t xml:space="preserve">4. Elementos Innovadores (lo que diferencia a ZR App de un LMS genérico)</w:t>
      </w:r>
    </w:p>
    <w:p>
      <w:pPr>
        <w:spacing w:after="160" w:line="300"/>
      </w:pPr>
      <w:r>
        <w:rPr>
          <w:color w:val="1A1A1A"/>
          <w:sz w:val="21"/>
          <w:szCs w:val="21"/>
        </w:rPr>
        <w:t xml:space="preserve">Estos son los puntos que vale la pena destacar frente a ejecutivos como ventaja competitiva concreta, no como 'features más':</w:t>
      </w:r>
    </w:p>
    <w:p>
      <w:pPr>
        <w:pStyle w:val="Heading3"/>
        <w:spacing w:after="100" w:before="200"/>
      </w:pPr>
      <w:r>
        <w:rPr>
          <w:b/>
          <w:bCs/>
          <w:color w:val="1F2937"/>
          <w:sz w:val="22"/>
          <w:szCs w:val="22"/>
        </w:rPr>
        <w:t xml:space="preserve">4.1 Financiamiento estilo Cashea aplicado a educación técnica</w:t>
      </w:r>
    </w:p>
    <w:p>
      <w:pPr>
        <w:spacing w:after="160" w:line="300"/>
      </w:pPr>
      <w:r>
        <w:rPr>
          <w:color w:val="1A1A1A"/>
          <w:sz w:val="21"/>
          <w:szCs w:val="21"/>
        </w:rPr>
        <w:t xml:space="preserve">No es una pasarela de pago genérica: incorpora niveles de confianza que se ganan con historial de pago puntual y que desbloquean mejores condiciones (menos inicial, más cuotas). Es un mecanismo que el público objetivo ya conoce y confía por su uso en el mercado local de consumo, trasladado por primera vez a un contexto académico.</w:t>
      </w:r>
    </w:p>
    <w:p>
      <w:pPr>
        <w:pStyle w:val="Heading3"/>
        <w:spacing w:after="100" w:before="200"/>
      </w:pPr>
      <w:r>
        <w:rPr>
          <w:b/>
          <w:bCs/>
          <w:color w:val="1F2937"/>
          <w:sz w:val="22"/>
          <w:szCs w:val="22"/>
        </w:rPr>
        <w:t xml:space="preserve">4.2 Mapa de dominio en lugar de racha diaria</w:t>
      </w:r>
    </w:p>
    <w:p>
      <w:pPr>
        <w:spacing w:after="160" w:line="300"/>
      </w:pPr>
      <w:r>
        <w:rPr>
          <w:color w:val="1A1A1A"/>
          <w:sz w:val="21"/>
          <w:szCs w:val="21"/>
        </w:rPr>
        <w:t xml:space="preserve">En vez de medir 'días consecutivos de uso', el sistema mide y muestra qué sub-competencias técnicas están dominadas, en progreso o pendientes. Es una decisión de producto explícita y documentada, no una omisión: la evidencia de mercado sobre motivación por pérdida (loss aversion) funciona en poblaciones voluntarias sin nada en juego, no necesariamente en una población cautiva con motivación intrínseca real.</w:t>
      </w:r>
    </w:p>
    <w:p>
      <w:pPr>
        <w:pStyle w:val="Heading3"/>
        <w:spacing w:after="100" w:before="200"/>
      </w:pPr>
      <w:r>
        <w:rPr>
          <w:b/>
          <w:bCs/>
          <w:color w:val="1F2937"/>
          <w:sz w:val="22"/>
          <w:szCs w:val="22"/>
        </w:rPr>
        <w:t xml:space="preserve">4.3 Un solo evento de escaneo para asistencia y refrigerio</w:t>
      </w:r>
    </w:p>
    <w:p>
      <w:pPr>
        <w:spacing w:after="160" w:line="300"/>
      </w:pPr>
      <w:r>
        <w:rPr>
          <w:color w:val="1A1A1A"/>
          <w:sz w:val="21"/>
          <w:szCs w:val="21"/>
        </w:rPr>
        <w:t xml:space="preserve">En lugar de construir un módulo NFC/QR separado para el control de refrigerios, se reutiliza el mismo escaneo de asistencia diaria como validación de entrega — una decisión de eficiencia operativa que reduce infraestructura duplicada y puntos de fallo.</w:t>
      </w:r>
    </w:p>
    <w:p>
      <w:pPr>
        <w:pStyle w:val="Heading3"/>
        <w:spacing w:after="100" w:before="200"/>
      </w:pPr>
      <w:r>
        <w:rPr>
          <w:b/>
          <w:bCs/>
          <w:color w:val="1F2937"/>
          <w:sz w:val="22"/>
          <w:szCs w:val="22"/>
        </w:rPr>
        <w:t xml:space="preserve">4.4 Puntos redimibles como descuento financiero real</w:t>
      </w:r>
    </w:p>
    <w:p>
      <w:pPr>
        <w:spacing w:after="160" w:line="300"/>
      </w:pPr>
      <w:r>
        <w:rPr>
          <w:color w:val="1A1A1A"/>
          <w:sz w:val="21"/>
          <w:szCs w:val="21"/>
        </w:rPr>
        <w:t xml:space="preserve">El canje de puntos por descuento en cuota se registra como movimiento contable (no como una simple resta de puntos), porque representa un pasivo financiero real de la academia. Esto conecta gamificación y finanzas de forma auditable, algo que la mayoría de plataformas educativas no resuelve con este nivel de rigor.</w:t>
      </w:r>
    </w:p>
    <w:p>
      <w:pPr>
        <w:pStyle w:val="Heading3"/>
        <w:spacing w:after="100" w:before="200"/>
      </w:pPr>
      <w:r>
        <w:rPr>
          <w:b/>
          <w:bCs/>
          <w:color w:val="1F2937"/>
          <w:sz w:val="22"/>
          <w:szCs w:val="22"/>
        </w:rPr>
        <w:t xml:space="preserve">4.5 Portafolio profesional como producto de marca, no solo del estudiante</w:t>
      </w:r>
    </w:p>
    <w:p>
      <w:pPr>
        <w:spacing w:after="160" w:line="300"/>
      </w:pPr>
      <w:r>
        <w:rPr>
          <w:color w:val="1A1A1A"/>
          <w:sz w:val="21"/>
          <w:szCs w:val="21"/>
        </w:rPr>
        <w:t xml:space="preserve">El certificado y portafolio compartible por QR no es solo un beneficio individual: convierte a cada egresado en un canal de visibilidad de marca frente a talleres y empresas del sector automotriz — un activo de posicionamiento que la academia no tiene hoy con el diploma en papel.</w:t>
      </w:r>
    </w:p>
    <w:p>
      <w:pPr>
        <w:pStyle w:val="Heading3"/>
        <w:spacing w:after="100" w:before="200"/>
      </w:pPr>
      <w:r>
        <w:rPr>
          <w:b/>
          <w:bCs/>
          <w:color w:val="1F2937"/>
          <w:sz w:val="22"/>
          <w:szCs w:val="22"/>
        </w:rPr>
        <w:t xml:space="preserve">4.6 Auditoría financiera por diseño, no como parche</w:t>
      </w:r>
    </w:p>
    <w:p>
      <w:pPr>
        <w:spacing w:after="160" w:line="300"/>
      </w:pPr>
      <w:r>
        <w:rPr>
          <w:color w:val="1A1A1A"/>
          <w:sz w:val="21"/>
          <w:szCs w:val="21"/>
        </w:rPr>
        <w:t xml:space="preserve">Todo comprobante aprobado o rechazado es inmutable, con motivo estructurado (no texto libre) para poder identificar patrones de fraude. Esta decisión vive en el esquema de base de datos desde el primer día, no se agrega después de un incidente.</w:t>
      </w:r>
    </w:p>
    <w:p>
      <w:pPr>
        <w:spacing w:after="120"/>
      </w:pPr>
    </w:p>
    <w:p>
      <w:pPr>
        <w:pStyle w:val="Heading1"/>
        <w:pBdr>
          <w:bottom w:val="single" w:color="C05621" w:sz="12" w:space="4"/>
        </w:pBdr>
        <w:spacing w:after="200" w:before="400"/>
      </w:pPr>
      <w:r>
        <w:rPr>
          <w:b/>
          <w:bCs/>
          <w:color w:val="1F2937"/>
          <w:sz w:val="30"/>
          <w:szCs w:val="30"/>
        </w:rPr>
        <w:t xml:space="preserve">5. Roadmap por Fases (resumen)</w:t>
      </w:r>
    </w:p>
    <w:p>
      <w:pPr>
        <w:spacing w:after="160" w:line="300"/>
      </w:pPr>
      <w:r>
        <w:rPr>
          <w:color w:val="1A1A1A"/>
          <w:sz w:val="21"/>
          <w:szCs w:val="21"/>
        </w:rPr>
        <w:t xml:space="preserve">El sistema se construye por fases con criterios de salida basados en uso real, no en fecha de calendario.</w:t>
      </w:r>
    </w:p>
    <w:p>
      <w:pPr>
        <w:pStyle w:val="Heading3"/>
        <w:spacing w:after="100" w:before="200"/>
      </w:pPr>
      <w:r>
        <w:rPr>
          <w:b/>
          <w:bCs/>
          <w:color w:val="1F2937"/>
          <w:sz w:val="22"/>
          <w:szCs w:val="22"/>
        </w:rPr>
        <w:t xml:space="preserve">Fase 0 — Spikes de validación (1–2 semanas)</w:t>
      </w:r>
    </w:p>
    <w:p>
      <w:pPr>
        <w:pStyle w:val="ListParagraph"/>
        <w:numPr>
          <w:ilvl w:val="0"/>
          <w:numId w:val="2"/>
        </w:numPr>
        <w:spacing w:after="90"/>
      </w:pPr>
      <w:r>
        <w:rPr>
          <w:sz w:val="21"/>
          <w:szCs w:val="21"/>
        </w:rPr>
        <w:t xml:space="preserve">Spike legal/financiero del modelo de financiamiento fraccionado.</w:t>
      </w:r>
    </w:p>
    <w:p>
      <w:pPr>
        <w:pStyle w:val="ListParagraph"/>
        <w:numPr>
          <w:ilvl w:val="0"/>
          <w:numId w:val="2"/>
        </w:numPr>
        <w:spacing w:after="90"/>
      </w:pPr>
      <w:r>
        <w:rPr>
          <w:sz w:val="21"/>
          <w:szCs w:val="21"/>
        </w:rPr>
        <w:t xml:space="preserve">Spike de producción de contenido: quién produce los videos curriculares de 30s.</w:t>
      </w:r>
    </w:p>
    <w:p>
      <w:pPr>
        <w:pStyle w:val="ListParagraph"/>
        <w:numPr>
          <w:ilvl w:val="0"/>
          <w:numId w:val="2"/>
        </w:numPr>
        <w:spacing w:after="90"/>
      </w:pPr>
      <w:r>
        <w:rPr>
          <w:sz w:val="21"/>
          <w:szCs w:val="21"/>
        </w:rPr>
        <w:t xml:space="preserve">Spike de moderación: quién modera contenido UGC antes de considerar la Fase 3.</w:t>
      </w:r>
    </w:p>
    <w:p>
      <w:pPr>
        <w:pStyle w:val="Heading3"/>
        <w:spacing w:after="100" w:before="200"/>
      </w:pPr>
      <w:r>
        <w:rPr>
          <w:b/>
          <w:bCs/>
          <w:color w:val="1F2937"/>
          <w:sz w:val="22"/>
          <w:szCs w:val="22"/>
        </w:rPr>
        <w:t xml:space="preserve">Fase 1 — MVP operativo (6–10 semanas)</w:t>
      </w:r>
    </w:p>
    <w:p>
      <w:pPr>
        <w:spacing w:after="160" w:line="300"/>
      </w:pPr>
      <w:r>
        <w:rPr>
          <w:color w:val="1A1A1A"/>
          <w:sz w:val="21"/>
          <w:szCs w:val="21"/>
        </w:rPr>
        <w:t xml:space="preserve">Autenticación, carnet digital básico, asistencia QR, evaluaciones digitales, repositorio e-learning, feedback micro, dashboards de profesor y administración.</w:t>
      </w:r>
    </w:p>
    <w:p>
      <w:pPr>
        <w:spacing w:after="160" w:line="300"/>
      </w:pPr>
      <w:r>
        <w:rPr>
          <w:b/>
          <w:bCs/>
          <w:color w:val="1F2937"/>
          <w:sz w:val="21"/>
          <w:szCs w:val="21"/>
        </w:rPr>
        <w:t xml:space="preserve">Criterio de salida: </w:t>
      </w:r>
      <w:r>
        <w:rPr>
          <w:color w:val="1A1A1A"/>
          <w:sz w:val="21"/>
          <w:szCs w:val="21"/>
        </w:rPr>
        <w:t xml:space="preserve">la academia opera el día a día sin planillas físicas ni WhatsApp para materiales.</w:t>
      </w:r>
    </w:p>
    <w:p>
      <w:pPr>
        <w:pStyle w:val="Heading3"/>
        <w:spacing w:after="100" w:before="200"/>
      </w:pPr>
      <w:r>
        <w:rPr>
          <w:b/>
          <w:bCs/>
          <w:color w:val="1F2937"/>
          <w:sz w:val="22"/>
          <w:szCs w:val="22"/>
        </w:rPr>
        <w:t xml:space="preserve">Fase 2 — Retención e ingresos (6–8 semanas)</w:t>
      </w:r>
    </w:p>
    <w:p>
      <w:pPr>
        <w:spacing w:after="160" w:line="300"/>
      </w:pPr>
      <w:r>
        <w:rPr>
          <w:color w:val="1A1A1A"/>
          <w:sz w:val="21"/>
          <w:szCs w:val="21"/>
        </w:rPr>
        <w:t xml:space="preserve">Módulo de financiamiento completo, mapa de dominio con micro-learning en video, refrigerios (sin infraestructura nueva), feedback macro con insignias.</w:t>
      </w:r>
    </w:p>
    <w:p>
      <w:pPr>
        <w:spacing w:after="160" w:line="300"/>
      </w:pPr>
      <w:r>
        <w:rPr>
          <w:b/>
          <w:bCs/>
          <w:color w:val="1F2937"/>
          <w:sz w:val="21"/>
          <w:szCs w:val="21"/>
        </w:rPr>
        <w:t xml:space="preserve">Criterio de salida: </w:t>
      </w:r>
      <w:r>
        <w:rPr>
          <w:color w:val="1A1A1A"/>
          <w:sz w:val="21"/>
          <w:szCs w:val="21"/>
        </w:rPr>
        <w:t xml:space="preserve">reducción medible del tiempo de cobranza manual y retención medida por % de sub-competencias dominadas.</w:t>
      </w:r>
    </w:p>
    <w:p>
      <w:pPr>
        <w:pStyle w:val="Heading3"/>
        <w:spacing w:after="100" w:before="200"/>
      </w:pPr>
      <w:r>
        <w:rPr>
          <w:b/>
          <w:bCs/>
          <w:color w:val="1F2937"/>
          <w:sz w:val="22"/>
          <w:szCs w:val="22"/>
        </w:rPr>
        <w:t xml:space="preserve">Fase 3 — Diferenciador de marca (sujeto a validación de tracción de Fase 2)</w:t>
      </w:r>
    </w:p>
    <w:p>
      <w:pPr>
        <w:spacing w:after="160" w:line="300"/>
      </w:pPr>
      <w:r>
        <w:rPr>
          <w:color w:val="1A1A1A"/>
          <w:sz w:val="21"/>
          <w:szCs w:val="21"/>
        </w:rPr>
        <w:t xml:space="preserve">Red social interna UGC (solo si el spike de moderación está cubierto), portafolio profesional público, certificación oficial con QR, roles de especialización avanzados, simulador visual (requiere spike técnico y de costo independiente).</w:t>
      </w:r>
    </w:p>
    <w:p>
      <w:pPr>
        <w:spacing w:after="120"/>
      </w:pPr>
    </w:p>
    <w:p>
      <w:pPr>
        <w:pStyle w:val="Heading1"/>
        <w:pBdr>
          <w:bottom w:val="single" w:color="C05621" w:sz="12" w:space="4"/>
        </w:pBdr>
        <w:spacing w:after="200" w:before="400"/>
      </w:pPr>
      <w:r>
        <w:rPr>
          <w:b/>
          <w:bCs/>
          <w:color w:val="1F2937"/>
          <w:sz w:val="30"/>
          <w:szCs w:val="30"/>
        </w:rPr>
        <w:t xml:space="preserve">6. Vacíos y Riesgos Identificados</w:t>
      </w:r>
    </w:p>
    <w:p>
      <w:pPr>
        <w:spacing w:after="160" w:line="300"/>
      </w:pPr>
      <w:r>
        <w:rPr>
          <w:color w:val="1A1A1A"/>
          <w:sz w:val="21"/>
          <w:szCs w:val="21"/>
        </w:rPr>
        <w:t xml:space="preserve">Antes de comprometer fechas o presupuesto, hay decisiones de negocio y legales que el software no puede resolver por sí solo. Estas son las más críticas detectadas en la documentación actual:</w:t>
      </w:r>
    </w:p>
    <w:p>
      <w:pPr>
        <w:pStyle w:val="Heading3"/>
        <w:spacing w:after="100" w:before="200"/>
      </w:pPr>
      <w:r>
        <w:rPr>
          <w:b/>
          <w:bCs/>
          <w:color w:val="1F2937"/>
          <w:sz w:val="22"/>
          <w:szCs w:val="22"/>
        </w:rPr>
        <w:t xml:space="preserve">6.1 Financiamiento (el módulo de mayor riesgo del proyecto)</w:t>
      </w:r>
    </w:p>
    <w:p>
      <w:pPr>
        <w:pStyle w:val="ListParagraph"/>
        <w:numPr>
          <w:ilvl w:val="0"/>
          <w:numId w:val="2"/>
        </w:numPr>
        <w:spacing w:after="90"/>
      </w:pPr>
      <w:r>
        <w:rPr>
          <w:sz w:val="21"/>
          <w:szCs w:val="21"/>
        </w:rPr>
        <w:t xml:space="preserve">Los porcentajes de inicial y niveles de confianza (30–40% inicial, niveles 1–3) son valores sugeridos por defecto, no aprobados por Dirección Académica.</w:t>
      </w:r>
    </w:p>
    <w:p>
      <w:pPr>
        <w:pStyle w:val="ListParagraph"/>
        <w:numPr>
          <w:ilvl w:val="0"/>
          <w:numId w:val="2"/>
        </w:numPr>
        <w:spacing w:after="90"/>
      </w:pPr>
      <w:r>
        <w:rPr>
          <w:sz w:val="21"/>
          <w:szCs w:val="21"/>
        </w:rPr>
        <w:t xml:space="preserve">No está definida la política de mora final (bloqueo de contenido digital vs. bloqueo de certificado vs. otra alternativa).</w:t>
      </w:r>
    </w:p>
    <w:p>
      <w:pPr>
        <w:pStyle w:val="ListParagraph"/>
        <w:numPr>
          <w:ilvl w:val="0"/>
          <w:numId w:val="2"/>
        </w:numPr>
        <w:spacing w:after="90"/>
      </w:pPr>
      <w:r>
        <w:rPr>
          <w:sz w:val="21"/>
          <w:szCs w:val="21"/>
        </w:rPr>
        <w:t xml:space="preserve">No está resuelto el marco legal/normativo de ofrecer financiamiento fraccionado de un servicio educativo en la jurisdicción de operación.</w:t>
      </w:r>
    </w:p>
    <w:p>
      <w:pPr>
        <w:pStyle w:val="ListParagraph"/>
        <w:numPr>
          <w:ilvl w:val="0"/>
          <w:numId w:val="2"/>
        </w:numPr>
        <w:spacing w:after="90"/>
      </w:pPr>
      <w:r>
        <w:rPr>
          <w:sz w:val="21"/>
          <w:szCs w:val="21"/>
        </w:rPr>
        <w:t xml:space="preserve">El manejo de tasa de cambio (USD como ancla, conversión al momento del pago) necesita validación contable formal.</w:t>
      </w:r>
    </w:p>
    <w:p>
      <w:pPr>
        <w:pStyle w:val="ListParagraph"/>
        <w:numPr>
          <w:ilvl w:val="0"/>
          <w:numId w:val="2"/>
        </w:numPr>
        <w:spacing w:after="90"/>
      </w:pPr>
      <w:r>
        <w:rPr>
          <w:sz w:val="21"/>
          <w:szCs w:val="21"/>
        </w:rPr>
        <w:t xml:space="preserve">El tratamiento contable del descuento por puntos redimidos no está definido como política fiscal.</w:t>
      </w:r>
    </w:p>
    <w:p>
      <w:pPr>
        <w:pStyle w:val="Heading3"/>
        <w:spacing w:after="100" w:before="200"/>
      </w:pPr>
      <w:r>
        <w:rPr>
          <w:b/>
          <w:bCs/>
          <w:color w:val="1F2937"/>
          <w:sz w:val="22"/>
          <w:szCs w:val="22"/>
        </w:rPr>
        <w:t xml:space="preserve">6.2 Educación / contenido</w:t>
      </w:r>
    </w:p>
    <w:p>
      <w:pPr>
        <w:pStyle w:val="ListParagraph"/>
        <w:numPr>
          <w:ilvl w:val="0"/>
          <w:numId w:val="2"/>
        </w:numPr>
        <w:spacing w:after="90"/>
      </w:pPr>
      <w:r>
        <w:rPr>
          <w:sz w:val="21"/>
          <w:szCs w:val="21"/>
        </w:rPr>
        <w:t xml:space="preserve">No existe todavía un responsable definido de producir los videos curriculares de 30 segundos — es un costo operativo recurrente, no un costo de desarrollo único.</w:t>
      </w:r>
    </w:p>
    <w:p>
      <w:pPr>
        <w:pStyle w:val="ListParagraph"/>
        <w:numPr>
          <w:ilvl w:val="0"/>
          <w:numId w:val="2"/>
        </w:numPr>
        <w:spacing w:after="90"/>
      </w:pPr>
      <w:r>
        <w:rPr>
          <w:sz w:val="21"/>
          <w:szCs w:val="21"/>
        </w:rPr>
        <w:t xml:space="preserve">No están formalizadas las sub-competencias oficiales por módulo que alimentan el mapa de dominio.</w:t>
      </w:r>
    </w:p>
    <w:p>
      <w:pPr>
        <w:pStyle w:val="ListParagraph"/>
        <w:numPr>
          <w:ilvl w:val="0"/>
          <w:numId w:val="2"/>
        </w:numPr>
        <w:spacing w:after="90"/>
      </w:pPr>
      <w:r>
        <w:rPr>
          <w:sz w:val="21"/>
          <w:szCs w:val="21"/>
        </w:rPr>
        <w:t xml:space="preserve">No está definido quién certifica que una sub-competencia está 'dominada' en taller (evaluación práctica) de forma estandarizada entre profesores.</w:t>
      </w:r>
    </w:p>
    <w:p>
      <w:pPr>
        <w:pStyle w:val="Heading3"/>
        <w:spacing w:after="100" w:before="200"/>
      </w:pPr>
      <w:r>
        <w:rPr>
          <w:b/>
          <w:bCs/>
          <w:color w:val="1F2937"/>
          <w:sz w:val="22"/>
          <w:szCs w:val="22"/>
        </w:rPr>
        <w:t xml:space="preserve">6.3 Legal / menores de edad</w:t>
      </w:r>
    </w:p>
    <w:p>
      <w:pPr>
        <w:pStyle w:val="ListParagraph"/>
        <w:numPr>
          <w:ilvl w:val="0"/>
          <w:numId w:val="2"/>
        </w:numPr>
        <w:spacing w:after="90"/>
      </w:pPr>
      <w:r>
        <w:rPr>
          <w:sz w:val="21"/>
          <w:szCs w:val="21"/>
        </w:rPr>
        <w:t xml:space="preserve">El público incluye estudiantes de 15 a 17 años; falta definir política de consentimiento parental para registro y para contenido tipo red social (Fase 3).</w:t>
      </w:r>
    </w:p>
    <w:p>
      <w:pPr>
        <w:pStyle w:val="ListParagraph"/>
        <w:numPr>
          <w:ilvl w:val="0"/>
          <w:numId w:val="2"/>
        </w:numPr>
        <w:spacing w:after="90"/>
      </w:pPr>
      <w:r>
        <w:rPr>
          <w:sz w:val="21"/>
          <w:szCs w:val="21"/>
        </w:rPr>
        <w:t xml:space="preserve">No está definido el rol de moderación de contenido generado por estudiantes, requisito no negociable antes de activar cualquier función social abierta.</w:t>
      </w:r>
    </w:p>
    <w:p>
      <w:pPr>
        <w:pStyle w:val="Heading3"/>
        <w:spacing w:after="100" w:before="200"/>
      </w:pPr>
      <w:r>
        <w:rPr>
          <w:b/>
          <w:bCs/>
          <w:color w:val="1F2937"/>
          <w:sz w:val="22"/>
          <w:szCs w:val="22"/>
        </w:rPr>
        <w:t xml:space="preserve">6.4 Documentación técnica</w:t>
      </w:r>
    </w:p>
    <w:p>
      <w:pPr>
        <w:spacing w:after="160" w:line="300"/>
      </w:pPr>
      <w:r>
        <w:rPr>
          <w:color w:val="1A1A1A"/>
          <w:sz w:val="21"/>
          <w:szCs w:val="21"/>
        </w:rPr>
        <w:t xml:space="preserve">La documentación de referencia menciona un esquema de base de datos formal (`04_ESQUEMA_BASE_DATOS.md`) que todavía no existe como archivo. Se recomienda generarlo formalmente antes de iniciar desarrollo, derivado de las entidades ya identificadas, para evitar decisiones de esquema improvisadas.</w:t>
      </w:r>
    </w:p>
    <w:p>
      <w:pPr>
        <w:spacing w:after="120"/>
      </w:pPr>
    </w:p>
    <w:p>
      <w:r>
        <w:br w:type="page"/>
      </w:r>
    </w:p>
    <w:p>
      <w:pPr>
        <w:pStyle w:val="Heading1"/>
        <w:pBdr>
          <w:bottom w:val="single" w:color="C05621" w:sz="12" w:space="4"/>
        </w:pBdr>
        <w:spacing w:after="200" w:before="400"/>
      </w:pPr>
      <w:r>
        <w:rPr>
          <w:b/>
          <w:bCs/>
          <w:color w:val="1F2937"/>
          <w:sz w:val="30"/>
          <w:szCs w:val="30"/>
        </w:rPr>
        <w:t xml:space="preserve">7. Banco de Preguntas para Cerrar el Flujo con las Coordinaciones</w:t>
      </w:r>
    </w:p>
    <w:p>
      <w:pPr>
        <w:spacing w:after="160" w:line="300"/>
      </w:pPr>
      <w:r>
        <w:rPr>
          <w:color w:val="1A1A1A"/>
          <w:sz w:val="21"/>
          <w:szCs w:val="21"/>
        </w:rPr>
        <w:t xml:space="preserve">El objetivo de esta sección es servir de agenda de trabajo: preguntas concretas para llevar a cada coordinación antes de iniciar desarrollo, de forma que el flujo completo quede entendido a detalle y no se construya sobre supuestos no validados.</w:t>
      </w:r>
    </w:p>
    <w:p>
      <w:pPr>
        <w:pStyle w:val="Heading2"/>
        <w:spacing w:after="140" w:before="280"/>
      </w:pPr>
      <w:r>
        <w:rPr>
          <w:b/>
          <w:bCs/>
          <w:color w:val="C05621"/>
          <w:sz w:val="24"/>
          <w:szCs w:val="24"/>
        </w:rPr>
        <w:t xml:space="preserve">7.1 Dirección / Coordinación Académica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00"/>
      </w:tblGrid>
      <w:tr>
        <w:trPr>
          <w:tblHeader/>
        </w:trPr>
        <w:tc>
          <w:tcPr>
            <w:tcW w:type="dxa" w:w="500"/>
            <w:shd w:fill="1F2937" w:val="clear"/>
            <w:tcMar>
              <w:top w:type="dxa" w:w="100"/>
              <w:left w:type="dxa" w:w="120"/>
              <w:bottom w:type="dxa" w:w="100"/>
              <w:right w:type="dxa" w:w="120"/>
            </w:tcMar>
            <w:vAlign w:val="center"/>
          </w:tcPr>
          <w:p>
            <w:pPr>
              <w:spacing w:after="60"/>
            </w:pPr>
            <w:r>
              <w:rPr>
                <w:b/>
                <w:bCs/>
                <w:color w:val="FFFFFF"/>
                <w:sz w:val="19"/>
                <w:szCs w:val="19"/>
              </w:rPr>
              <w:t xml:space="preserve">#</w:t>
            </w:r>
          </w:p>
        </w:tc>
        <w:tc>
          <w:tcPr>
            <w:tcW w:type="dxa" w:w="5200"/>
            <w:shd w:fill="1F2937" w:val="clear"/>
            <w:tcMar>
              <w:top w:type="dxa" w:w="100"/>
              <w:left w:type="dxa" w:w="120"/>
              <w:bottom w:type="dxa" w:w="100"/>
              <w:right w:type="dxa" w:w="120"/>
            </w:tcMar>
            <w:vAlign w:val="center"/>
          </w:tcPr>
          <w:p>
            <w:pPr>
              <w:spacing w:after="60"/>
            </w:pPr>
            <w:r>
              <w:rPr>
                <w:b/>
                <w:bCs/>
                <w:color w:val="FFFFFF"/>
                <w:sz w:val="19"/>
                <w:szCs w:val="19"/>
              </w:rPr>
              <w:t xml:space="preserve">Pregunta para la coordinación</w:t>
            </w:r>
          </w:p>
        </w:tc>
        <w:tc>
          <w:tcPr>
            <w:tcW w:type="dxa" w:w="3600"/>
            <w:shd w:fill="1F2937" w:val="clear"/>
            <w:tcMar>
              <w:top w:type="dxa" w:w="100"/>
              <w:left w:type="dxa" w:w="120"/>
              <w:bottom w:type="dxa" w:w="100"/>
              <w:right w:type="dxa" w:w="120"/>
            </w:tcMar>
            <w:vAlign w:val="center"/>
          </w:tcPr>
          <w:p>
            <w:pPr>
              <w:spacing w:after="60"/>
            </w:pPr>
            <w:r>
              <w:rPr>
                <w:b/>
                <w:bCs/>
                <w:color w:val="FFFFFF"/>
                <w:sz w:val="19"/>
                <w:szCs w:val="19"/>
              </w:rPr>
              <w:t xml:space="preserve">Por qué es crítico responderla</w:t>
            </w:r>
          </w:p>
        </w:tc>
      </w:tr>
      <w:tr>
        <w:tc>
          <w:tcPr>
            <w:tcW w:type="dxa" w:w="500"/>
            <w:tcMar>
              <w:top w:type="dxa" w:w="100"/>
              <w:left w:type="dxa" w:w="120"/>
              <w:bottom w:type="dxa" w:w="100"/>
              <w:right w:type="dxa" w:w="120"/>
            </w:tcMar>
            <w:vAlign w:val="center"/>
          </w:tcPr>
          <w:p>
            <w:pPr>
              <w:spacing w:after="60"/>
            </w:pPr>
            <w:r>
              <w:rPr>
                <w:b w:val="false"/>
                <w:bCs w:val="false"/>
                <w:color w:val="1A1A1A"/>
                <w:sz w:val="20"/>
                <w:szCs w:val="20"/>
              </w:rPr>
              <w:t xml:space="preserve">1</w:t>
            </w:r>
          </w:p>
        </w:tc>
        <w:tc>
          <w:tcPr>
            <w:tcW w:type="dxa" w:w="5200"/>
            <w:tcMar>
              <w:top w:type="dxa" w:w="100"/>
              <w:left w:type="dxa" w:w="120"/>
              <w:bottom w:type="dxa" w:w="100"/>
              <w:right w:type="dxa" w:w="120"/>
            </w:tcMar>
            <w:vAlign w:val="center"/>
          </w:tcPr>
          <w:p>
            <w:pPr>
              <w:spacing w:after="60"/>
            </w:pPr>
            <w:r>
              <w:rPr>
                <w:b w:val="false"/>
                <w:bCs w:val="false"/>
                <w:color w:val="1A1A1A"/>
                <w:sz w:val="20"/>
                <w:szCs w:val="20"/>
              </w:rPr>
              <w:t xml:space="preserve">¿Cuáles son las sub-competencias oficiales por módulo y programa que deben alimentar el mapa de dominio del estudiante?</w:t>
            </w:r>
          </w:p>
        </w:tc>
        <w:tc>
          <w:tcPr>
            <w:tcW w:type="dxa" w:w="3600"/>
            <w:tcMar>
              <w:top w:type="dxa" w:w="100"/>
              <w:left w:type="dxa" w:w="120"/>
              <w:bottom w:type="dxa" w:w="100"/>
              <w:right w:type="dxa" w:w="120"/>
            </w:tcMar>
            <w:vAlign w:val="center"/>
          </w:tcPr>
          <w:p>
            <w:pPr>
              <w:spacing w:after="60"/>
            </w:pPr>
            <w:r>
              <w:rPr>
                <w:b w:val="false"/>
                <w:bCs w:val="false"/>
                <w:color w:val="1A1A1A"/>
                <w:sz w:val="20"/>
                <w:szCs w:val="20"/>
              </w:rPr>
              <w:t xml:space="preserve">Sin esto no se puede construir el mapa de dominio ni ligar los videos de micro-learning a algo concreto.</w:t>
            </w:r>
          </w:p>
        </w:tc>
      </w:tr>
      <w:tr>
        <w:tc>
          <w:tcPr>
            <w:tcW w:type="dxa" w:w="5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2</w:t>
            </w:r>
          </w:p>
        </w:tc>
        <w:tc>
          <w:tcPr>
            <w:tcW w:type="dxa" w:w="52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¿Qué define hoy, formalmente, que un módulo está 'completado' (evaluación teórica, práctica, asistencia mínima, combinación)?</w:t>
            </w:r>
          </w:p>
        </w:tc>
        <w:tc>
          <w:tcPr>
            <w:tcW w:type="dxa" w:w="36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Determina las reglas de negocio del carnet digital y del historial académico.</w:t>
            </w:r>
          </w:p>
        </w:tc>
      </w:tr>
      <w:tr>
        <w:tc>
          <w:tcPr>
            <w:tcW w:type="dxa" w:w="500"/>
            <w:tcMar>
              <w:top w:type="dxa" w:w="100"/>
              <w:left w:type="dxa" w:w="120"/>
              <w:bottom w:type="dxa" w:w="100"/>
              <w:right w:type="dxa" w:w="120"/>
            </w:tcMar>
            <w:vAlign w:val="center"/>
          </w:tcPr>
          <w:p>
            <w:pPr>
              <w:spacing w:after="60"/>
            </w:pPr>
            <w:r>
              <w:rPr>
                <w:b w:val="false"/>
                <w:bCs w:val="false"/>
                <w:color w:val="1A1A1A"/>
                <w:sz w:val="20"/>
                <w:szCs w:val="20"/>
              </w:rPr>
              <w:t xml:space="preserve">3</w:t>
            </w:r>
          </w:p>
        </w:tc>
        <w:tc>
          <w:tcPr>
            <w:tcW w:type="dxa" w:w="5200"/>
            <w:tcMar>
              <w:top w:type="dxa" w:w="100"/>
              <w:left w:type="dxa" w:w="120"/>
              <w:bottom w:type="dxa" w:w="100"/>
              <w:right w:type="dxa" w:w="120"/>
            </w:tcMar>
            <w:vAlign w:val="center"/>
          </w:tcPr>
          <w:p>
            <w:pPr>
              <w:spacing w:after="60"/>
            </w:pPr>
            <w:r>
              <w:rPr>
                <w:b w:val="false"/>
                <w:bCs w:val="false"/>
                <w:color w:val="1A1A1A"/>
                <w:sz w:val="20"/>
                <w:szCs w:val="20"/>
              </w:rPr>
              <w:t xml:space="preserve">¿Cuál es el proceso actual de certificación al egresar y quién lo avala oficialmente?</w:t>
            </w:r>
          </w:p>
        </w:tc>
        <w:tc>
          <w:tcPr>
            <w:tcW w:type="dxa" w:w="3600"/>
            <w:tcMar>
              <w:top w:type="dxa" w:w="100"/>
              <w:left w:type="dxa" w:w="120"/>
              <w:bottom w:type="dxa" w:w="100"/>
              <w:right w:type="dxa" w:w="120"/>
            </w:tcMar>
            <w:vAlign w:val="center"/>
          </w:tcPr>
          <w:p>
            <w:pPr>
              <w:spacing w:after="60"/>
            </w:pPr>
            <w:r>
              <w:rPr>
                <w:b w:val="false"/>
                <w:bCs w:val="false"/>
                <w:color w:val="1A1A1A"/>
                <w:sz w:val="20"/>
                <w:szCs w:val="20"/>
              </w:rPr>
              <w:t xml:space="preserve">Necesario para diseñar la emisión de certificados digitales con validez real.</w:t>
            </w:r>
          </w:p>
        </w:tc>
      </w:tr>
      <w:tr>
        <w:tc>
          <w:tcPr>
            <w:tcW w:type="dxa" w:w="5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4</w:t>
            </w:r>
          </w:p>
        </w:tc>
        <w:tc>
          <w:tcPr>
            <w:tcW w:type="dxa" w:w="52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¿Existe hoy alguna evaluación práctica en taller estandarizada por sub-competencia, o se evalúa de forma libre por cada profesor?</w:t>
            </w:r>
          </w:p>
        </w:tc>
        <w:tc>
          <w:tcPr>
            <w:tcW w:type="dxa" w:w="36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Afecta si el 'dominio verificado' es consistente entre cohortes y profesores.</w:t>
            </w:r>
          </w:p>
        </w:tc>
      </w:tr>
      <w:tr>
        <w:tc>
          <w:tcPr>
            <w:tcW w:type="dxa" w:w="500"/>
            <w:tcMar>
              <w:top w:type="dxa" w:w="100"/>
              <w:left w:type="dxa" w:w="120"/>
              <w:bottom w:type="dxa" w:w="100"/>
              <w:right w:type="dxa" w:w="120"/>
            </w:tcMar>
            <w:vAlign w:val="center"/>
          </w:tcPr>
          <w:p>
            <w:pPr>
              <w:spacing w:after="60"/>
            </w:pPr>
            <w:r>
              <w:rPr>
                <w:b w:val="false"/>
                <w:bCs w:val="false"/>
                <w:color w:val="1A1A1A"/>
                <w:sz w:val="20"/>
                <w:szCs w:val="20"/>
              </w:rPr>
              <w:t xml:space="preserve">5</w:t>
            </w:r>
          </w:p>
        </w:tc>
        <w:tc>
          <w:tcPr>
            <w:tcW w:type="dxa" w:w="5200"/>
            <w:tcMar>
              <w:top w:type="dxa" w:w="100"/>
              <w:left w:type="dxa" w:w="120"/>
              <w:bottom w:type="dxa" w:w="100"/>
              <w:right w:type="dxa" w:w="120"/>
            </w:tcMar>
            <w:vAlign w:val="center"/>
          </w:tcPr>
          <w:p>
            <w:pPr>
              <w:spacing w:after="60"/>
            </w:pPr>
            <w:r>
              <w:rPr>
                <w:b w:val="false"/>
                <w:bCs w:val="false"/>
                <w:color w:val="1A1A1A"/>
                <w:sz w:val="20"/>
                <w:szCs w:val="20"/>
              </w:rPr>
              <w:t xml:space="preserve">¿Cuántos programas y módulos activos hay hoy, y cuál es la duración típica de cada uno?</w:t>
            </w:r>
          </w:p>
        </w:tc>
        <w:tc>
          <w:tcPr>
            <w:tcW w:type="dxa" w:w="3600"/>
            <w:tcMar>
              <w:top w:type="dxa" w:w="100"/>
              <w:left w:type="dxa" w:w="120"/>
              <w:bottom w:type="dxa" w:w="100"/>
              <w:right w:type="dxa" w:w="120"/>
            </w:tcMar>
            <w:vAlign w:val="center"/>
          </w:tcPr>
          <w:p>
            <w:pPr>
              <w:spacing w:after="60"/>
            </w:pPr>
            <w:r>
              <w:rPr>
                <w:b w:val="false"/>
                <w:bCs w:val="false"/>
                <w:color w:val="1A1A1A"/>
                <w:sz w:val="20"/>
                <w:szCs w:val="20"/>
              </w:rPr>
              <w:t xml:space="preserve">Dimensiona el volumen real de contenido, exámenes y datos que el sistema debe soportar desde el día uno.</w:t>
            </w:r>
          </w:p>
        </w:tc>
      </w:tr>
      <w:tr>
        <w:tc>
          <w:tcPr>
            <w:tcW w:type="dxa" w:w="5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6</w:t>
            </w:r>
          </w:p>
        </w:tc>
        <w:tc>
          <w:tcPr>
            <w:tcW w:type="dxa" w:w="52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¿Existen políticas de asistencia mínima o de baja por inasistencia que deban reflejarse como reglas del sistema?</w:t>
            </w:r>
          </w:p>
        </w:tc>
        <w:tc>
          <w:tcPr>
            <w:tcW w:type="dxa" w:w="36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Define si el sistema debe disparar alertas o bloqueos automáticos por asistencia.</w:t>
            </w:r>
          </w:p>
        </w:tc>
      </w:tr>
      <w:tr>
        <w:tc>
          <w:tcPr>
            <w:tcW w:type="dxa" w:w="500"/>
            <w:tcMar>
              <w:top w:type="dxa" w:w="100"/>
              <w:left w:type="dxa" w:w="120"/>
              <w:bottom w:type="dxa" w:w="100"/>
              <w:right w:type="dxa" w:w="120"/>
            </w:tcMar>
            <w:vAlign w:val="center"/>
          </w:tcPr>
          <w:p>
            <w:pPr>
              <w:spacing w:after="60"/>
            </w:pPr>
            <w:r>
              <w:rPr>
                <w:b w:val="false"/>
                <w:bCs w:val="false"/>
                <w:color w:val="1A1A1A"/>
                <w:sz w:val="20"/>
                <w:szCs w:val="20"/>
              </w:rPr>
              <w:t xml:space="preserve">7</w:t>
            </w:r>
          </w:p>
        </w:tc>
        <w:tc>
          <w:tcPr>
            <w:tcW w:type="dxa" w:w="5200"/>
            <w:tcMar>
              <w:top w:type="dxa" w:w="100"/>
              <w:left w:type="dxa" w:w="120"/>
              <w:bottom w:type="dxa" w:w="100"/>
              <w:right w:type="dxa" w:w="120"/>
            </w:tcMar>
            <w:vAlign w:val="center"/>
          </w:tcPr>
          <w:p>
            <w:pPr>
              <w:spacing w:after="60"/>
            </w:pPr>
            <w:r>
              <w:rPr>
                <w:b w:val="false"/>
                <w:bCs w:val="false"/>
                <w:color w:val="1A1A1A"/>
                <w:sz w:val="20"/>
                <w:szCs w:val="20"/>
              </w:rPr>
              <w:t xml:space="preserve">¿Quién define y actualiza el contenido de los cuestionarios de 'roles de especialización'?</w:t>
            </w:r>
          </w:p>
        </w:tc>
        <w:tc>
          <w:tcPr>
            <w:tcW w:type="dxa" w:w="3600"/>
            <w:tcMar>
              <w:top w:type="dxa" w:w="100"/>
              <w:left w:type="dxa" w:w="120"/>
              <w:bottom w:type="dxa" w:w="100"/>
              <w:right w:type="dxa" w:w="120"/>
            </w:tcMar>
            <w:vAlign w:val="center"/>
          </w:tcPr>
          <w:p>
            <w:pPr>
              <w:spacing w:after="60"/>
            </w:pPr>
            <w:r>
              <w:rPr>
                <w:b w:val="false"/>
                <w:bCs w:val="false"/>
                <w:color w:val="1A1A1A"/>
                <w:sz w:val="20"/>
                <w:szCs w:val="20"/>
              </w:rPr>
              <w:t xml:space="preserve">Determina el flujo de mantenimiento de esa función a largo plazo.</w:t>
            </w:r>
          </w:p>
        </w:tc>
      </w:tr>
    </w:tbl>
    <w:p>
      <w:pPr>
        <w:pStyle w:val="Heading2"/>
        <w:spacing w:after="140" w:before="280"/>
      </w:pPr>
      <w:r>
        <w:rPr>
          <w:b/>
          <w:bCs/>
          <w:color w:val="C05621"/>
          <w:sz w:val="24"/>
          <w:szCs w:val="24"/>
        </w:rPr>
        <w:t xml:space="preserve">7.2 Coordinación Administrativa / Finanzas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00"/>
      </w:tblGrid>
      <w:tr>
        <w:trPr>
          <w:tblHeader/>
        </w:trPr>
        <w:tc>
          <w:tcPr>
            <w:tcW w:type="dxa" w:w="500"/>
            <w:shd w:fill="1F2937" w:val="clear"/>
            <w:tcMar>
              <w:top w:type="dxa" w:w="100"/>
              <w:left w:type="dxa" w:w="120"/>
              <w:bottom w:type="dxa" w:w="100"/>
              <w:right w:type="dxa" w:w="120"/>
            </w:tcMar>
            <w:vAlign w:val="center"/>
          </w:tcPr>
          <w:p>
            <w:pPr>
              <w:spacing w:after="60"/>
            </w:pPr>
            <w:r>
              <w:rPr>
                <w:b/>
                <w:bCs/>
                <w:color w:val="FFFFFF"/>
                <w:sz w:val="19"/>
                <w:szCs w:val="19"/>
              </w:rPr>
              <w:t xml:space="preserve">#</w:t>
            </w:r>
          </w:p>
        </w:tc>
        <w:tc>
          <w:tcPr>
            <w:tcW w:type="dxa" w:w="5200"/>
            <w:shd w:fill="1F2937" w:val="clear"/>
            <w:tcMar>
              <w:top w:type="dxa" w:w="100"/>
              <w:left w:type="dxa" w:w="120"/>
              <w:bottom w:type="dxa" w:w="100"/>
              <w:right w:type="dxa" w:w="120"/>
            </w:tcMar>
            <w:vAlign w:val="center"/>
          </w:tcPr>
          <w:p>
            <w:pPr>
              <w:spacing w:after="60"/>
            </w:pPr>
            <w:r>
              <w:rPr>
                <w:b/>
                <w:bCs/>
                <w:color w:val="FFFFFF"/>
                <w:sz w:val="19"/>
                <w:szCs w:val="19"/>
              </w:rPr>
              <w:t xml:space="preserve">Pregunta para la coordinación</w:t>
            </w:r>
          </w:p>
        </w:tc>
        <w:tc>
          <w:tcPr>
            <w:tcW w:type="dxa" w:w="3600"/>
            <w:shd w:fill="1F2937" w:val="clear"/>
            <w:tcMar>
              <w:top w:type="dxa" w:w="100"/>
              <w:left w:type="dxa" w:w="120"/>
              <w:bottom w:type="dxa" w:w="100"/>
              <w:right w:type="dxa" w:w="120"/>
            </w:tcMar>
            <w:vAlign w:val="center"/>
          </w:tcPr>
          <w:p>
            <w:pPr>
              <w:spacing w:after="60"/>
            </w:pPr>
            <w:r>
              <w:rPr>
                <w:b/>
                <w:bCs/>
                <w:color w:val="FFFFFF"/>
                <w:sz w:val="19"/>
                <w:szCs w:val="19"/>
              </w:rPr>
              <w:t xml:space="preserve">Por qué es crítico responderla</w:t>
            </w:r>
          </w:p>
        </w:tc>
      </w:tr>
      <w:tr>
        <w:tc>
          <w:tcPr>
            <w:tcW w:type="dxa" w:w="500"/>
            <w:tcMar>
              <w:top w:type="dxa" w:w="100"/>
              <w:left w:type="dxa" w:w="120"/>
              <w:bottom w:type="dxa" w:w="100"/>
              <w:right w:type="dxa" w:w="120"/>
            </w:tcMar>
            <w:vAlign w:val="center"/>
          </w:tcPr>
          <w:p>
            <w:pPr>
              <w:spacing w:after="60"/>
            </w:pPr>
            <w:r>
              <w:rPr>
                <w:b w:val="false"/>
                <w:bCs w:val="false"/>
                <w:color w:val="1A1A1A"/>
                <w:sz w:val="20"/>
                <w:szCs w:val="20"/>
              </w:rPr>
              <w:t xml:space="preserve">1</w:t>
            </w:r>
          </w:p>
        </w:tc>
        <w:tc>
          <w:tcPr>
            <w:tcW w:type="dxa" w:w="5200"/>
            <w:tcMar>
              <w:top w:type="dxa" w:w="100"/>
              <w:left w:type="dxa" w:w="120"/>
              <w:bottom w:type="dxa" w:w="100"/>
              <w:right w:type="dxa" w:w="120"/>
            </w:tcMar>
            <w:vAlign w:val="center"/>
          </w:tcPr>
          <w:p>
            <w:pPr>
              <w:spacing w:after="60"/>
            </w:pPr>
            <w:r>
              <w:rPr>
                <w:b w:val="false"/>
                <w:bCs w:val="false"/>
                <w:color w:val="1A1A1A"/>
                <w:sz w:val="20"/>
                <w:szCs w:val="20"/>
              </w:rPr>
              <w:t xml:space="preserve">¿Cuál es el costo real por programa/módulo y qué rango de inicial/cuotas puede sostener la academia sin comprometer flujo de caja?</w:t>
            </w:r>
          </w:p>
        </w:tc>
        <w:tc>
          <w:tcPr>
            <w:tcW w:type="dxa" w:w="3600"/>
            <w:tcMar>
              <w:top w:type="dxa" w:w="100"/>
              <w:left w:type="dxa" w:w="120"/>
              <w:bottom w:type="dxa" w:w="100"/>
              <w:right w:type="dxa" w:w="120"/>
            </w:tcMar>
            <w:vAlign w:val="center"/>
          </w:tcPr>
          <w:p>
            <w:pPr>
              <w:spacing w:after="60"/>
            </w:pPr>
            <w:r>
              <w:rPr>
                <w:b w:val="false"/>
                <w:bCs w:val="false"/>
                <w:color w:val="1A1A1A"/>
                <w:sz w:val="20"/>
                <w:szCs w:val="20"/>
              </w:rPr>
              <w:t xml:space="preserve">Define los valores reales que reemplazan los porcentajes por defecto (30-40%) sugeridos en el documento de financiamiento.</w:t>
            </w:r>
          </w:p>
        </w:tc>
      </w:tr>
      <w:tr>
        <w:tc>
          <w:tcPr>
            <w:tcW w:type="dxa" w:w="5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2</w:t>
            </w:r>
          </w:p>
        </w:tc>
        <w:tc>
          <w:tcPr>
            <w:tcW w:type="dxa" w:w="52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¿Qué política de mora se quiere aplicar formalmente: bloqueo de contenido digital, bloqueo de certificado final, u otra?</w:t>
            </w:r>
          </w:p>
        </w:tc>
        <w:tc>
          <w:tcPr>
            <w:tcW w:type="dxa" w:w="36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Es una decisión de negocio con implicación legal y de experiencia de usuario que el software no puede decidir solo.</w:t>
            </w:r>
          </w:p>
        </w:tc>
      </w:tr>
      <w:tr>
        <w:tc>
          <w:tcPr>
            <w:tcW w:type="dxa" w:w="500"/>
            <w:tcMar>
              <w:top w:type="dxa" w:w="100"/>
              <w:left w:type="dxa" w:w="120"/>
              <w:bottom w:type="dxa" w:w="100"/>
              <w:right w:type="dxa" w:w="120"/>
            </w:tcMar>
            <w:vAlign w:val="center"/>
          </w:tcPr>
          <w:p>
            <w:pPr>
              <w:spacing w:after="60"/>
            </w:pPr>
            <w:r>
              <w:rPr>
                <w:b w:val="false"/>
                <w:bCs w:val="false"/>
                <w:color w:val="1A1A1A"/>
                <w:sz w:val="20"/>
                <w:szCs w:val="20"/>
              </w:rPr>
              <w:t xml:space="preserve">3</w:t>
            </w:r>
          </w:p>
        </w:tc>
        <w:tc>
          <w:tcPr>
            <w:tcW w:type="dxa" w:w="5200"/>
            <w:tcMar>
              <w:top w:type="dxa" w:w="100"/>
              <w:left w:type="dxa" w:w="120"/>
              <w:bottom w:type="dxa" w:w="100"/>
              <w:right w:type="dxa" w:w="120"/>
            </w:tcMar>
            <w:vAlign w:val="center"/>
          </w:tcPr>
          <w:p>
            <w:pPr>
              <w:spacing w:after="60"/>
            </w:pPr>
            <w:r>
              <w:rPr>
                <w:b w:val="false"/>
                <w:bCs w:val="false"/>
                <w:color w:val="1A1A1A"/>
                <w:sz w:val="20"/>
                <w:szCs w:val="20"/>
              </w:rPr>
              <w:t xml:space="preserve">¿Qué volumen mensual de comprobantes de pago se maneja hoy de forma manual?</w:t>
            </w:r>
          </w:p>
        </w:tc>
        <w:tc>
          <w:tcPr>
            <w:tcW w:type="dxa" w:w="3600"/>
            <w:tcMar>
              <w:top w:type="dxa" w:w="100"/>
              <w:left w:type="dxa" w:w="120"/>
              <w:bottom w:type="dxa" w:w="100"/>
              <w:right w:type="dxa" w:w="120"/>
            </w:tcMar>
            <w:vAlign w:val="center"/>
          </w:tcPr>
          <w:p>
            <w:pPr>
              <w:spacing w:after="60"/>
            </w:pPr>
            <w:r>
              <w:rPr>
                <w:b w:val="false"/>
                <w:bCs w:val="false"/>
                <w:color w:val="1A1A1A"/>
                <w:sz w:val="20"/>
                <w:szCs w:val="20"/>
              </w:rPr>
              <w:t xml:space="preserve">Permite dimensionar el SLA de revisión y la capacidad de personal necesaria en la cola de aprobación.</w:t>
            </w:r>
          </w:p>
        </w:tc>
      </w:tr>
      <w:tr>
        <w:tc>
          <w:tcPr>
            <w:tcW w:type="dxa" w:w="5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4</w:t>
            </w:r>
          </w:p>
        </w:tc>
        <w:tc>
          <w:tcPr>
            <w:tcW w:type="dxa" w:w="52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¿Qué tasa de cambio de referencia usa la academia hoy (oficial, paralela, propia) y con qué frecuencia se actualiza?</w:t>
            </w:r>
          </w:p>
        </w:tc>
        <w:tc>
          <w:tcPr>
            <w:tcW w:type="dxa" w:w="36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Define la lógica de conversión USD-bolívar en cada pago registrado.</w:t>
            </w:r>
          </w:p>
        </w:tc>
      </w:tr>
      <w:tr>
        <w:tc>
          <w:tcPr>
            <w:tcW w:type="dxa" w:w="500"/>
            <w:tcMar>
              <w:top w:type="dxa" w:w="100"/>
              <w:left w:type="dxa" w:w="120"/>
              <w:bottom w:type="dxa" w:w="100"/>
              <w:right w:type="dxa" w:w="120"/>
            </w:tcMar>
            <w:vAlign w:val="center"/>
          </w:tcPr>
          <w:p>
            <w:pPr>
              <w:spacing w:after="60"/>
            </w:pPr>
            <w:r>
              <w:rPr>
                <w:b w:val="false"/>
                <w:bCs w:val="false"/>
                <w:color w:val="1A1A1A"/>
                <w:sz w:val="20"/>
                <w:szCs w:val="20"/>
              </w:rPr>
              <w:t xml:space="preserve">5</w:t>
            </w:r>
          </w:p>
        </w:tc>
        <w:tc>
          <w:tcPr>
            <w:tcW w:type="dxa" w:w="5200"/>
            <w:tcMar>
              <w:top w:type="dxa" w:w="100"/>
              <w:left w:type="dxa" w:w="120"/>
              <w:bottom w:type="dxa" w:w="100"/>
              <w:right w:type="dxa" w:w="120"/>
            </w:tcMar>
            <w:vAlign w:val="center"/>
          </w:tcPr>
          <w:p>
            <w:pPr>
              <w:spacing w:after="60"/>
            </w:pPr>
            <w:r>
              <w:rPr>
                <w:b w:val="false"/>
                <w:bCs w:val="false"/>
                <w:color w:val="1A1A1A"/>
                <w:sz w:val="20"/>
                <w:szCs w:val="20"/>
              </w:rPr>
              <w:t xml:space="preserve">¿Existen ya acuerdos o integraciones con bancos/Binance, o el proceso es 100% manual comprobante por comprobante?</w:t>
            </w:r>
          </w:p>
        </w:tc>
        <w:tc>
          <w:tcPr>
            <w:tcW w:type="dxa" w:w="3600"/>
            <w:tcMar>
              <w:top w:type="dxa" w:w="100"/>
              <w:left w:type="dxa" w:w="120"/>
              <w:bottom w:type="dxa" w:w="100"/>
              <w:right w:type="dxa" w:w="120"/>
            </w:tcMar>
            <w:vAlign w:val="center"/>
          </w:tcPr>
          <w:p>
            <w:pPr>
              <w:spacing w:after="60"/>
            </w:pPr>
            <w:r>
              <w:rPr>
                <w:b w:val="false"/>
                <w:bCs w:val="false"/>
                <w:color w:val="1A1A1A"/>
                <w:sz w:val="20"/>
                <w:szCs w:val="20"/>
              </w:rPr>
              <w:t xml:space="preserve">Determina si hay oportunidad futura de conciliación semi-automática.</w:t>
            </w:r>
          </w:p>
        </w:tc>
      </w:tr>
      <w:tr>
        <w:tc>
          <w:tcPr>
            <w:tcW w:type="dxa" w:w="5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6</w:t>
            </w:r>
          </w:p>
        </w:tc>
        <w:tc>
          <w:tcPr>
            <w:tcW w:type="dxa" w:w="52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¿Cómo debe contabilizarse fiscalmente el descuento por puntos redimidos: como descuento directo o como otro tipo de movimiento?</w:t>
            </w:r>
          </w:p>
        </w:tc>
        <w:tc>
          <w:tcPr>
            <w:tcW w:type="dxa" w:w="36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Es un pasivo financiero real que debe cuadrar en el reporte contable de la academia, no solo en la app.</w:t>
            </w:r>
          </w:p>
        </w:tc>
      </w:tr>
      <w:tr>
        <w:tc>
          <w:tcPr>
            <w:tcW w:type="dxa" w:w="500"/>
            <w:tcMar>
              <w:top w:type="dxa" w:w="100"/>
              <w:left w:type="dxa" w:w="120"/>
              <w:bottom w:type="dxa" w:w="100"/>
              <w:right w:type="dxa" w:w="120"/>
            </w:tcMar>
            <w:vAlign w:val="center"/>
          </w:tcPr>
          <w:p>
            <w:pPr>
              <w:spacing w:after="60"/>
            </w:pPr>
            <w:r>
              <w:rPr>
                <w:b w:val="false"/>
                <w:bCs w:val="false"/>
                <w:color w:val="1A1A1A"/>
                <w:sz w:val="20"/>
                <w:szCs w:val="20"/>
              </w:rPr>
              <w:t xml:space="preserve">7</w:t>
            </w:r>
          </w:p>
        </w:tc>
        <w:tc>
          <w:tcPr>
            <w:tcW w:type="dxa" w:w="5200"/>
            <w:tcMar>
              <w:top w:type="dxa" w:w="100"/>
              <w:left w:type="dxa" w:w="120"/>
              <w:bottom w:type="dxa" w:w="100"/>
              <w:right w:type="dxa" w:w="120"/>
            </w:tcMar>
            <w:vAlign w:val="center"/>
          </w:tcPr>
          <w:p>
            <w:pPr>
              <w:spacing w:after="60"/>
            </w:pPr>
            <w:r>
              <w:rPr>
                <w:b w:val="false"/>
                <w:bCs w:val="false"/>
                <w:color w:val="1A1A1A"/>
                <w:sz w:val="20"/>
                <w:szCs w:val="20"/>
              </w:rPr>
              <w:t xml:space="preserve">¿Qué política aplica si un estudiante abandona a mitad de un plan de financiamiento? ¿Hay reembolso parcial?</w:t>
            </w:r>
          </w:p>
        </w:tc>
        <w:tc>
          <w:tcPr>
            <w:tcW w:type="dxa" w:w="3600"/>
            <w:tcMar>
              <w:top w:type="dxa" w:w="100"/>
              <w:left w:type="dxa" w:w="120"/>
              <w:bottom w:type="dxa" w:w="100"/>
              <w:right w:type="dxa" w:w="120"/>
            </w:tcMar>
            <w:vAlign w:val="center"/>
          </w:tcPr>
          <w:p>
            <w:pPr>
              <w:spacing w:after="60"/>
            </w:pPr>
            <w:r>
              <w:rPr>
                <w:b w:val="false"/>
                <w:bCs w:val="false"/>
                <w:color w:val="1A1A1A"/>
                <w:sz w:val="20"/>
                <w:szCs w:val="20"/>
              </w:rPr>
              <w:t xml:space="preserve">Vacío no cubierto por el documento actual; afecta directamente el modelo de datos de cuotas y pagos.</w:t>
            </w:r>
          </w:p>
        </w:tc>
      </w:tr>
    </w:tbl>
    <w:p>
      <w:pPr>
        <w:pStyle w:val="Heading2"/>
        <w:spacing w:after="140" w:before="280"/>
      </w:pPr>
      <w:r>
        <w:rPr>
          <w:b/>
          <w:bCs/>
          <w:color w:val="C05621"/>
          <w:sz w:val="24"/>
          <w:szCs w:val="24"/>
        </w:rPr>
        <w:t xml:space="preserve">7.3 Legal / Cumplimiento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00"/>
      </w:tblGrid>
      <w:tr>
        <w:trPr>
          <w:tblHeader/>
        </w:trPr>
        <w:tc>
          <w:tcPr>
            <w:tcW w:type="dxa" w:w="500"/>
            <w:shd w:fill="1F2937" w:val="clear"/>
            <w:tcMar>
              <w:top w:type="dxa" w:w="100"/>
              <w:left w:type="dxa" w:w="120"/>
              <w:bottom w:type="dxa" w:w="100"/>
              <w:right w:type="dxa" w:w="120"/>
            </w:tcMar>
            <w:vAlign w:val="center"/>
          </w:tcPr>
          <w:p>
            <w:pPr>
              <w:spacing w:after="60"/>
            </w:pPr>
            <w:r>
              <w:rPr>
                <w:b/>
                <w:bCs/>
                <w:color w:val="FFFFFF"/>
                <w:sz w:val="19"/>
                <w:szCs w:val="19"/>
              </w:rPr>
              <w:t xml:space="preserve">#</w:t>
            </w:r>
          </w:p>
        </w:tc>
        <w:tc>
          <w:tcPr>
            <w:tcW w:type="dxa" w:w="5200"/>
            <w:shd w:fill="1F2937" w:val="clear"/>
            <w:tcMar>
              <w:top w:type="dxa" w:w="100"/>
              <w:left w:type="dxa" w:w="120"/>
              <w:bottom w:type="dxa" w:w="100"/>
              <w:right w:type="dxa" w:w="120"/>
            </w:tcMar>
            <w:vAlign w:val="center"/>
          </w:tcPr>
          <w:p>
            <w:pPr>
              <w:spacing w:after="60"/>
            </w:pPr>
            <w:r>
              <w:rPr>
                <w:b/>
                <w:bCs/>
                <w:color w:val="FFFFFF"/>
                <w:sz w:val="19"/>
                <w:szCs w:val="19"/>
              </w:rPr>
              <w:t xml:space="preserve">Pregunta para la coordinación</w:t>
            </w:r>
          </w:p>
        </w:tc>
        <w:tc>
          <w:tcPr>
            <w:tcW w:type="dxa" w:w="3600"/>
            <w:shd w:fill="1F2937" w:val="clear"/>
            <w:tcMar>
              <w:top w:type="dxa" w:w="100"/>
              <w:left w:type="dxa" w:w="120"/>
              <w:bottom w:type="dxa" w:w="100"/>
              <w:right w:type="dxa" w:w="120"/>
            </w:tcMar>
            <w:vAlign w:val="center"/>
          </w:tcPr>
          <w:p>
            <w:pPr>
              <w:spacing w:after="60"/>
            </w:pPr>
            <w:r>
              <w:rPr>
                <w:b/>
                <w:bCs/>
                <w:color w:val="FFFFFF"/>
                <w:sz w:val="19"/>
                <w:szCs w:val="19"/>
              </w:rPr>
              <w:t xml:space="preserve">Por qué es crítico responderla</w:t>
            </w:r>
          </w:p>
        </w:tc>
      </w:tr>
      <w:tr>
        <w:tc>
          <w:tcPr>
            <w:tcW w:type="dxa" w:w="500"/>
            <w:tcMar>
              <w:top w:type="dxa" w:w="100"/>
              <w:left w:type="dxa" w:w="120"/>
              <w:bottom w:type="dxa" w:w="100"/>
              <w:right w:type="dxa" w:w="120"/>
            </w:tcMar>
            <w:vAlign w:val="center"/>
          </w:tcPr>
          <w:p>
            <w:pPr>
              <w:spacing w:after="60"/>
            </w:pPr>
            <w:r>
              <w:rPr>
                <w:b w:val="false"/>
                <w:bCs w:val="false"/>
                <w:color w:val="1A1A1A"/>
                <w:sz w:val="20"/>
                <w:szCs w:val="20"/>
              </w:rPr>
              <w:t xml:space="preserve">1</w:t>
            </w:r>
          </w:p>
        </w:tc>
        <w:tc>
          <w:tcPr>
            <w:tcW w:type="dxa" w:w="5200"/>
            <w:tcMar>
              <w:top w:type="dxa" w:w="100"/>
              <w:left w:type="dxa" w:w="120"/>
              <w:bottom w:type="dxa" w:w="100"/>
              <w:right w:type="dxa" w:w="120"/>
            </w:tcMar>
            <w:vAlign w:val="center"/>
          </w:tcPr>
          <w:p>
            <w:pPr>
              <w:spacing w:after="60"/>
            </w:pPr>
            <w:r>
              <w:rPr>
                <w:b w:val="false"/>
                <w:bCs w:val="false"/>
                <w:color w:val="1A1A1A"/>
                <w:sz w:val="20"/>
                <w:szCs w:val="20"/>
              </w:rPr>
              <w:t xml:space="preserve">¿El modelo de financiamiento fraccionado de un servicio educativo requiere registro, licencia o cumplimiento normativo específico en la jurisdicción?</w:t>
            </w:r>
          </w:p>
        </w:tc>
        <w:tc>
          <w:tcPr>
            <w:tcW w:type="dxa" w:w="3600"/>
            <w:tcMar>
              <w:top w:type="dxa" w:w="100"/>
              <w:left w:type="dxa" w:w="120"/>
              <w:bottom w:type="dxa" w:w="100"/>
              <w:right w:type="dxa" w:w="120"/>
            </w:tcMar>
            <w:vAlign w:val="center"/>
          </w:tcPr>
          <w:p>
            <w:pPr>
              <w:spacing w:after="60"/>
            </w:pPr>
            <w:r>
              <w:rPr>
                <w:b w:val="false"/>
                <w:bCs w:val="false"/>
                <w:color w:val="1A1A1A"/>
                <w:sz w:val="20"/>
                <w:szCs w:val="20"/>
              </w:rPr>
              <w:t xml:space="preserve">Riesgo legal explícito señalado en la documentación; no debe resolverlo el software por su cuenta.</w:t>
            </w:r>
          </w:p>
        </w:tc>
      </w:tr>
      <w:tr>
        <w:tc>
          <w:tcPr>
            <w:tcW w:type="dxa" w:w="5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2</w:t>
            </w:r>
          </w:p>
        </w:tc>
        <w:tc>
          <w:tcPr>
            <w:tcW w:type="dxa" w:w="52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¿Qué normativa local aplica sobre datos personales y contenido de menores de edad (15-17 años) en funciones tipo red social?</w:t>
            </w:r>
          </w:p>
        </w:tc>
        <w:tc>
          <w:tcPr>
            <w:tcW w:type="dxa" w:w="36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Condiciona el diseño del módulo social de Fase 3 desde el esquema de datos, no como parche posterior.</w:t>
            </w:r>
          </w:p>
        </w:tc>
      </w:tr>
      <w:tr>
        <w:tc>
          <w:tcPr>
            <w:tcW w:type="dxa" w:w="500"/>
            <w:tcMar>
              <w:top w:type="dxa" w:w="100"/>
              <w:left w:type="dxa" w:w="120"/>
              <w:bottom w:type="dxa" w:w="100"/>
              <w:right w:type="dxa" w:w="120"/>
            </w:tcMar>
            <w:vAlign w:val="center"/>
          </w:tcPr>
          <w:p>
            <w:pPr>
              <w:spacing w:after="60"/>
            </w:pPr>
            <w:r>
              <w:rPr>
                <w:b w:val="false"/>
                <w:bCs w:val="false"/>
                <w:color w:val="1A1A1A"/>
                <w:sz w:val="20"/>
                <w:szCs w:val="20"/>
              </w:rPr>
              <w:t xml:space="preserve">3</w:t>
            </w:r>
          </w:p>
        </w:tc>
        <w:tc>
          <w:tcPr>
            <w:tcW w:type="dxa" w:w="5200"/>
            <w:tcMar>
              <w:top w:type="dxa" w:w="100"/>
              <w:left w:type="dxa" w:w="120"/>
              <w:bottom w:type="dxa" w:w="100"/>
              <w:right w:type="dxa" w:w="120"/>
            </w:tcMar>
            <w:vAlign w:val="center"/>
          </w:tcPr>
          <w:p>
            <w:pPr>
              <w:spacing w:after="60"/>
            </w:pPr>
            <w:r>
              <w:rPr>
                <w:b w:val="false"/>
                <w:bCs w:val="false"/>
                <w:color w:val="1A1A1A"/>
                <w:sz w:val="20"/>
                <w:szCs w:val="20"/>
              </w:rPr>
              <w:t xml:space="preserve">¿Qué consentimiento parental se requiere para el registro de un menor de edad y para la publicación de contenido generado por él?</w:t>
            </w:r>
          </w:p>
        </w:tc>
        <w:tc>
          <w:tcPr>
            <w:tcW w:type="dxa" w:w="3600"/>
            <w:tcMar>
              <w:top w:type="dxa" w:w="100"/>
              <w:left w:type="dxa" w:w="120"/>
              <w:bottom w:type="dxa" w:w="100"/>
              <w:right w:type="dxa" w:w="120"/>
            </w:tcMar>
            <w:vAlign w:val="center"/>
          </w:tcPr>
          <w:p>
            <w:pPr>
              <w:spacing w:after="60"/>
            </w:pPr>
            <w:r>
              <w:rPr>
                <w:b w:val="false"/>
                <w:bCs w:val="false"/>
                <w:color w:val="1A1A1A"/>
                <w:sz w:val="20"/>
                <w:szCs w:val="20"/>
              </w:rPr>
              <w:t xml:space="preserve">Necesario antes de habilitar cualquier función de subida de video o comentarios.</w:t>
            </w:r>
          </w:p>
        </w:tc>
      </w:tr>
      <w:tr>
        <w:tc>
          <w:tcPr>
            <w:tcW w:type="dxa" w:w="5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4</w:t>
            </w:r>
          </w:p>
        </w:tc>
        <w:tc>
          <w:tcPr>
            <w:tcW w:type="dxa" w:w="52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¿Existe alguna normativa educativa que restrinja bloquear el acceso físico a clases por mora en el pago?</w:t>
            </w:r>
          </w:p>
        </w:tc>
        <w:tc>
          <w:tcPr>
            <w:tcW w:type="dxa" w:w="36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El documento de financiamiento marca esto como 'no recomendado' pendiente de validación legal explícita.</w:t>
            </w:r>
          </w:p>
        </w:tc>
      </w:tr>
      <w:tr>
        <w:tc>
          <w:tcPr>
            <w:tcW w:type="dxa" w:w="500"/>
            <w:tcMar>
              <w:top w:type="dxa" w:w="100"/>
              <w:left w:type="dxa" w:w="120"/>
              <w:bottom w:type="dxa" w:w="100"/>
              <w:right w:type="dxa" w:w="120"/>
            </w:tcMar>
            <w:vAlign w:val="center"/>
          </w:tcPr>
          <w:p>
            <w:pPr>
              <w:spacing w:after="60"/>
            </w:pPr>
            <w:r>
              <w:rPr>
                <w:b w:val="false"/>
                <w:bCs w:val="false"/>
                <w:color w:val="1A1A1A"/>
                <w:sz w:val="20"/>
                <w:szCs w:val="20"/>
              </w:rPr>
              <w:t xml:space="preserve">5</w:t>
            </w:r>
          </w:p>
        </w:tc>
        <w:tc>
          <w:tcPr>
            <w:tcW w:type="dxa" w:w="5200"/>
            <w:tcMar>
              <w:top w:type="dxa" w:w="100"/>
              <w:left w:type="dxa" w:w="120"/>
              <w:bottom w:type="dxa" w:w="100"/>
              <w:right w:type="dxa" w:w="120"/>
            </w:tcMar>
            <w:vAlign w:val="center"/>
          </w:tcPr>
          <w:p>
            <w:pPr>
              <w:spacing w:after="60"/>
            </w:pPr>
            <w:r>
              <w:rPr>
                <w:b w:val="false"/>
                <w:bCs w:val="false"/>
                <w:color w:val="1A1A1A"/>
                <w:sz w:val="20"/>
                <w:szCs w:val="20"/>
              </w:rPr>
              <w:t xml:space="preserve">¿Qué validez legal tiene un certificado oficial emitido en formato digital (firma electrónica, sello institucional)?</w:t>
            </w:r>
          </w:p>
        </w:tc>
        <w:tc>
          <w:tcPr>
            <w:tcW w:type="dxa" w:w="3600"/>
            <w:tcMar>
              <w:top w:type="dxa" w:w="100"/>
              <w:left w:type="dxa" w:w="120"/>
              <w:bottom w:type="dxa" w:w="100"/>
              <w:right w:type="dxa" w:w="120"/>
            </w:tcMar>
            <w:vAlign w:val="center"/>
          </w:tcPr>
          <w:p>
            <w:pPr>
              <w:spacing w:after="60"/>
            </w:pPr>
            <w:r>
              <w:rPr>
                <w:b w:val="false"/>
                <w:bCs w:val="false"/>
                <w:color w:val="1A1A1A"/>
                <w:sz w:val="20"/>
                <w:szCs w:val="20"/>
              </w:rPr>
              <w:t xml:space="preserve">Determina si el certificado por QR puede considerarse un documento oficial o solo un complemento del físico.</w:t>
            </w:r>
          </w:p>
        </w:tc>
      </w:tr>
    </w:tbl>
    <w:p>
      <w:pPr>
        <w:pStyle w:val="Heading2"/>
        <w:spacing w:after="140" w:before="280"/>
      </w:pPr>
      <w:r>
        <w:rPr>
          <w:b/>
          <w:bCs/>
          <w:color w:val="C05621"/>
          <w:sz w:val="24"/>
          <w:szCs w:val="24"/>
        </w:rPr>
        <w:t xml:space="preserve">7.4 Coordinación de Profesores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00"/>
      </w:tblGrid>
      <w:tr>
        <w:trPr>
          <w:tblHeader/>
        </w:trPr>
        <w:tc>
          <w:tcPr>
            <w:tcW w:type="dxa" w:w="500"/>
            <w:shd w:fill="1F2937" w:val="clear"/>
            <w:tcMar>
              <w:top w:type="dxa" w:w="100"/>
              <w:left w:type="dxa" w:w="120"/>
              <w:bottom w:type="dxa" w:w="100"/>
              <w:right w:type="dxa" w:w="120"/>
            </w:tcMar>
            <w:vAlign w:val="center"/>
          </w:tcPr>
          <w:p>
            <w:pPr>
              <w:spacing w:after="60"/>
            </w:pPr>
            <w:r>
              <w:rPr>
                <w:b/>
                <w:bCs/>
                <w:color w:val="FFFFFF"/>
                <w:sz w:val="19"/>
                <w:szCs w:val="19"/>
              </w:rPr>
              <w:t xml:space="preserve">#</w:t>
            </w:r>
          </w:p>
        </w:tc>
        <w:tc>
          <w:tcPr>
            <w:tcW w:type="dxa" w:w="5200"/>
            <w:shd w:fill="1F2937" w:val="clear"/>
            <w:tcMar>
              <w:top w:type="dxa" w:w="100"/>
              <w:left w:type="dxa" w:w="120"/>
              <w:bottom w:type="dxa" w:w="100"/>
              <w:right w:type="dxa" w:w="120"/>
            </w:tcMar>
            <w:vAlign w:val="center"/>
          </w:tcPr>
          <w:p>
            <w:pPr>
              <w:spacing w:after="60"/>
            </w:pPr>
            <w:r>
              <w:rPr>
                <w:b/>
                <w:bCs/>
                <w:color w:val="FFFFFF"/>
                <w:sz w:val="19"/>
                <w:szCs w:val="19"/>
              </w:rPr>
              <w:t xml:space="preserve">Pregunta para la coordinación</w:t>
            </w:r>
          </w:p>
        </w:tc>
        <w:tc>
          <w:tcPr>
            <w:tcW w:type="dxa" w:w="3600"/>
            <w:shd w:fill="1F2937" w:val="clear"/>
            <w:tcMar>
              <w:top w:type="dxa" w:w="100"/>
              <w:left w:type="dxa" w:w="120"/>
              <w:bottom w:type="dxa" w:w="100"/>
              <w:right w:type="dxa" w:w="120"/>
            </w:tcMar>
            <w:vAlign w:val="center"/>
          </w:tcPr>
          <w:p>
            <w:pPr>
              <w:spacing w:after="60"/>
            </w:pPr>
            <w:r>
              <w:rPr>
                <w:b/>
                <w:bCs/>
                <w:color w:val="FFFFFF"/>
                <w:sz w:val="19"/>
                <w:szCs w:val="19"/>
              </w:rPr>
              <w:t xml:space="preserve">Por qué es crítico responderla</w:t>
            </w:r>
          </w:p>
        </w:tc>
      </w:tr>
      <w:tr>
        <w:tc>
          <w:tcPr>
            <w:tcW w:type="dxa" w:w="500"/>
            <w:tcMar>
              <w:top w:type="dxa" w:w="100"/>
              <w:left w:type="dxa" w:w="120"/>
              <w:bottom w:type="dxa" w:w="100"/>
              <w:right w:type="dxa" w:w="120"/>
            </w:tcMar>
            <w:vAlign w:val="center"/>
          </w:tcPr>
          <w:p>
            <w:pPr>
              <w:spacing w:after="60"/>
            </w:pPr>
            <w:r>
              <w:rPr>
                <w:b w:val="false"/>
                <w:bCs w:val="false"/>
                <w:color w:val="1A1A1A"/>
                <w:sz w:val="20"/>
                <w:szCs w:val="20"/>
              </w:rPr>
              <w:t xml:space="preserve">1</w:t>
            </w:r>
          </w:p>
        </w:tc>
        <w:tc>
          <w:tcPr>
            <w:tcW w:type="dxa" w:w="5200"/>
            <w:tcMar>
              <w:top w:type="dxa" w:w="100"/>
              <w:left w:type="dxa" w:w="120"/>
              <w:bottom w:type="dxa" w:w="100"/>
              <w:right w:type="dxa" w:w="120"/>
            </w:tcMar>
            <w:vAlign w:val="center"/>
          </w:tcPr>
          <w:p>
            <w:pPr>
              <w:spacing w:after="60"/>
            </w:pPr>
            <w:r>
              <w:rPr>
                <w:b w:val="false"/>
                <w:bCs w:val="false"/>
                <w:color w:val="1A1A1A"/>
                <w:sz w:val="20"/>
                <w:szCs w:val="20"/>
              </w:rPr>
              <w:t xml:space="preserve">¿Cuántos profesores estarán habilitando exámenes y calificando redacciones abiertas de forma simultánea?</w:t>
            </w:r>
          </w:p>
        </w:tc>
        <w:tc>
          <w:tcPr>
            <w:tcW w:type="dxa" w:w="3600"/>
            <w:tcMar>
              <w:top w:type="dxa" w:w="100"/>
              <w:left w:type="dxa" w:w="120"/>
              <w:bottom w:type="dxa" w:w="100"/>
              <w:right w:type="dxa" w:w="120"/>
            </w:tcMar>
            <w:vAlign w:val="center"/>
          </w:tcPr>
          <w:p>
            <w:pPr>
              <w:spacing w:after="60"/>
            </w:pPr>
            <w:r>
              <w:rPr>
                <w:b w:val="false"/>
                <w:bCs w:val="false"/>
                <w:color w:val="1A1A1A"/>
                <w:sz w:val="20"/>
                <w:szCs w:val="20"/>
              </w:rPr>
              <w:t xml:space="preserve">Dimensiona la carga de trabajo esperada en el dashboard de profesor.</w:t>
            </w:r>
          </w:p>
        </w:tc>
      </w:tr>
      <w:tr>
        <w:tc>
          <w:tcPr>
            <w:tcW w:type="dxa" w:w="5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2</w:t>
            </w:r>
          </w:p>
        </w:tc>
        <w:tc>
          <w:tcPr>
            <w:tcW w:type="dxa" w:w="52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¿Quién produce los videos curriculares de 30 segundos: cada profesor, un equipo central, o un proveedor externo?</w:t>
            </w:r>
          </w:p>
        </w:tc>
        <w:tc>
          <w:tcPr>
            <w:tcW w:type="dxa" w:w="36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Es un costo operativo recurrente crítico; sin resolverlo, el módulo de micro-learning no tiene contenido el día del lanzamiento.</w:t>
            </w:r>
          </w:p>
        </w:tc>
      </w:tr>
      <w:tr>
        <w:tc>
          <w:tcPr>
            <w:tcW w:type="dxa" w:w="500"/>
            <w:tcMar>
              <w:top w:type="dxa" w:w="100"/>
              <w:left w:type="dxa" w:w="120"/>
              <w:bottom w:type="dxa" w:w="100"/>
              <w:right w:type="dxa" w:w="120"/>
            </w:tcMar>
            <w:vAlign w:val="center"/>
          </w:tcPr>
          <w:p>
            <w:pPr>
              <w:spacing w:after="60"/>
            </w:pPr>
            <w:r>
              <w:rPr>
                <w:b w:val="false"/>
                <w:bCs w:val="false"/>
                <w:color w:val="1A1A1A"/>
                <w:sz w:val="20"/>
                <w:szCs w:val="20"/>
              </w:rPr>
              <w:t xml:space="preserve">3</w:t>
            </w:r>
          </w:p>
        </w:tc>
        <w:tc>
          <w:tcPr>
            <w:tcW w:type="dxa" w:w="5200"/>
            <w:tcMar>
              <w:top w:type="dxa" w:w="100"/>
              <w:left w:type="dxa" w:w="120"/>
              <w:bottom w:type="dxa" w:w="100"/>
              <w:right w:type="dxa" w:w="120"/>
            </w:tcMar>
            <w:vAlign w:val="center"/>
          </w:tcPr>
          <w:p>
            <w:pPr>
              <w:spacing w:after="60"/>
            </w:pPr>
            <w:r>
              <w:rPr>
                <w:b w:val="false"/>
                <w:bCs w:val="false"/>
                <w:color w:val="1A1A1A"/>
                <w:sz w:val="20"/>
                <w:szCs w:val="20"/>
              </w:rPr>
              <w:t xml:space="preserve">¿Qué formato de pregunta corta prefieren los profesores para acompañar cada video (opción múltiple, verdadero/falso, ambas)?</w:t>
            </w:r>
          </w:p>
        </w:tc>
        <w:tc>
          <w:tcPr>
            <w:tcW w:type="dxa" w:w="3600"/>
            <w:tcMar>
              <w:top w:type="dxa" w:w="100"/>
              <w:left w:type="dxa" w:w="120"/>
              <w:bottom w:type="dxa" w:w="100"/>
              <w:right w:type="dxa" w:w="120"/>
            </w:tcMar>
            <w:vAlign w:val="center"/>
          </w:tcPr>
          <w:p>
            <w:pPr>
              <w:spacing w:after="60"/>
            </w:pPr>
            <w:r>
              <w:rPr>
                <w:b w:val="false"/>
                <w:bCs w:val="false"/>
                <w:color w:val="1A1A1A"/>
                <w:sz w:val="20"/>
                <w:szCs w:val="20"/>
              </w:rPr>
              <w:t xml:space="preserve">Afecta el diseño de la interfaz de creación de contenido en el dashboard.</w:t>
            </w:r>
          </w:p>
        </w:tc>
      </w:tr>
      <w:tr>
        <w:tc>
          <w:tcPr>
            <w:tcW w:type="dxa" w:w="5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4</w:t>
            </w:r>
          </w:p>
        </w:tc>
        <w:tc>
          <w:tcPr>
            <w:tcW w:type="dxa" w:w="52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¿Existe ya una rúbrica estandarizada para marcar una sub-competencia como 'dominada' en evaluación práctica de taller?</w:t>
            </w:r>
          </w:p>
        </w:tc>
        <w:tc>
          <w:tcPr>
            <w:tcW w:type="dxa" w:w="36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Es la única fuente de verdad de dominio que no depende de auto-calificación; necesita ser consistente entre profesores.</w:t>
            </w:r>
          </w:p>
        </w:tc>
      </w:tr>
    </w:tbl>
    <w:p>
      <w:pPr>
        <w:pStyle w:val="Heading2"/>
        <w:spacing w:after="140" w:before="280"/>
      </w:pPr>
      <w:r>
        <w:rPr>
          <w:b/>
          <w:bCs/>
          <w:color w:val="C05621"/>
          <w:sz w:val="24"/>
          <w:szCs w:val="24"/>
        </w:rPr>
        <w:t xml:space="preserve">7.5 Producción de Contenido / Marketing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00"/>
      </w:tblGrid>
      <w:tr>
        <w:trPr>
          <w:tblHeader/>
        </w:trPr>
        <w:tc>
          <w:tcPr>
            <w:tcW w:type="dxa" w:w="500"/>
            <w:shd w:fill="1F2937" w:val="clear"/>
            <w:tcMar>
              <w:top w:type="dxa" w:w="100"/>
              <w:left w:type="dxa" w:w="120"/>
              <w:bottom w:type="dxa" w:w="100"/>
              <w:right w:type="dxa" w:w="120"/>
            </w:tcMar>
            <w:vAlign w:val="center"/>
          </w:tcPr>
          <w:p>
            <w:pPr>
              <w:spacing w:after="60"/>
            </w:pPr>
            <w:r>
              <w:rPr>
                <w:b/>
                <w:bCs/>
                <w:color w:val="FFFFFF"/>
                <w:sz w:val="19"/>
                <w:szCs w:val="19"/>
              </w:rPr>
              <w:t xml:space="preserve">#</w:t>
            </w:r>
          </w:p>
        </w:tc>
        <w:tc>
          <w:tcPr>
            <w:tcW w:type="dxa" w:w="5200"/>
            <w:shd w:fill="1F2937" w:val="clear"/>
            <w:tcMar>
              <w:top w:type="dxa" w:w="100"/>
              <w:left w:type="dxa" w:w="120"/>
              <w:bottom w:type="dxa" w:w="100"/>
              <w:right w:type="dxa" w:w="120"/>
            </w:tcMar>
            <w:vAlign w:val="center"/>
          </w:tcPr>
          <w:p>
            <w:pPr>
              <w:spacing w:after="60"/>
            </w:pPr>
            <w:r>
              <w:rPr>
                <w:b/>
                <w:bCs/>
                <w:color w:val="FFFFFF"/>
                <w:sz w:val="19"/>
                <w:szCs w:val="19"/>
              </w:rPr>
              <w:t xml:space="preserve">Pregunta para la coordinación</w:t>
            </w:r>
          </w:p>
        </w:tc>
        <w:tc>
          <w:tcPr>
            <w:tcW w:type="dxa" w:w="3600"/>
            <w:shd w:fill="1F2937" w:val="clear"/>
            <w:tcMar>
              <w:top w:type="dxa" w:w="100"/>
              <w:left w:type="dxa" w:w="120"/>
              <w:bottom w:type="dxa" w:w="100"/>
              <w:right w:type="dxa" w:w="120"/>
            </w:tcMar>
            <w:vAlign w:val="center"/>
          </w:tcPr>
          <w:p>
            <w:pPr>
              <w:spacing w:after="60"/>
            </w:pPr>
            <w:r>
              <w:rPr>
                <w:b/>
                <w:bCs/>
                <w:color w:val="FFFFFF"/>
                <w:sz w:val="19"/>
                <w:szCs w:val="19"/>
              </w:rPr>
              <w:t xml:space="preserve">Por qué es crítico responderla</w:t>
            </w:r>
          </w:p>
        </w:tc>
      </w:tr>
      <w:tr>
        <w:tc>
          <w:tcPr>
            <w:tcW w:type="dxa" w:w="500"/>
            <w:tcMar>
              <w:top w:type="dxa" w:w="100"/>
              <w:left w:type="dxa" w:w="120"/>
              <w:bottom w:type="dxa" w:w="100"/>
              <w:right w:type="dxa" w:w="120"/>
            </w:tcMar>
            <w:vAlign w:val="center"/>
          </w:tcPr>
          <w:p>
            <w:pPr>
              <w:spacing w:after="60"/>
            </w:pPr>
            <w:r>
              <w:rPr>
                <w:b w:val="false"/>
                <w:bCs w:val="false"/>
                <w:color w:val="1A1A1A"/>
                <w:sz w:val="20"/>
                <w:szCs w:val="20"/>
              </w:rPr>
              <w:t xml:space="preserve">1</w:t>
            </w:r>
          </w:p>
        </w:tc>
        <w:tc>
          <w:tcPr>
            <w:tcW w:type="dxa" w:w="5200"/>
            <w:tcMar>
              <w:top w:type="dxa" w:w="100"/>
              <w:left w:type="dxa" w:w="120"/>
              <w:bottom w:type="dxa" w:w="100"/>
              <w:right w:type="dxa" w:w="120"/>
            </w:tcMar>
            <w:vAlign w:val="center"/>
          </w:tcPr>
          <w:p>
            <w:pPr>
              <w:spacing w:after="60"/>
            </w:pPr>
            <w:r>
              <w:rPr>
                <w:b w:val="false"/>
                <w:bCs w:val="false"/>
                <w:color w:val="1A1A1A"/>
                <w:sz w:val="20"/>
                <w:szCs w:val="20"/>
              </w:rPr>
              <w:t xml:space="preserve">¿Existe ya un banco de video institucional o debe producirse desde cero?</w:t>
            </w:r>
          </w:p>
        </w:tc>
        <w:tc>
          <w:tcPr>
            <w:tcW w:type="dxa" w:w="3600"/>
            <w:tcMar>
              <w:top w:type="dxa" w:w="100"/>
              <w:left w:type="dxa" w:w="120"/>
              <w:bottom w:type="dxa" w:w="100"/>
              <w:right w:type="dxa" w:w="120"/>
            </w:tcMar>
            <w:vAlign w:val="center"/>
          </w:tcPr>
          <w:p>
            <w:pPr>
              <w:spacing w:after="60"/>
            </w:pPr>
            <w:r>
              <w:rPr>
                <w:b w:val="false"/>
                <w:bCs w:val="false"/>
                <w:color w:val="1A1A1A"/>
                <w:sz w:val="20"/>
                <w:szCs w:val="20"/>
              </w:rPr>
              <w:t xml:space="preserve">Determina si hay contenido reutilizable para el lanzamiento o si todo debe grabarse de nuevo.</w:t>
            </w:r>
          </w:p>
        </w:tc>
      </w:tr>
      <w:tr>
        <w:tc>
          <w:tcPr>
            <w:tcW w:type="dxa" w:w="5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2</w:t>
            </w:r>
          </w:p>
        </w:tc>
        <w:tc>
          <w:tcPr>
            <w:tcW w:type="dxa" w:w="52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¿Qué presupuesto y cadencia de producción se puede sostener (cuántos videos nuevos por semana/mes)?</w:t>
            </w:r>
          </w:p>
        </w:tc>
        <w:tc>
          <w:tcPr>
            <w:tcW w:type="dxa" w:w="36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Sin esto no se puede planear un calendario de contenido realista para el mapa de dominio.</w:t>
            </w:r>
          </w:p>
        </w:tc>
      </w:tr>
      <w:tr>
        <w:tc>
          <w:tcPr>
            <w:tcW w:type="dxa" w:w="500"/>
            <w:tcMar>
              <w:top w:type="dxa" w:w="100"/>
              <w:left w:type="dxa" w:w="120"/>
              <w:bottom w:type="dxa" w:w="100"/>
              <w:right w:type="dxa" w:w="120"/>
            </w:tcMar>
            <w:vAlign w:val="center"/>
          </w:tcPr>
          <w:p>
            <w:pPr>
              <w:spacing w:after="60"/>
            </w:pPr>
            <w:r>
              <w:rPr>
                <w:b w:val="false"/>
                <w:bCs w:val="false"/>
                <w:color w:val="1A1A1A"/>
                <w:sz w:val="20"/>
                <w:szCs w:val="20"/>
              </w:rPr>
              <w:t xml:space="preserve">3</w:t>
            </w:r>
          </w:p>
        </w:tc>
        <w:tc>
          <w:tcPr>
            <w:tcW w:type="dxa" w:w="5200"/>
            <w:tcMar>
              <w:top w:type="dxa" w:w="100"/>
              <w:left w:type="dxa" w:w="120"/>
              <w:bottom w:type="dxa" w:w="100"/>
              <w:right w:type="dxa" w:w="120"/>
            </w:tcMar>
            <w:vAlign w:val="center"/>
          </w:tcPr>
          <w:p>
            <w:pPr>
              <w:spacing w:after="60"/>
            </w:pPr>
            <w:r>
              <w:rPr>
                <w:b w:val="false"/>
                <w:bCs w:val="false"/>
                <w:color w:val="1A1A1A"/>
                <w:sz w:val="20"/>
                <w:szCs w:val="20"/>
              </w:rPr>
              <w:t xml:space="preserve">¿Quién define el tono de marca para el portafolio público y el certificado compartible por QR?</w:t>
            </w:r>
          </w:p>
        </w:tc>
        <w:tc>
          <w:tcPr>
            <w:tcW w:type="dxa" w:w="3600"/>
            <w:tcMar>
              <w:top w:type="dxa" w:w="100"/>
              <w:left w:type="dxa" w:w="120"/>
              <w:bottom w:type="dxa" w:w="100"/>
              <w:right w:type="dxa" w:w="120"/>
            </w:tcMar>
            <w:vAlign w:val="center"/>
          </w:tcPr>
          <w:p>
            <w:pPr>
              <w:spacing w:after="60"/>
            </w:pPr>
            <w:r>
              <w:rPr>
                <w:b w:val="false"/>
                <w:bCs w:val="false"/>
                <w:color w:val="1A1A1A"/>
                <w:sz w:val="20"/>
                <w:szCs w:val="20"/>
              </w:rPr>
              <w:t xml:space="preserve">Impacta el diseño visual del producto que representará a la academia frente a terceros.</w:t>
            </w:r>
          </w:p>
        </w:tc>
      </w:tr>
      <w:tr>
        <w:tc>
          <w:tcPr>
            <w:tcW w:type="dxa" w:w="5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4</w:t>
            </w:r>
          </w:p>
        </w:tc>
        <w:tc>
          <w:tcPr>
            <w:tcW w:type="dxa" w:w="52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Para la red social de Fase 3: ¿qué política de uso comercial y derechos de imagen aplica al contenido subido por estudiantes?</w:t>
            </w:r>
          </w:p>
        </w:tc>
        <w:tc>
          <w:tcPr>
            <w:tcW w:type="dxa" w:w="36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Necesario antes de habilitar cualquier función de contenido generado por usuarios.</w:t>
            </w:r>
          </w:p>
        </w:tc>
      </w:tr>
    </w:tbl>
    <w:p>
      <w:pPr>
        <w:pStyle w:val="Heading2"/>
        <w:spacing w:after="140" w:before="280"/>
      </w:pPr>
      <w:r>
        <w:rPr>
          <w:b/>
          <w:bCs/>
          <w:color w:val="C05621"/>
          <w:sz w:val="24"/>
          <w:szCs w:val="24"/>
        </w:rPr>
        <w:t xml:space="preserve">7.6 Moderación y Seguridad (previo a Fase 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00"/>
      </w:tblGrid>
      <w:tr>
        <w:trPr>
          <w:tblHeader/>
        </w:trPr>
        <w:tc>
          <w:tcPr>
            <w:tcW w:type="dxa" w:w="500"/>
            <w:shd w:fill="1F2937" w:val="clear"/>
            <w:tcMar>
              <w:top w:type="dxa" w:w="100"/>
              <w:left w:type="dxa" w:w="120"/>
              <w:bottom w:type="dxa" w:w="100"/>
              <w:right w:type="dxa" w:w="120"/>
            </w:tcMar>
            <w:vAlign w:val="center"/>
          </w:tcPr>
          <w:p>
            <w:pPr>
              <w:spacing w:after="60"/>
            </w:pPr>
            <w:r>
              <w:rPr>
                <w:b/>
                <w:bCs/>
                <w:color w:val="FFFFFF"/>
                <w:sz w:val="19"/>
                <w:szCs w:val="19"/>
              </w:rPr>
              <w:t xml:space="preserve">#</w:t>
            </w:r>
          </w:p>
        </w:tc>
        <w:tc>
          <w:tcPr>
            <w:tcW w:type="dxa" w:w="5200"/>
            <w:shd w:fill="1F2937" w:val="clear"/>
            <w:tcMar>
              <w:top w:type="dxa" w:w="100"/>
              <w:left w:type="dxa" w:w="120"/>
              <w:bottom w:type="dxa" w:w="100"/>
              <w:right w:type="dxa" w:w="120"/>
            </w:tcMar>
            <w:vAlign w:val="center"/>
          </w:tcPr>
          <w:p>
            <w:pPr>
              <w:spacing w:after="60"/>
            </w:pPr>
            <w:r>
              <w:rPr>
                <w:b/>
                <w:bCs/>
                <w:color w:val="FFFFFF"/>
                <w:sz w:val="19"/>
                <w:szCs w:val="19"/>
              </w:rPr>
              <w:t xml:space="preserve">Pregunta para la coordinación</w:t>
            </w:r>
          </w:p>
        </w:tc>
        <w:tc>
          <w:tcPr>
            <w:tcW w:type="dxa" w:w="3600"/>
            <w:shd w:fill="1F2937" w:val="clear"/>
            <w:tcMar>
              <w:top w:type="dxa" w:w="100"/>
              <w:left w:type="dxa" w:w="120"/>
              <w:bottom w:type="dxa" w:w="100"/>
              <w:right w:type="dxa" w:w="120"/>
            </w:tcMar>
            <w:vAlign w:val="center"/>
          </w:tcPr>
          <w:p>
            <w:pPr>
              <w:spacing w:after="60"/>
            </w:pPr>
            <w:r>
              <w:rPr>
                <w:b/>
                <w:bCs/>
                <w:color w:val="FFFFFF"/>
                <w:sz w:val="19"/>
                <w:szCs w:val="19"/>
              </w:rPr>
              <w:t xml:space="preserve">Por qué es crítico responderla</w:t>
            </w:r>
          </w:p>
        </w:tc>
      </w:tr>
      <w:tr>
        <w:tc>
          <w:tcPr>
            <w:tcW w:type="dxa" w:w="500"/>
            <w:tcMar>
              <w:top w:type="dxa" w:w="100"/>
              <w:left w:type="dxa" w:w="120"/>
              <w:bottom w:type="dxa" w:w="100"/>
              <w:right w:type="dxa" w:w="120"/>
            </w:tcMar>
            <w:vAlign w:val="center"/>
          </w:tcPr>
          <w:p>
            <w:pPr>
              <w:spacing w:after="60"/>
            </w:pPr>
            <w:r>
              <w:rPr>
                <w:b w:val="false"/>
                <w:bCs w:val="false"/>
                <w:color w:val="1A1A1A"/>
                <w:sz w:val="20"/>
                <w:szCs w:val="20"/>
              </w:rPr>
              <w:t xml:space="preserve">1</w:t>
            </w:r>
          </w:p>
        </w:tc>
        <w:tc>
          <w:tcPr>
            <w:tcW w:type="dxa" w:w="5200"/>
            <w:tcMar>
              <w:top w:type="dxa" w:w="100"/>
              <w:left w:type="dxa" w:w="120"/>
              <w:bottom w:type="dxa" w:w="100"/>
              <w:right w:type="dxa" w:w="120"/>
            </w:tcMar>
            <w:vAlign w:val="center"/>
          </w:tcPr>
          <w:p>
            <w:pPr>
              <w:spacing w:after="60"/>
            </w:pPr>
            <w:r>
              <w:rPr>
                <w:b w:val="false"/>
                <w:bCs w:val="false"/>
                <w:color w:val="1A1A1A"/>
                <w:sz w:val="20"/>
                <w:szCs w:val="20"/>
              </w:rPr>
              <w:t xml:space="preserve">¿Quién asumirá el rol de moderador de contenido generado por estudiantes: es un rol nuevo o se asigna a alguien existente?</w:t>
            </w:r>
          </w:p>
        </w:tc>
        <w:tc>
          <w:tcPr>
            <w:tcW w:type="dxa" w:w="3600"/>
            <w:tcMar>
              <w:top w:type="dxa" w:w="100"/>
              <w:left w:type="dxa" w:w="120"/>
              <w:bottom w:type="dxa" w:w="100"/>
              <w:right w:type="dxa" w:w="120"/>
            </w:tcMar>
            <w:vAlign w:val="center"/>
          </w:tcPr>
          <w:p>
            <w:pPr>
              <w:spacing w:after="60"/>
            </w:pPr>
            <w:r>
              <w:rPr>
                <w:b w:val="false"/>
                <w:bCs w:val="false"/>
                <w:color w:val="1A1A1A"/>
                <w:sz w:val="20"/>
                <w:szCs w:val="20"/>
              </w:rPr>
              <w:t xml:space="preserve">Condición explícita para activar la Fase 3; no se lanza la red social sin este rol cubierto.</w:t>
            </w:r>
          </w:p>
        </w:tc>
      </w:tr>
      <w:tr>
        <w:tc>
          <w:tcPr>
            <w:tcW w:type="dxa" w:w="5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2</w:t>
            </w:r>
          </w:p>
        </w:tc>
        <w:tc>
          <w:tcPr>
            <w:tcW w:type="dxa" w:w="52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¿Qué política diferenciada aplica a cuentas de estudiantes menores de edad dentro del módulo social?</w:t>
            </w:r>
          </w:p>
        </w:tc>
        <w:tc>
          <w:tcPr>
            <w:tcW w:type="dxa" w:w="36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El sistema debe distinguir menores de adultos desde el esquema de datos, aunque la vista pública no se segmente.</w:t>
            </w:r>
          </w:p>
        </w:tc>
      </w:tr>
      <w:tr>
        <w:tc>
          <w:tcPr>
            <w:tcW w:type="dxa" w:w="500"/>
            <w:tcMar>
              <w:top w:type="dxa" w:w="100"/>
              <w:left w:type="dxa" w:w="120"/>
              <w:bottom w:type="dxa" w:w="100"/>
              <w:right w:type="dxa" w:w="120"/>
            </w:tcMar>
            <w:vAlign w:val="center"/>
          </w:tcPr>
          <w:p>
            <w:pPr>
              <w:spacing w:after="60"/>
            </w:pPr>
            <w:r>
              <w:rPr>
                <w:b w:val="false"/>
                <w:bCs w:val="false"/>
                <w:color w:val="1A1A1A"/>
                <w:sz w:val="20"/>
                <w:szCs w:val="20"/>
              </w:rPr>
              <w:t xml:space="preserve">3</w:t>
            </w:r>
          </w:p>
        </w:tc>
        <w:tc>
          <w:tcPr>
            <w:tcW w:type="dxa" w:w="5200"/>
            <w:tcMar>
              <w:top w:type="dxa" w:w="100"/>
              <w:left w:type="dxa" w:w="120"/>
              <w:bottom w:type="dxa" w:w="100"/>
              <w:right w:type="dxa" w:w="120"/>
            </w:tcMar>
            <w:vAlign w:val="center"/>
          </w:tcPr>
          <w:p>
            <w:pPr>
              <w:spacing w:after="60"/>
            </w:pPr>
            <w:r>
              <w:rPr>
                <w:b w:val="false"/>
                <w:bCs w:val="false"/>
                <w:color w:val="1A1A1A"/>
                <w:sz w:val="20"/>
                <w:szCs w:val="20"/>
              </w:rPr>
              <w:t xml:space="preserve">¿Hay presupuesto o herramienta prevista para moderación automática de contenido, o será 100% manual?</w:t>
            </w:r>
          </w:p>
        </w:tc>
        <w:tc>
          <w:tcPr>
            <w:tcW w:type="dxa" w:w="3600"/>
            <w:tcMar>
              <w:top w:type="dxa" w:w="100"/>
              <w:left w:type="dxa" w:w="120"/>
              <w:bottom w:type="dxa" w:w="100"/>
              <w:right w:type="dxa" w:w="120"/>
            </w:tcMar>
            <w:vAlign w:val="center"/>
          </w:tcPr>
          <w:p>
            <w:pPr>
              <w:spacing w:after="60"/>
            </w:pPr>
            <w:r>
              <w:rPr>
                <w:b w:val="false"/>
                <w:bCs w:val="false"/>
                <w:color w:val="1A1A1A"/>
                <w:sz w:val="20"/>
                <w:szCs w:val="20"/>
              </w:rPr>
              <w:t xml:space="preserve">Afecta directamente el tiempo promedio de moderación y el riesgo reputacional si el volumen crece rápido.</w:t>
            </w:r>
          </w:p>
        </w:tc>
      </w:tr>
    </w:tbl>
    <w:p>
      <w:pPr>
        <w:pStyle w:val="Heading2"/>
        <w:spacing w:after="140" w:before="280"/>
      </w:pPr>
      <w:r>
        <w:rPr>
          <w:b/>
          <w:bCs/>
          <w:color w:val="C05621"/>
          <w:sz w:val="24"/>
          <w:szCs w:val="24"/>
        </w:rPr>
        <w:t xml:space="preserve">7.7 TI / Operaciones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3800"/>
      </w:tblGrid>
      <w:tr>
        <w:trPr>
          <w:tblHeader/>
        </w:trPr>
        <w:tc>
          <w:tcPr>
            <w:tcW w:type="dxa" w:w="500"/>
            <w:shd w:fill="1F2937" w:val="clear"/>
            <w:tcMar>
              <w:top w:type="dxa" w:w="100"/>
              <w:left w:type="dxa" w:w="120"/>
              <w:bottom w:type="dxa" w:w="100"/>
              <w:right w:type="dxa" w:w="120"/>
            </w:tcMar>
            <w:vAlign w:val="center"/>
          </w:tcPr>
          <w:p>
            <w:pPr>
              <w:spacing w:after="60"/>
            </w:pPr>
            <w:r>
              <w:rPr>
                <w:b/>
                <w:bCs/>
                <w:color w:val="FFFFFF"/>
                <w:sz w:val="19"/>
                <w:szCs w:val="19"/>
              </w:rPr>
              <w:t xml:space="preserve">#</w:t>
            </w:r>
          </w:p>
        </w:tc>
        <w:tc>
          <w:tcPr>
            <w:tcW w:type="dxa" w:w="5000"/>
            <w:shd w:fill="1F2937" w:val="clear"/>
            <w:tcMar>
              <w:top w:type="dxa" w:w="100"/>
              <w:left w:type="dxa" w:w="120"/>
              <w:bottom w:type="dxa" w:w="100"/>
              <w:right w:type="dxa" w:w="120"/>
            </w:tcMar>
            <w:vAlign w:val="center"/>
          </w:tcPr>
          <w:p>
            <w:pPr>
              <w:spacing w:after="60"/>
            </w:pPr>
            <w:r>
              <w:rPr>
                <w:b/>
                <w:bCs/>
                <w:color w:val="FFFFFF"/>
                <w:sz w:val="19"/>
                <w:szCs w:val="19"/>
              </w:rPr>
              <w:t xml:space="preserve">Pregunta para la coordinación</w:t>
            </w:r>
          </w:p>
        </w:tc>
        <w:tc>
          <w:tcPr>
            <w:tcW w:type="dxa" w:w="3800"/>
            <w:shd w:fill="1F2937" w:val="clear"/>
            <w:tcMar>
              <w:top w:type="dxa" w:w="100"/>
              <w:left w:type="dxa" w:w="120"/>
              <w:bottom w:type="dxa" w:w="100"/>
              <w:right w:type="dxa" w:w="120"/>
            </w:tcMar>
            <w:vAlign w:val="center"/>
          </w:tcPr>
          <w:p>
            <w:pPr>
              <w:spacing w:after="60"/>
            </w:pPr>
            <w:r>
              <w:rPr>
                <w:b/>
                <w:bCs/>
                <w:color w:val="FFFFFF"/>
                <w:sz w:val="19"/>
                <w:szCs w:val="19"/>
              </w:rPr>
              <w:t xml:space="preserve">Por qué es crítico responderla</w:t>
            </w:r>
          </w:p>
        </w:tc>
      </w:tr>
      <w:tr>
        <w:tc>
          <w:tcPr>
            <w:tcW w:type="dxa" w:w="500"/>
            <w:tcMar>
              <w:top w:type="dxa" w:w="100"/>
              <w:left w:type="dxa" w:w="120"/>
              <w:bottom w:type="dxa" w:w="100"/>
              <w:right w:type="dxa" w:w="120"/>
            </w:tcMar>
            <w:vAlign w:val="center"/>
          </w:tcPr>
          <w:p>
            <w:pPr>
              <w:spacing w:after="60"/>
            </w:pPr>
            <w:r>
              <w:rPr>
                <w:b w:val="false"/>
                <w:bCs w:val="false"/>
                <w:color w:val="1A1A1A"/>
                <w:sz w:val="20"/>
                <w:szCs w:val="20"/>
              </w:rPr>
              <w:t xml:space="preserve">1</w:t>
            </w:r>
          </w:p>
        </w:tc>
        <w:tc>
          <w:tcPr>
            <w:tcW w:type="dxa" w:w="5000"/>
            <w:tcMar>
              <w:top w:type="dxa" w:w="100"/>
              <w:left w:type="dxa" w:w="120"/>
              <w:bottom w:type="dxa" w:w="100"/>
              <w:right w:type="dxa" w:w="120"/>
            </w:tcMar>
            <w:vAlign w:val="center"/>
          </w:tcPr>
          <w:p>
            <w:pPr>
              <w:spacing w:after="60"/>
            </w:pPr>
            <w:r>
              <w:rPr>
                <w:b w:val="false"/>
                <w:bCs w:val="false"/>
                <w:color w:val="1A1A1A"/>
                <w:sz w:val="20"/>
                <w:szCs w:val="20"/>
              </w:rPr>
              <w:t xml:space="preserve">¿La academia cuenta hoy con conectividad estable en el taller para el escaneo QR y la reproducción de video?</w:t>
            </w:r>
          </w:p>
        </w:tc>
        <w:tc>
          <w:tcPr>
            <w:tcW w:type="dxa" w:w="3800"/>
            <w:tcMar>
              <w:top w:type="dxa" w:w="100"/>
              <w:left w:type="dxa" w:w="120"/>
              <w:bottom w:type="dxa" w:w="100"/>
              <w:right w:type="dxa" w:w="120"/>
            </w:tcMar>
            <w:vAlign w:val="center"/>
          </w:tcPr>
          <w:p>
            <w:pPr>
              <w:spacing w:after="60"/>
            </w:pPr>
            <w:r>
              <w:rPr>
                <w:b w:val="false"/>
                <w:bCs w:val="false"/>
                <w:color w:val="1A1A1A"/>
                <w:sz w:val="20"/>
                <w:szCs w:val="20"/>
              </w:rPr>
              <w:t xml:space="preserve">Condición de infraestructura básica para que asistencia y micro-learning funcionen en el entorno real de uso.</w:t>
            </w:r>
          </w:p>
        </w:tc>
      </w:tr>
      <w:tr>
        <w:tc>
          <w:tcPr>
            <w:tcW w:type="dxa" w:w="5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2</w:t>
            </w:r>
          </w:p>
        </w:tc>
        <w:tc>
          <w:tcPr>
            <w:tcW w:type="dxa" w:w="50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¿Qué gama de smartphones usan hoy los estudiantes en promedio?</w:t>
            </w:r>
          </w:p>
        </w:tc>
        <w:tc>
          <w:tcPr>
            <w:tcW w:type="dxa" w:w="3800"/>
            <w:shd w:fill="F3F4F6" w:val="clear"/>
            <w:tcMar>
              <w:top w:type="dxa" w:w="100"/>
              <w:left w:type="dxa" w:w="120"/>
              <w:bottom w:type="dxa" w:w="100"/>
              <w:right w:type="dxa" w:w="120"/>
            </w:tcMar>
            <w:vAlign w:val="center"/>
          </w:tcPr>
          <w:p>
            <w:pPr>
              <w:spacing w:after="60"/>
            </w:pPr>
            <w:r>
              <w:rPr>
                <w:b w:val="false"/>
                <w:bCs w:val="false"/>
                <w:color w:val="1A1A1A"/>
                <w:sz w:val="20"/>
                <w:szCs w:val="20"/>
              </w:rPr>
              <w:t xml:space="preserve">Define el soporte mínimo de hardware/software que debe garantizar la app (cámara, versión de sistema operativo).</w:t>
            </w:r>
          </w:p>
        </w:tc>
      </w:tr>
      <w:tr>
        <w:tc>
          <w:tcPr>
            <w:tcW w:type="dxa" w:w="500"/>
            <w:tcMar>
              <w:top w:type="dxa" w:w="100"/>
              <w:left w:type="dxa" w:w="120"/>
              <w:bottom w:type="dxa" w:w="100"/>
              <w:right w:type="dxa" w:w="120"/>
            </w:tcMar>
            <w:vAlign w:val="center"/>
          </w:tcPr>
          <w:p>
            <w:pPr>
              <w:spacing w:after="60"/>
            </w:pPr>
            <w:r>
              <w:rPr>
                <w:b w:val="false"/>
                <w:bCs w:val="false"/>
                <w:color w:val="1A1A1A"/>
                <w:sz w:val="20"/>
                <w:szCs w:val="20"/>
              </w:rPr>
              <w:t xml:space="preserve">3</w:t>
            </w:r>
          </w:p>
        </w:tc>
        <w:tc>
          <w:tcPr>
            <w:tcW w:type="dxa" w:w="5000"/>
            <w:tcMar>
              <w:top w:type="dxa" w:w="100"/>
              <w:left w:type="dxa" w:w="120"/>
              <w:bottom w:type="dxa" w:w="100"/>
              <w:right w:type="dxa" w:w="120"/>
            </w:tcMar>
            <w:vAlign w:val="center"/>
          </w:tcPr>
          <w:p>
            <w:pPr>
              <w:spacing w:after="60"/>
            </w:pPr>
            <w:r>
              <w:rPr>
                <w:b w:val="false"/>
                <w:bCs w:val="false"/>
                <w:color w:val="1A1A1A"/>
                <w:sz w:val="20"/>
                <w:szCs w:val="20"/>
              </w:rPr>
              <w:t xml:space="preserve">¿Existe ya alguna base de datos de estudiantes (Excel, sistema legado) que deba migrarse al nuevo sistema?</w:t>
            </w:r>
          </w:p>
        </w:tc>
        <w:tc>
          <w:tcPr>
            <w:tcW w:type="dxa" w:w="3800"/>
            <w:tcMar>
              <w:top w:type="dxa" w:w="100"/>
              <w:left w:type="dxa" w:w="120"/>
              <w:bottom w:type="dxa" w:w="100"/>
              <w:right w:type="dxa" w:w="120"/>
            </w:tcMar>
            <w:vAlign w:val="center"/>
          </w:tcPr>
          <w:p>
            <w:pPr>
              <w:spacing w:after="60"/>
            </w:pPr>
            <w:r>
              <w:rPr>
                <w:b w:val="false"/>
                <w:bCs w:val="false"/>
                <w:color w:val="1A1A1A"/>
                <w:sz w:val="20"/>
                <w:szCs w:val="20"/>
              </w:rPr>
              <w:t xml:space="preserve">Determina si hace falta un proceso de migración de datos antes del lanzamiento de Fase 1.</w:t>
            </w:r>
          </w:p>
        </w:tc>
      </w:tr>
    </w:tbl>
    <w:p>
      <w:pPr>
        <w:spacing w:after="120"/>
      </w:pPr>
    </w:p>
    <w:p>
      <w:pPr>
        <w:pStyle w:val="Heading1"/>
        <w:pBdr>
          <w:bottom w:val="single" w:color="C05621" w:sz="12" w:space="4"/>
        </w:pBdr>
        <w:spacing w:after="200" w:before="400"/>
      </w:pPr>
      <w:r>
        <w:rPr>
          <w:b/>
          <w:bCs/>
          <w:color w:val="1F2937"/>
          <w:sz w:val="30"/>
          <w:szCs w:val="30"/>
        </w:rPr>
        <w:t xml:space="preserve">8. Próximos Pasos Recomendados</w:t>
      </w:r>
    </w:p>
    <w:p>
      <w:pPr>
        <w:pStyle w:val="ListParagraph"/>
        <w:numPr>
          <w:ilvl w:val="0"/>
          <w:numId w:val="3"/>
        </w:numPr>
        <w:spacing w:after="90"/>
      </w:pPr>
      <w:r>
        <w:rPr>
          <w:sz w:val="21"/>
          <w:szCs w:val="21"/>
        </w:rPr>
        <w:t xml:space="preserve">Agendar una sesión de trabajo por cada coordinación listada en la sección 7, usando ese banco de preguntas como agenda cerrada.</w:t>
      </w:r>
    </w:p>
    <w:p>
      <w:pPr>
        <w:pStyle w:val="ListParagraph"/>
        <w:numPr>
          <w:ilvl w:val="0"/>
          <w:numId w:val="3"/>
        </w:numPr>
        <w:spacing w:after="90"/>
      </w:pPr>
      <w:r>
        <w:rPr>
          <w:sz w:val="21"/>
          <w:szCs w:val="21"/>
        </w:rPr>
        <w:t xml:space="preserve">Ejecutar los tres spikes de la Fase 0 (legal/financiero, producción de contenido, moderación) antes de comprometer fecha de desarrollo.</w:t>
      </w:r>
    </w:p>
    <w:p>
      <w:pPr>
        <w:pStyle w:val="ListParagraph"/>
        <w:numPr>
          <w:ilvl w:val="0"/>
          <w:numId w:val="3"/>
        </w:numPr>
        <w:spacing w:after="90"/>
      </w:pPr>
      <w:r>
        <w:rPr>
          <w:sz w:val="21"/>
          <w:szCs w:val="21"/>
        </w:rPr>
        <w:t xml:space="preserve">Formalizar el esquema de base de datos (`04_ESQUEMA_BASE_DATOS.md`) a partir de las respuestas obtenidas, dejando explícito qué queda como supuesto pendiente de validación.</w:t>
      </w:r>
    </w:p>
    <w:p>
      <w:pPr>
        <w:pStyle w:val="ListParagraph"/>
        <w:numPr>
          <w:ilvl w:val="0"/>
          <w:numId w:val="3"/>
        </w:numPr>
        <w:spacing w:after="90"/>
      </w:pPr>
      <w:r>
        <w:rPr>
          <w:sz w:val="21"/>
          <w:szCs w:val="21"/>
        </w:rPr>
        <w:t xml:space="preserve">Presentar a Dirección Académica los valores por defecto de financiamiento (30-40% inicial, niveles 1-3) para aprobación o ajuste formal.</w:t>
      </w:r>
    </w:p>
    <w:p>
      <w:pPr>
        <w:pStyle w:val="ListParagraph"/>
        <w:numPr>
          <w:ilvl w:val="0"/>
          <w:numId w:val="3"/>
        </w:numPr>
        <w:spacing w:after="90"/>
      </w:pPr>
      <w:r>
        <w:rPr>
          <w:sz w:val="21"/>
          <w:szCs w:val="21"/>
        </w:rPr>
        <w:t xml:space="preserve">Definir el criterio de salida de Fase 1 en términos medibles (horas de personal ahorradas) antes de iniciar desarrollo, para poder evaluar objetivamente cuándo pasar a Fase 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2026-07-15T02:09:02.115Z</dcterms:created>
  <dcterms:modified xsi:type="dcterms:W3CDTF">2026-07-15T02:09:02.115Z</dcterms:modified>
</cp:coreProperties>
</file>

<file path=docProps/custom.xml><?xml version="1.0" encoding="utf-8"?>
<Properties xmlns="http://schemas.openxmlformats.org/officeDocument/2006/custom-properties" xmlns:vt="http://schemas.openxmlformats.org/officeDocument/2006/docPropsVTypes"/>
</file>