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2E75B6"/>
          <w:spacing w:val="20"/>
          <w:sz w:val="22"/>
          <w:szCs w:val="22"/>
        </w:rPr>
        <w:t xml:space="preserve">SECURITY RESEARCH REPORT</w:t>
      </w:r>
    </w:p>
    <w:p>
      <w:pPr>
        <w:spacing w:after="200"/>
        <w:jc w:val="center"/>
      </w:pPr>
      <w:r>
        <w:rPr>
          <w:rFonts w:ascii="Calibri" w:cs="Calibri" w:eastAsia="Calibri" w:hAnsi="Calibri"/>
          <w:b/>
          <w:bCs/>
          <w:color w:val="1F3864"/>
          <w:sz w:val="60"/>
          <w:szCs w:val="60"/>
        </w:rPr>
        <w:t xml:space="preserve">OWASP Top 10</w:t>
      </w:r>
    </w:p>
    <w:p>
      <w:pPr>
        <w:spacing w:after="600"/>
        <w:jc w:val="center"/>
      </w:pPr>
      <w:r>
        <w:rPr>
          <w:rFonts w:ascii="Calibri" w:cs="Calibri" w:eastAsia="Calibri" w:hAnsi="Calibri"/>
          <w:color w:val="595959"/>
          <w:sz w:val="28"/>
          <w:szCs w:val="28"/>
        </w:rPr>
        <w:t xml:space="preserve">Understanding the Most Critical Web Application Security Risks</w:t>
      </w:r>
    </w:p>
    <w:p>
      <w:pPr>
        <w:pBdr>
          <w:top w:val="single" w:color="2E75B6" w:sz="12" w:space="8"/>
        </w:pBdr>
        <w:spacing w:after="60"/>
        <w:jc w:val="center"/>
      </w:pPr>
    </w:p>
    <w:p>
      <w:pPr>
        <w:spacing w:after="40" w:before="1200"/>
        <w:jc w:val="center"/>
      </w:pPr>
      <w:r>
        <w:rPr>
          <w:rFonts w:ascii="Calibri" w:cs="Calibri" w:eastAsia="Calibri" w:hAnsi="Calibri"/>
          <w:i/>
          <w:iCs/>
          <w:color w:val="595959"/>
          <w:sz w:val="22"/>
          <w:szCs w:val="22"/>
        </w:rPr>
        <w:t xml:space="preserve">Prepared as part of an Application Security Foundations exercise</w:t>
      </w:r>
    </w:p>
    <w:p>
      <w:pPr>
        <w:spacing w:after="40"/>
        <w:jc w:val="center"/>
      </w:pPr>
      <w:r>
        <w:rPr>
          <w:rFonts w:ascii="Calibri" w:cs="Calibri" w:eastAsia="Calibri" w:hAnsi="Calibri"/>
          <w:color w:val="595959"/>
          <w:sz w:val="20"/>
          <w:szCs w:val="20"/>
        </w:rPr>
        <w:t xml:space="preserve">Reference standard: OWASP Top 10:2025</w:t>
      </w:r>
    </w:p>
    <w:p>
      <w:pPr>
        <w:spacing w:after="40"/>
        <w:jc w:val="center"/>
      </w:pPr>
      <w:r>
        <w:rPr>
          <w:rFonts w:ascii="Calibri" w:cs="Calibri" w:eastAsia="Calibri" w:hAnsi="Calibri"/>
          <w:color w:val="595959"/>
          <w:sz w:val="20"/>
          <w:szCs w:val="20"/>
        </w:rPr>
        <w:t xml:space="preserve">Date: July 3,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b/>
          <w:bCs/>
          <w:color w:val="1F3864"/>
          <w:sz w:val="30"/>
          <w:szCs w:val="30"/>
        </w:rPr>
        <w:t xml:space="preserve">Table of Contents</w:t>
      </w:r>
    </w:p>
    <w:p>
      <w:pPr>
        <w:spacing w:after="260"/>
      </w:pPr>
    </w:p>
    <w:p>
      <w:pPr>
        <w:tabs>
          <w:tab w:val="right" w:pos="9072" w:leader="dot"/>
        </w:tabs>
        <w:spacing w:after="160"/>
      </w:pPr>
      <w:r>
        <w:rPr>
          <w:rFonts w:ascii="Calibri" w:cs="Calibri" w:eastAsia="Calibri" w:hAnsi="Calibri"/>
          <w:color w:val="262626"/>
          <w:sz w:val="24"/>
          <w:szCs w:val="24"/>
        </w:rPr>
        <w:t xml:space="preserve">Objective &amp; Approach</w:t>
      </w:r>
      <w:r>
        <w:rPr>
          <w:rFonts w:ascii="Calibri" w:cs="Calibri" w:eastAsia="Calibri" w:hAnsi="Calibri"/>
          <w:b/>
          <w:bCs/>
          <w:color w:val="1F3864"/>
          <w:sz w:val="24"/>
          <w:szCs w:val="24"/>
        </w:rPr>
        <w:t xml:space="preserve">	3</w:t>
      </w:r>
    </w:p>
    <w:p>
      <w:pPr>
        <w:tabs>
          <w:tab w:val="right" w:pos="9072" w:leader="dot"/>
        </w:tabs>
        <w:spacing w:after="160"/>
      </w:pPr>
      <w:r>
        <w:rPr>
          <w:rFonts w:ascii="Calibri" w:cs="Calibri" w:eastAsia="Calibri" w:hAnsi="Calibri"/>
          <w:color w:val="262626"/>
          <w:sz w:val="24"/>
          <w:szCs w:val="24"/>
        </w:rPr>
        <w:t xml:space="preserve">1.  Broken Access Control  (A01:2025)</w:t>
      </w:r>
      <w:r>
        <w:rPr>
          <w:rFonts w:ascii="Calibri" w:cs="Calibri" w:eastAsia="Calibri" w:hAnsi="Calibri"/>
          <w:b/>
          <w:bCs/>
          <w:color w:val="1F3864"/>
          <w:sz w:val="24"/>
          <w:szCs w:val="24"/>
        </w:rPr>
        <w:t xml:space="preserve">	4</w:t>
      </w:r>
    </w:p>
    <w:p>
      <w:pPr>
        <w:tabs>
          <w:tab w:val="right" w:pos="9072" w:leader="dot"/>
        </w:tabs>
        <w:spacing w:after="160"/>
      </w:pPr>
      <w:r>
        <w:rPr>
          <w:rFonts w:ascii="Calibri" w:cs="Calibri" w:eastAsia="Calibri" w:hAnsi="Calibri"/>
          <w:color w:val="262626"/>
          <w:sz w:val="24"/>
          <w:szCs w:val="24"/>
        </w:rPr>
        <w:t xml:space="preserve">2.  Security Misconfiguration  (A02:2025)</w:t>
      </w:r>
      <w:r>
        <w:rPr>
          <w:rFonts w:ascii="Calibri" w:cs="Calibri" w:eastAsia="Calibri" w:hAnsi="Calibri"/>
          <w:b/>
          <w:bCs/>
          <w:color w:val="1F3864"/>
          <w:sz w:val="24"/>
          <w:szCs w:val="24"/>
        </w:rPr>
        <w:t xml:space="preserve">	4</w:t>
      </w:r>
    </w:p>
    <w:p>
      <w:pPr>
        <w:tabs>
          <w:tab w:val="right" w:pos="9072" w:leader="dot"/>
        </w:tabs>
        <w:spacing w:after="160"/>
      </w:pPr>
      <w:r>
        <w:rPr>
          <w:rFonts w:ascii="Calibri" w:cs="Calibri" w:eastAsia="Calibri" w:hAnsi="Calibri"/>
          <w:color w:val="262626"/>
          <w:sz w:val="24"/>
          <w:szCs w:val="24"/>
        </w:rPr>
        <w:t xml:space="preserve">3.  Software Supply Chain Failures  (A03:2025)</w:t>
      </w:r>
      <w:r>
        <w:rPr>
          <w:rFonts w:ascii="Calibri" w:cs="Calibri" w:eastAsia="Calibri" w:hAnsi="Calibri"/>
          <w:b/>
          <w:bCs/>
          <w:color w:val="1F3864"/>
          <w:sz w:val="24"/>
          <w:szCs w:val="24"/>
        </w:rPr>
        <w:t xml:space="preserve">	6</w:t>
      </w:r>
    </w:p>
    <w:p>
      <w:pPr>
        <w:tabs>
          <w:tab w:val="right" w:pos="9072" w:leader="dot"/>
        </w:tabs>
        <w:spacing w:after="160"/>
      </w:pPr>
      <w:r>
        <w:rPr>
          <w:rFonts w:ascii="Calibri" w:cs="Calibri" w:eastAsia="Calibri" w:hAnsi="Calibri"/>
          <w:color w:val="262626"/>
          <w:sz w:val="24"/>
          <w:szCs w:val="24"/>
        </w:rPr>
        <w:t xml:space="preserve">4.  Injection  (A05:2025)</w:t>
      </w:r>
      <w:r>
        <w:rPr>
          <w:rFonts w:ascii="Calibri" w:cs="Calibri" w:eastAsia="Calibri" w:hAnsi="Calibri"/>
          <w:b/>
          <w:bCs/>
          <w:color w:val="1F3864"/>
          <w:sz w:val="24"/>
          <w:szCs w:val="24"/>
        </w:rPr>
        <w:t xml:space="preserve">	6</w:t>
      </w:r>
    </w:p>
    <w:p>
      <w:pPr>
        <w:tabs>
          <w:tab w:val="right" w:pos="9072" w:leader="dot"/>
        </w:tabs>
        <w:spacing w:after="160"/>
      </w:pPr>
      <w:r>
        <w:rPr>
          <w:rFonts w:ascii="Calibri" w:cs="Calibri" w:eastAsia="Calibri" w:hAnsi="Calibri"/>
          <w:color w:val="262626"/>
          <w:sz w:val="24"/>
          <w:szCs w:val="24"/>
        </w:rPr>
        <w:t xml:space="preserve">5.  Authentication Failures  (A07:2025)</w:t>
      </w:r>
      <w:r>
        <w:rPr>
          <w:rFonts w:ascii="Calibri" w:cs="Calibri" w:eastAsia="Calibri" w:hAnsi="Calibri"/>
          <w:b/>
          <w:bCs/>
          <w:color w:val="1F3864"/>
          <w:sz w:val="24"/>
          <w:szCs w:val="24"/>
        </w:rPr>
        <w:t xml:space="preserve">	8</w:t>
      </w:r>
    </w:p>
    <w:p>
      <w:pPr>
        <w:tabs>
          <w:tab w:val="right" w:pos="9072" w:leader="dot"/>
        </w:tabs>
        <w:spacing w:after="160"/>
      </w:pPr>
      <w:r>
        <w:rPr>
          <w:rFonts w:ascii="Calibri" w:cs="Calibri" w:eastAsia="Calibri" w:hAnsi="Calibri"/>
          <w:color w:val="262626"/>
          <w:sz w:val="24"/>
          <w:szCs w:val="24"/>
        </w:rPr>
        <w:t xml:space="preserve">Personal Reflection</w:t>
      </w:r>
      <w:r>
        <w:rPr>
          <w:rFonts w:ascii="Calibri" w:cs="Calibri" w:eastAsia="Calibri" w:hAnsi="Calibri"/>
          <w:b/>
          <w:bCs/>
          <w:color w:val="1F3864"/>
          <w:sz w:val="24"/>
          <w:szCs w:val="24"/>
        </w:rPr>
        <w:t xml:space="preserve">	9</w:t>
      </w:r>
    </w:p>
    <w:p>
      <w:pPr>
        <w:tabs>
          <w:tab w:val="right" w:pos="9072" w:leader="dot"/>
        </w:tabs>
        <w:spacing w:after="160"/>
      </w:pPr>
      <w:r>
        <w:rPr>
          <w:rFonts w:ascii="Calibri" w:cs="Calibri" w:eastAsia="Calibri" w:hAnsi="Calibri"/>
          <w:color w:val="262626"/>
          <w:sz w:val="24"/>
          <w:szCs w:val="24"/>
        </w:rPr>
        <w:t xml:space="preserve">Sources</w:t>
      </w:r>
      <w:r>
        <w:rPr>
          <w:rFonts w:ascii="Calibri" w:cs="Calibri" w:eastAsia="Calibri" w:hAnsi="Calibri"/>
          <w:b/>
          <w:bCs/>
          <w:color w:val="1F3864"/>
          <w:sz w:val="24"/>
          <w:szCs w:val="24"/>
        </w:rPr>
        <w:t xml:space="preserve">	9</w:t>
      </w:r>
    </w:p>
    <w:p>
      <w:r>
        <w:br w:type="page"/>
      </w:r>
    </w:p>
    <w:p>
      <w:pPr>
        <w:pStyle w:val="Heading1"/>
      </w:pPr>
      <w:r>
        <w:rPr>
          <w:rFonts w:ascii="Calibri" w:cs="Calibri" w:eastAsia="Calibri" w:hAnsi="Calibri"/>
          <w:b/>
          <w:bCs/>
          <w:color w:val="1F3864"/>
          <w:sz w:val="30"/>
          <w:szCs w:val="30"/>
        </w:rPr>
        <w:t xml:space="preserve">Objective &amp; Approach</w:t>
      </w:r>
    </w:p>
    <w:p>
      <w:pPr>
        <w:spacing w:after="160" w:line="276"/>
      </w:pPr>
      <w:r>
        <w:rPr>
          <w:rFonts w:ascii="Calibri" w:cs="Calibri" w:eastAsia="Calibri" w:hAnsi="Calibri"/>
          <w:color w:val="262626"/>
          <w:sz w:val="22"/>
          <w:szCs w:val="22"/>
        </w:rPr>
        <w:t xml:space="preserve">This report builds a theoretical foundation in web application security by researching five vulnerabilities from the current OWASP Top 10 — the industry-standard reference for the most critical risks facing web applications. The OWASP Top 10:2025 was released in November 2025 and is based on analysis of more than 175,000 CVE records combined with practitioner survey data from thousands of organizations worldwide.</w:t>
      </w:r>
    </w:p>
    <w:p>
      <w:pPr>
        <w:spacing w:after="160" w:line="276"/>
      </w:pPr>
      <w:r>
        <w:rPr>
          <w:rFonts w:ascii="Calibri" w:cs="Calibri" w:eastAsia="Calibri" w:hAnsi="Calibri"/>
          <w:color w:val="262626"/>
          <w:sz w:val="22"/>
          <w:szCs w:val="22"/>
        </w:rPr>
        <w:t xml:space="preserve">For each vulnerability, this report explains the concept in plain language, walks through how an attacker could realistically exploit it, presents a documented real-world breach that resulted from it, and outlines at least one practical mitigation a development team can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33%"/>
            <w:shd w:fill="EEF3FA" w:val="clear"/>
            <w:tcMar>
              <w:top w:type="dxa" w:w="200"/>
              <w:left w:type="dxa" w:w="120"/>
              <w:bottom w:type="dxa" w:w="200"/>
              <w:right w:type="dxa" w:w="120"/>
            </w:tcMar>
            <w:vAlign w:val="center"/>
          </w:tcPr>
          <w:p>
            <w:pPr>
              <w:spacing w:after="40"/>
              <w:jc w:val="center"/>
            </w:pPr>
            <w:r>
              <w:rPr>
                <w:rFonts w:ascii="Calibri" w:cs="Calibri" w:eastAsia="Calibri" w:hAnsi="Calibri"/>
                <w:b/>
                <w:bCs/>
                <w:color w:val="1F3864"/>
                <w:sz w:val="30"/>
                <w:szCs w:val="30"/>
              </w:rPr>
              <w:t xml:space="preserve">5</w:t>
            </w:r>
          </w:p>
          <w:p>
            <w:pPr>
              <w:jc w:val="center"/>
            </w:pPr>
            <w:r>
              <w:rPr>
                <w:rFonts w:ascii="Calibri" w:cs="Calibri" w:eastAsia="Calibri" w:hAnsi="Calibri"/>
                <w:color w:val="595959"/>
                <w:sz w:val="17"/>
                <w:szCs w:val="17"/>
              </w:rPr>
              <w:t xml:space="preserve">Vulnerabilities Researched</w:t>
            </w:r>
          </w:p>
        </w:tc>
        <w:tc>
          <w:tcPr>
            <w:tcW w:type="pct" w:w="33%"/>
            <w:shd w:fill="EEF3FA" w:val="clear"/>
            <w:tcMar>
              <w:top w:type="dxa" w:w="200"/>
              <w:left w:type="dxa" w:w="120"/>
              <w:bottom w:type="dxa" w:w="200"/>
              <w:right w:type="dxa" w:w="120"/>
            </w:tcMar>
            <w:vAlign w:val="center"/>
          </w:tcPr>
          <w:p>
            <w:pPr>
              <w:spacing w:after="40"/>
              <w:jc w:val="center"/>
            </w:pPr>
            <w:r>
              <w:rPr>
                <w:rFonts w:ascii="Calibri" w:cs="Calibri" w:eastAsia="Calibri" w:hAnsi="Calibri"/>
                <w:b/>
                <w:bCs/>
                <w:color w:val="1F3864"/>
                <w:sz w:val="30"/>
                <w:szCs w:val="30"/>
              </w:rPr>
              <w:t xml:space="preserve">175K+</w:t>
            </w:r>
          </w:p>
          <w:p>
            <w:pPr>
              <w:jc w:val="center"/>
            </w:pPr>
            <w:r>
              <w:rPr>
                <w:rFonts w:ascii="Calibri" w:cs="Calibri" w:eastAsia="Calibri" w:hAnsi="Calibri"/>
                <w:color w:val="595959"/>
                <w:sz w:val="17"/>
                <w:szCs w:val="17"/>
              </w:rPr>
              <w:t xml:space="preserve">CVEs Behind OWASP 2025 Data</w:t>
            </w:r>
          </w:p>
        </w:tc>
        <w:tc>
          <w:tcPr>
            <w:tcW w:type="pct" w:w="33%"/>
            <w:shd w:fill="EEF3FA" w:val="clear"/>
            <w:tcMar>
              <w:top w:type="dxa" w:w="200"/>
              <w:left w:type="dxa" w:w="120"/>
              <w:bottom w:type="dxa" w:w="200"/>
              <w:right w:type="dxa" w:w="120"/>
            </w:tcMar>
            <w:vAlign w:val="center"/>
          </w:tcPr>
          <w:p>
            <w:pPr>
              <w:spacing w:after="40"/>
              <w:jc w:val="center"/>
            </w:pPr>
            <w:r>
              <w:rPr>
                <w:rFonts w:ascii="Calibri" w:cs="Calibri" w:eastAsia="Calibri" w:hAnsi="Calibri"/>
                <w:b/>
                <w:bCs/>
                <w:color w:val="1F3864"/>
                <w:sz w:val="30"/>
                <w:szCs w:val="30"/>
              </w:rPr>
              <w:t xml:space="preserve">5</w:t>
            </w:r>
          </w:p>
          <w:p>
            <w:pPr>
              <w:jc w:val="center"/>
            </w:pPr>
            <w:r>
              <w:rPr>
                <w:rFonts w:ascii="Calibri" w:cs="Calibri" w:eastAsia="Calibri" w:hAnsi="Calibri"/>
                <w:color w:val="595959"/>
                <w:sz w:val="17"/>
                <w:szCs w:val="17"/>
              </w:rPr>
              <w:t xml:space="preserve">Real-World Breach Case Studies</w:t>
            </w:r>
          </w:p>
        </w:tc>
      </w:tr>
    </w:tbl>
    <w:p>
      <w:pPr>
        <w:spacing w:before="300"/>
      </w:pPr>
    </w:p>
    <w:p>
      <w:pPr>
        <w:pBdr>
          <w:bottom w:val="single" w:color="2E75B6" w:sz="4" w:space="4"/>
        </w:pBdr>
        <w:spacing w:after="80" w:before="200"/>
      </w:pPr>
      <w:r>
        <w:rPr>
          <w:rFonts w:ascii="Calibri" w:cs="Calibri" w:eastAsia="Calibri" w:hAnsi="Calibri"/>
          <w:b/>
          <w:bCs/>
          <w:color w:val="2E75B6"/>
          <w:spacing w:val="12"/>
          <w:sz w:val="20"/>
          <w:szCs w:val="20"/>
        </w:rPr>
        <w:t xml:space="preserve">VULNERABILITIES COVERED IN THIS REPORT</w:t>
      </w:r>
    </w:p>
    <w:p>
      <w:pPr>
        <w:pStyle w:val="ListParagraph"/>
        <w:numPr>
          <w:ilvl w:val="0"/>
          <w:numId w:val="2"/>
        </w:numPr>
        <w:spacing w:after="100" w:line="276"/>
      </w:pPr>
      <w:r>
        <w:rPr>
          <w:rFonts w:ascii="Calibri" w:cs="Calibri" w:eastAsia="Calibri" w:hAnsi="Calibri"/>
          <w:b/>
          <w:bCs/>
          <w:color w:val="262626"/>
          <w:sz w:val="22"/>
          <w:szCs w:val="22"/>
        </w:rPr>
        <w:t xml:space="preserve">1. </w:t>
      </w:r>
      <w:r>
        <w:rPr>
          <w:rFonts w:ascii="Calibri" w:cs="Calibri" w:eastAsia="Calibri" w:hAnsi="Calibri"/>
          <w:color w:val="262626"/>
          <w:sz w:val="22"/>
          <w:szCs w:val="22"/>
        </w:rPr>
        <w:t xml:space="preserve">Broken Access Control</w:t>
      </w:r>
    </w:p>
    <w:p>
      <w:pPr>
        <w:pStyle w:val="ListParagraph"/>
        <w:numPr>
          <w:ilvl w:val="0"/>
          <w:numId w:val="2"/>
        </w:numPr>
        <w:spacing w:after="100" w:line="276"/>
      </w:pPr>
      <w:r>
        <w:rPr>
          <w:rFonts w:ascii="Calibri" w:cs="Calibri" w:eastAsia="Calibri" w:hAnsi="Calibri"/>
          <w:b/>
          <w:bCs/>
          <w:color w:val="262626"/>
          <w:sz w:val="22"/>
          <w:szCs w:val="22"/>
        </w:rPr>
        <w:t xml:space="preserve">2. </w:t>
      </w:r>
      <w:r>
        <w:rPr>
          <w:rFonts w:ascii="Calibri" w:cs="Calibri" w:eastAsia="Calibri" w:hAnsi="Calibri"/>
          <w:color w:val="262626"/>
          <w:sz w:val="22"/>
          <w:szCs w:val="22"/>
        </w:rPr>
        <w:t xml:space="preserve">Security Misconfiguration</w:t>
      </w:r>
    </w:p>
    <w:p>
      <w:pPr>
        <w:pStyle w:val="ListParagraph"/>
        <w:numPr>
          <w:ilvl w:val="0"/>
          <w:numId w:val="2"/>
        </w:numPr>
        <w:spacing w:after="100" w:line="276"/>
      </w:pPr>
      <w:r>
        <w:rPr>
          <w:rFonts w:ascii="Calibri" w:cs="Calibri" w:eastAsia="Calibri" w:hAnsi="Calibri"/>
          <w:b/>
          <w:bCs/>
          <w:color w:val="262626"/>
          <w:sz w:val="22"/>
          <w:szCs w:val="22"/>
        </w:rPr>
        <w:t xml:space="preserve">3. </w:t>
      </w:r>
      <w:r>
        <w:rPr>
          <w:rFonts w:ascii="Calibri" w:cs="Calibri" w:eastAsia="Calibri" w:hAnsi="Calibri"/>
          <w:color w:val="262626"/>
          <w:sz w:val="22"/>
          <w:szCs w:val="22"/>
        </w:rPr>
        <w:t xml:space="preserve">Software Supply Chain Failures</w:t>
      </w:r>
    </w:p>
    <w:p>
      <w:pPr>
        <w:pStyle w:val="ListParagraph"/>
        <w:numPr>
          <w:ilvl w:val="0"/>
          <w:numId w:val="2"/>
        </w:numPr>
        <w:spacing w:after="100" w:line="276"/>
      </w:pPr>
      <w:r>
        <w:rPr>
          <w:rFonts w:ascii="Calibri" w:cs="Calibri" w:eastAsia="Calibri" w:hAnsi="Calibri"/>
          <w:b/>
          <w:bCs/>
          <w:color w:val="262626"/>
          <w:sz w:val="22"/>
          <w:szCs w:val="22"/>
        </w:rPr>
        <w:t xml:space="preserve">4. </w:t>
      </w:r>
      <w:r>
        <w:rPr>
          <w:rFonts w:ascii="Calibri" w:cs="Calibri" w:eastAsia="Calibri" w:hAnsi="Calibri"/>
          <w:color w:val="262626"/>
          <w:sz w:val="22"/>
          <w:szCs w:val="22"/>
        </w:rPr>
        <w:t xml:space="preserve">Injection</w:t>
      </w:r>
    </w:p>
    <w:p>
      <w:pPr>
        <w:pStyle w:val="ListParagraph"/>
        <w:numPr>
          <w:ilvl w:val="0"/>
          <w:numId w:val="2"/>
        </w:numPr>
        <w:spacing w:after="100" w:line="276"/>
      </w:pPr>
      <w:r>
        <w:rPr>
          <w:rFonts w:ascii="Calibri" w:cs="Calibri" w:eastAsia="Calibri" w:hAnsi="Calibri"/>
          <w:b/>
          <w:bCs/>
          <w:color w:val="262626"/>
          <w:sz w:val="22"/>
          <w:szCs w:val="22"/>
        </w:rPr>
        <w:t xml:space="preserve">5. </w:t>
      </w:r>
      <w:r>
        <w:rPr>
          <w:rFonts w:ascii="Calibri" w:cs="Calibri" w:eastAsia="Calibri" w:hAnsi="Calibri"/>
          <w:color w:val="262626"/>
          <w:sz w:val="22"/>
          <w:szCs w:val="22"/>
        </w:rPr>
        <w:t xml:space="preserve">Authentication Failures</w:t>
      </w:r>
    </w:p>
    <w:p>
      <w:r>
        <w:br w:type="page"/>
      </w:r>
    </w:p>
    <w:p>
      <w:pPr>
        <w:pStyle w:val="Heading1"/>
        <w:spacing w:after="40" w:before="100"/>
      </w:pPr>
      <w:r>
        <w:rPr>
          <w:rFonts w:ascii="Calibri" w:cs="Calibri" w:eastAsia="Calibri" w:hAnsi="Calibri"/>
          <w:b/>
          <w:bCs/>
          <w:color w:val="1F3864"/>
          <w:sz w:val="30"/>
          <w:szCs w:val="30"/>
        </w:rPr>
        <w:t xml:space="preserve">1.  </w:t>
      </w:r>
      <w:r>
        <w:rPr>
          <w:rFonts w:ascii="Calibri" w:cs="Calibri" w:eastAsia="Calibri" w:hAnsi="Calibri"/>
          <w:b/>
          <w:bCs/>
          <w:color w:val="1F3864"/>
          <w:sz w:val="30"/>
          <w:szCs w:val="30"/>
        </w:rPr>
        <w:t xml:space="preserve">Broken Access Control</w:t>
      </w:r>
    </w:p>
    <w:p>
      <w:pPr>
        <w:spacing w:after="240"/>
      </w:pPr>
      <w:r>
        <w:rPr>
          <w:rFonts w:ascii="Calibri" w:cs="Calibri" w:eastAsia="Calibri" w:hAnsi="Calibri"/>
          <w:b/>
          <w:bCs/>
          <w:color w:val="2E75B6"/>
          <w:spacing w:val="8"/>
          <w:sz w:val="18"/>
          <w:szCs w:val="18"/>
        </w:rPr>
        <w:t xml:space="preserve">OWASP TOP 10 (2025)  ·  A01:2025</w:t>
      </w:r>
    </w:p>
    <w:p>
      <w:pPr>
        <w:pBdr>
          <w:bottom w:val="single" w:color="2E75B6" w:sz="4" w:space="4"/>
        </w:pBdr>
        <w:spacing w:after="80" w:before="200"/>
      </w:pPr>
      <w:r>
        <w:rPr>
          <w:rFonts w:ascii="Calibri" w:cs="Calibri" w:eastAsia="Calibri" w:hAnsi="Calibri"/>
          <w:b/>
          <w:bCs/>
          <w:color w:val="2E75B6"/>
          <w:spacing w:val="12"/>
          <w:sz w:val="20"/>
          <w:szCs w:val="20"/>
        </w:rPr>
        <w:t xml:space="preserve">WHAT IT IS</w:t>
      </w:r>
    </w:p>
    <w:p>
      <w:pPr>
        <w:spacing w:after="160" w:line="276"/>
      </w:pPr>
      <w:r>
        <w:rPr>
          <w:rFonts w:ascii="Calibri" w:cs="Calibri" w:eastAsia="Calibri" w:hAnsi="Calibri"/>
          <w:color w:val="262626"/>
          <w:sz w:val="22"/>
          <w:szCs w:val="22"/>
        </w:rPr>
        <w:t xml:space="preserve">Access control is the set of rules that decides who is allowed to see or do what inside an application — for example, making sure a user can only view their own invoices, not everyone else's. "Broken" access control means those rules are missing, incomplete, or easy to bypass. In plain terms: the application checks if you're logged in, but forgets to check what you're actually allowed to do once you are.</w:t>
      </w:r>
    </w:p>
    <w:p>
      <w:pPr>
        <w:pBdr>
          <w:bottom w:val="single" w:color="2E75B6" w:sz="4" w:space="4"/>
        </w:pBdr>
        <w:spacing w:after="80" w:before="200"/>
      </w:pPr>
      <w:r>
        <w:rPr>
          <w:rFonts w:ascii="Calibri" w:cs="Calibri" w:eastAsia="Calibri" w:hAnsi="Calibri"/>
          <w:b/>
          <w:bCs/>
          <w:color w:val="2E75B6"/>
          <w:spacing w:val="12"/>
          <w:sz w:val="20"/>
          <w:szCs w:val="20"/>
        </w:rPr>
        <w:t xml:space="preserve">HOW AN ATTACKER EXPLOITS IT</w:t>
      </w:r>
    </w:p>
    <w:p>
      <w:pPr>
        <w:spacing w:after="160" w:line="276"/>
      </w:pPr>
      <w:r>
        <w:rPr>
          <w:rFonts w:ascii="Calibri" w:cs="Calibri" w:eastAsia="Calibri" w:hAnsi="Calibri"/>
          <w:color w:val="262626"/>
          <w:sz w:val="22"/>
          <w:szCs w:val="22"/>
        </w:rPr>
        <w:t xml:space="preserve">The classic exploit is called an Insecure Direct Object Reference, or IDOR. Imagine a website shows a private document at a URL such as example.com/documents?id=1001. If the application never verifies that document 1001 actually belongs to the requester, an attacker can simply change the number — id=1002, id=1003, and so on — and pull up other people's private files one after another, without ever needing a password.</w:t>
      </w:r>
    </w:p>
    <w:p>
      <w:pPr>
        <w:pBdr>
          <w:bottom w:val="single" w:color="2E75B6" w:sz="4" w:space="4"/>
        </w:pBdr>
        <w:spacing w:after="80" w:before="200"/>
      </w:pPr>
      <w:r>
        <w:rPr>
          <w:rFonts w:ascii="Calibri" w:cs="Calibri" w:eastAsia="Calibri" w:hAnsi="Calibri"/>
          <w:b/>
          <w:bCs/>
          <w:color w:val="2E75B6"/>
          <w:spacing w:val="12"/>
          <w:sz w:val="20"/>
          <w:szCs w:val="20"/>
        </w:rPr>
        <w:t xml:space="preserve">REAL-WORLD EXAMPLE</w:t>
      </w:r>
    </w:p>
    <w:p>
      <w:pPr>
        <w:spacing w:after="160" w:line="276"/>
      </w:pPr>
      <w:r>
        <w:rPr>
          <w:rFonts w:ascii="Calibri" w:cs="Calibri" w:eastAsia="Calibri" w:hAnsi="Calibri"/>
          <w:color w:val="262626"/>
          <w:sz w:val="22"/>
          <w:szCs w:val="22"/>
        </w:rPr>
        <w:t xml:space="preserve">In May 2019, First American Financial Corporation, a major U.S. title insurance company, exposed roughly 885 million records dating back to 2003 — bank account numbers, mortgage documents, Social Security numbers, and wire transfer receipts. The cause was exactly the IDOR pattern described above: documents were stored at sequential, guessable URLs with no authentication check, so anyone holding a single valid link could page through nearly every document the company had ever stored. A real estate developer discovered the flaw simply by noticing the pattern in the URL.</w:t>
      </w:r>
    </w:p>
    <w:p>
      <w:pPr>
        <w:pBdr>
          <w:bottom w:val="single" w:color="2E75B6" w:sz="4" w:space="4"/>
        </w:pBdr>
        <w:spacing w:after="80" w:before="200"/>
      </w:pPr>
      <w:r>
        <w:rPr>
          <w:rFonts w:ascii="Calibri" w:cs="Calibri" w:eastAsia="Calibri" w:hAnsi="Calibri"/>
          <w:b/>
          <w:bCs/>
          <w:color w:val="2E75B6"/>
          <w:spacing w:val="12"/>
          <w:sz w:val="20"/>
          <w:szCs w:val="20"/>
        </w:rPr>
        <w:t xml:space="preserve">HOW TO PREVENT IT</w:t>
      </w:r>
    </w:p>
    <w:p>
      <w:pPr>
        <w:spacing w:after="160" w:line="276"/>
      </w:pPr>
      <w:r>
        <w:rPr>
          <w:rFonts w:ascii="Calibri" w:cs="Calibri" w:eastAsia="Calibri" w:hAnsi="Calibri"/>
          <w:color w:val="262626"/>
          <w:sz w:val="22"/>
          <w:szCs w:val="22"/>
        </w:rPr>
        <w:t xml:space="preserve">Enforce access control checks on the server for every single request, never relying on the interface to simply hide buttons or links from a user. Each time an object — a document, an order, an account — is requested, the backend must verify that the currently authenticated user actually owns or is authorized to view that specific object, not merely that they are logged in at all. Using non-guessable, randomized identifiers instead of sequential numbers adds a useful second layer of defense, though it should never be the only protection in place.</w:t>
      </w:r>
    </w:p>
    <w:p>
      <w:pPr>
        <w:pBdr>
          <w:bottom w:val="single" w:color="D9D9D9" w:sz="6" w:space="1"/>
        </w:pBdr>
        <w:spacing w:after="400" w:before="400"/>
      </w:pPr>
    </w:p>
    <w:p>
      <w:pPr>
        <w:pStyle w:val="Heading1"/>
        <w:spacing w:after="40" w:before="100"/>
      </w:pPr>
      <w:r>
        <w:rPr>
          <w:rFonts w:ascii="Calibri" w:cs="Calibri" w:eastAsia="Calibri" w:hAnsi="Calibri"/>
          <w:b/>
          <w:bCs/>
          <w:color w:val="1F3864"/>
          <w:sz w:val="30"/>
          <w:szCs w:val="30"/>
        </w:rPr>
        <w:t xml:space="preserve">2.  </w:t>
      </w:r>
      <w:r>
        <w:rPr>
          <w:rFonts w:ascii="Calibri" w:cs="Calibri" w:eastAsia="Calibri" w:hAnsi="Calibri"/>
          <w:b/>
          <w:bCs/>
          <w:color w:val="1F3864"/>
          <w:sz w:val="30"/>
          <w:szCs w:val="30"/>
        </w:rPr>
        <w:t xml:space="preserve">Security Misconfiguration</w:t>
      </w:r>
    </w:p>
    <w:p>
      <w:pPr>
        <w:spacing w:after="240"/>
      </w:pPr>
      <w:r>
        <w:rPr>
          <w:rFonts w:ascii="Calibri" w:cs="Calibri" w:eastAsia="Calibri" w:hAnsi="Calibri"/>
          <w:b/>
          <w:bCs/>
          <w:color w:val="2E75B6"/>
          <w:spacing w:val="8"/>
          <w:sz w:val="18"/>
          <w:szCs w:val="18"/>
        </w:rPr>
        <w:t xml:space="preserve">OWASP TOP 10 (2025)  ·  A02:2025</w:t>
      </w:r>
    </w:p>
    <w:p>
      <w:pPr>
        <w:pBdr>
          <w:bottom w:val="single" w:color="2E75B6" w:sz="4" w:space="4"/>
        </w:pBdr>
        <w:spacing w:after="80" w:before="200"/>
      </w:pPr>
      <w:r>
        <w:rPr>
          <w:rFonts w:ascii="Calibri" w:cs="Calibri" w:eastAsia="Calibri" w:hAnsi="Calibri"/>
          <w:b/>
          <w:bCs/>
          <w:color w:val="2E75B6"/>
          <w:spacing w:val="12"/>
          <w:sz w:val="20"/>
          <w:szCs w:val="20"/>
        </w:rPr>
        <w:t xml:space="preserve">WHAT IT IS</w:t>
      </w:r>
    </w:p>
    <w:p>
      <w:pPr>
        <w:spacing w:after="160" w:line="276"/>
      </w:pPr>
      <w:r>
        <w:rPr>
          <w:rFonts w:ascii="Calibri" w:cs="Calibri" w:eastAsia="Calibri" w:hAnsi="Calibri"/>
          <w:color w:val="262626"/>
          <w:sz w:val="22"/>
          <w:szCs w:val="22"/>
        </w:rPr>
        <w:t xml:space="preserve">This occurs when software that is technically secure by design gets set up carelessly — default passwords left unchanged, cloud storage left publicly accessible, overly permissive firewall rules, or verbose error messages that leak internal system details. It is less about a coding flaw and more about human and operational error during setup and ongoing maintenance. This category jumped from #5 to #2 in the 2025 list, and OWASP found some form of misconfiguration in essentially every application tested.</w:t>
      </w:r>
    </w:p>
    <w:p>
      <w:pPr>
        <w:pBdr>
          <w:bottom w:val="single" w:color="2E75B6" w:sz="4" w:space="4"/>
        </w:pBdr>
        <w:spacing w:after="80" w:before="200"/>
      </w:pPr>
      <w:r>
        <w:rPr>
          <w:rFonts w:ascii="Calibri" w:cs="Calibri" w:eastAsia="Calibri" w:hAnsi="Calibri"/>
          <w:b/>
          <w:bCs/>
          <w:color w:val="2E75B6"/>
          <w:spacing w:val="12"/>
          <w:sz w:val="20"/>
          <w:szCs w:val="20"/>
        </w:rPr>
        <w:t xml:space="preserve">HOW AN ATTACKER EXPLOITS IT</w:t>
      </w:r>
    </w:p>
    <w:p>
      <w:pPr>
        <w:spacing w:after="160" w:line="276"/>
      </w:pPr>
      <w:r>
        <w:rPr>
          <w:rFonts w:ascii="Calibri" w:cs="Calibri" w:eastAsia="Calibri" w:hAnsi="Calibri"/>
          <w:color w:val="262626"/>
          <w:sz w:val="22"/>
          <w:szCs w:val="22"/>
        </w:rPr>
        <w:t xml:space="preserve">Attackers often do not need to hack anything clever — they scan the internet looking for systems that were simply configured incorrectly. A firewall or proxy meant to forward only specific traffic might, due to a misconfiguration, also allow an attacker to reach internal cloud infrastructure it was never meant to expose, effectively handing over access because a single setting was left too permissive.</w:t>
      </w:r>
    </w:p>
    <w:p>
      <w:pPr>
        <w:pBdr>
          <w:bottom w:val="single" w:color="2E75B6" w:sz="4" w:space="4"/>
        </w:pBdr>
        <w:spacing w:after="80" w:before="200"/>
      </w:pPr>
      <w:r>
        <w:rPr>
          <w:rFonts w:ascii="Calibri" w:cs="Calibri" w:eastAsia="Calibri" w:hAnsi="Calibri"/>
          <w:b/>
          <w:bCs/>
          <w:color w:val="2E75B6"/>
          <w:spacing w:val="12"/>
          <w:sz w:val="20"/>
          <w:szCs w:val="20"/>
        </w:rPr>
        <w:t xml:space="preserve">REAL-WORLD EXAMPLE</w:t>
      </w:r>
    </w:p>
    <w:p>
      <w:pPr>
        <w:spacing w:after="160" w:line="276"/>
      </w:pPr>
      <w:r>
        <w:rPr>
          <w:rFonts w:ascii="Calibri" w:cs="Calibri" w:eastAsia="Calibri" w:hAnsi="Calibri"/>
          <w:color w:val="262626"/>
          <w:sz w:val="22"/>
          <w:szCs w:val="22"/>
        </w:rPr>
        <w:t xml:space="preserve">In 2019, a former Amazon Web Services employee exploited a misconfigured web application firewall running on Capital One's cloud infrastructure. The firewall had been granted excessive permissions, and the attacker used a technique called Server-Side Request Forgery to trick it into retrieving internal credentials from AWS's metadata service. Those credentials were then used to access and download data from Capital One's Amazon S3 storage buckets, exposing the personal information of about 106 million people, including roughly 140,000 Social Security numbers. No malware or phishing was involved — it was a pure configuration failure combined with overly broad permissions.</w:t>
      </w:r>
    </w:p>
    <w:p>
      <w:pPr>
        <w:pBdr>
          <w:bottom w:val="single" w:color="2E75B6" w:sz="4" w:space="4"/>
        </w:pBdr>
        <w:spacing w:after="80" w:before="200"/>
      </w:pPr>
      <w:r>
        <w:rPr>
          <w:rFonts w:ascii="Calibri" w:cs="Calibri" w:eastAsia="Calibri" w:hAnsi="Calibri"/>
          <w:b/>
          <w:bCs/>
          <w:color w:val="2E75B6"/>
          <w:spacing w:val="12"/>
          <w:sz w:val="20"/>
          <w:szCs w:val="20"/>
        </w:rPr>
        <w:t xml:space="preserve">HOW TO PREVENT IT</w:t>
      </w:r>
    </w:p>
    <w:p>
      <w:pPr>
        <w:spacing w:after="160" w:line="276"/>
      </w:pPr>
      <w:r>
        <w:rPr>
          <w:rFonts w:ascii="Calibri" w:cs="Calibri" w:eastAsia="Calibri" w:hAnsi="Calibri"/>
          <w:color w:val="262626"/>
          <w:sz w:val="22"/>
          <w:szCs w:val="22"/>
        </w:rPr>
        <w:t xml:space="preserve">Apply the principle of least privilege: every service, role, and firewall rule should be granted the absolute minimum access required to function, and nothing more. Pair this with automated configuration scanning — checking cloud storage, firewalls, and infrastructure-as-code definitions for risky defaults — as a routine, ongoing part of deployment rather than a one-time setup step, since environments tend to drift out of their secure state over time.</w:t>
      </w:r>
    </w:p>
    <w:p>
      <w:r>
        <w:br w:type="page"/>
      </w:r>
    </w:p>
    <w:p>
      <w:pPr>
        <w:pStyle w:val="Heading1"/>
        <w:spacing w:after="40" w:before="100"/>
      </w:pPr>
      <w:r>
        <w:rPr>
          <w:rFonts w:ascii="Calibri" w:cs="Calibri" w:eastAsia="Calibri" w:hAnsi="Calibri"/>
          <w:b/>
          <w:bCs/>
          <w:color w:val="1F3864"/>
          <w:sz w:val="30"/>
          <w:szCs w:val="30"/>
        </w:rPr>
        <w:t xml:space="preserve">3.  </w:t>
      </w:r>
      <w:r>
        <w:rPr>
          <w:rFonts w:ascii="Calibri" w:cs="Calibri" w:eastAsia="Calibri" w:hAnsi="Calibri"/>
          <w:b/>
          <w:bCs/>
          <w:color w:val="1F3864"/>
          <w:sz w:val="30"/>
          <w:szCs w:val="30"/>
        </w:rPr>
        <w:t xml:space="preserve">Software Supply Chain Failures</w:t>
      </w:r>
    </w:p>
    <w:p>
      <w:pPr>
        <w:spacing w:after="240"/>
      </w:pPr>
      <w:r>
        <w:rPr>
          <w:rFonts w:ascii="Calibri" w:cs="Calibri" w:eastAsia="Calibri" w:hAnsi="Calibri"/>
          <w:b/>
          <w:bCs/>
          <w:color w:val="2E75B6"/>
          <w:spacing w:val="8"/>
          <w:sz w:val="18"/>
          <w:szCs w:val="18"/>
        </w:rPr>
        <w:t xml:space="preserve">OWASP TOP 10 (2025)  ·  A03:2025</w:t>
      </w:r>
    </w:p>
    <w:p>
      <w:pPr>
        <w:pBdr>
          <w:bottom w:val="single" w:color="2E75B6" w:sz="4" w:space="4"/>
        </w:pBdr>
        <w:spacing w:after="80" w:before="200"/>
      </w:pPr>
      <w:r>
        <w:rPr>
          <w:rFonts w:ascii="Calibri" w:cs="Calibri" w:eastAsia="Calibri" w:hAnsi="Calibri"/>
          <w:b/>
          <w:bCs/>
          <w:color w:val="2E75B6"/>
          <w:spacing w:val="12"/>
          <w:sz w:val="20"/>
          <w:szCs w:val="20"/>
        </w:rPr>
        <w:t xml:space="preserve">WHAT IT IS</w:t>
      </w:r>
    </w:p>
    <w:p>
      <w:pPr>
        <w:spacing w:after="160" w:line="276"/>
      </w:pPr>
      <w:r>
        <w:rPr>
          <w:rFonts w:ascii="Calibri" w:cs="Calibri" w:eastAsia="Calibri" w:hAnsi="Calibri"/>
          <w:color w:val="262626"/>
          <w:sz w:val="22"/>
          <w:szCs w:val="22"/>
        </w:rPr>
        <w:t xml:space="preserve">Modern applications are built on top of large stacks of third-party code — open-source libraries, frameworks, and build tools that a company did not write itself. This category covers what happens when something in that supply chain is vulnerable, outdated, or maliciously tampered with. It is a newly expanded category in the 2025 list, reflecting how frequently breaches now originate from a dependency rather than from an organization's own code.</w:t>
      </w:r>
    </w:p>
    <w:p>
      <w:pPr>
        <w:pBdr>
          <w:bottom w:val="single" w:color="2E75B6" w:sz="4" w:space="4"/>
        </w:pBdr>
        <w:spacing w:after="80" w:before="200"/>
      </w:pPr>
      <w:r>
        <w:rPr>
          <w:rFonts w:ascii="Calibri" w:cs="Calibri" w:eastAsia="Calibri" w:hAnsi="Calibri"/>
          <w:b/>
          <w:bCs/>
          <w:color w:val="2E75B6"/>
          <w:spacing w:val="12"/>
          <w:sz w:val="20"/>
          <w:szCs w:val="20"/>
        </w:rPr>
        <w:t xml:space="preserve">HOW AN ATTACKER EXPLOITS IT</w:t>
      </w:r>
    </w:p>
    <w:p>
      <w:pPr>
        <w:spacing w:after="160" w:line="276"/>
      </w:pPr>
      <w:r>
        <w:rPr>
          <w:rFonts w:ascii="Calibri" w:cs="Calibri" w:eastAsia="Calibri" w:hAnsi="Calibri"/>
          <w:color w:val="262626"/>
          <w:sz w:val="22"/>
          <w:szCs w:val="22"/>
        </w:rPr>
        <w:t xml:space="preserve">Security researchers publicly disclose vulnerabilities in popular open-source components on a regular basis, usually alongside an available patch. Attackers watch these disclosures closely, because they know it can take organizations months or even years to apply the fix everywhere it is needed. Once a patch is public, attackers reverse-engineer exactly what it fixes, then scan the internet for any organization still running the old, vulnerable version — turning a known, published bug into an open door.</w:t>
      </w:r>
    </w:p>
    <w:p>
      <w:pPr>
        <w:pBdr>
          <w:bottom w:val="single" w:color="2E75B6" w:sz="4" w:space="4"/>
        </w:pBdr>
        <w:spacing w:after="80" w:before="200"/>
      </w:pPr>
      <w:r>
        <w:rPr>
          <w:rFonts w:ascii="Calibri" w:cs="Calibri" w:eastAsia="Calibri" w:hAnsi="Calibri"/>
          <w:b/>
          <w:bCs/>
          <w:color w:val="2E75B6"/>
          <w:spacing w:val="12"/>
          <w:sz w:val="20"/>
          <w:szCs w:val="20"/>
        </w:rPr>
        <w:t xml:space="preserve">REAL-WORLD EXAMPLE</w:t>
      </w:r>
    </w:p>
    <w:p>
      <w:pPr>
        <w:spacing w:after="160" w:line="276"/>
      </w:pPr>
      <w:r>
        <w:rPr>
          <w:rFonts w:ascii="Calibri" w:cs="Calibri" w:eastAsia="Calibri" w:hAnsi="Calibri"/>
          <w:color w:val="262626"/>
          <w:sz w:val="22"/>
          <w:szCs w:val="22"/>
        </w:rPr>
        <w:t xml:space="preserve">The Equifax breach of 2017 is the textbook case. Equifax used an open-source framework called Apache Struts on its online dispute portal. A critical remote-code-execution flaw in Struts was publicly disclosed and patched in March 2017, but Equifax's internal patching process failed, and the vulnerable version stayed live. Attackers exploited the flaw starting in mid-May, moved through Equifax's network undetected for months — partly because an expired security certificate had disabled a monitoring tool — and ultimately stole the personal data of roughly 147 million people, including Social Security numbers and driver's license details.</w:t>
      </w:r>
    </w:p>
    <w:p>
      <w:pPr>
        <w:pBdr>
          <w:bottom w:val="single" w:color="2E75B6" w:sz="4" w:space="4"/>
        </w:pBdr>
        <w:spacing w:after="80" w:before="200"/>
      </w:pPr>
      <w:r>
        <w:rPr>
          <w:rFonts w:ascii="Calibri" w:cs="Calibri" w:eastAsia="Calibri" w:hAnsi="Calibri"/>
          <w:b/>
          <w:bCs/>
          <w:color w:val="2E75B6"/>
          <w:spacing w:val="12"/>
          <w:sz w:val="20"/>
          <w:szCs w:val="20"/>
        </w:rPr>
        <w:t xml:space="preserve">HOW TO PREVENT IT</w:t>
      </w:r>
    </w:p>
    <w:p>
      <w:pPr>
        <w:spacing w:after="160" w:line="276"/>
      </w:pPr>
      <w:r>
        <w:rPr>
          <w:rFonts w:ascii="Calibri" w:cs="Calibri" w:eastAsia="Calibri" w:hAnsi="Calibri"/>
          <w:color w:val="262626"/>
          <w:sz w:val="22"/>
          <w:szCs w:val="22"/>
        </w:rPr>
        <w:t xml:space="preserve">Maintain an accurate, automated inventory of every third-party library and framework in use, often called a software bill of materials, and use dependency-scanning tools that automatically flag components with known vulnerabilities as soon as a fix becomes public. Just as important is having a process that actually applies critical patches quickly and verifies they took effect — Equifax had internal alerts about the exact flaw that ultimately breached the company, but the patch was never confirmed as applied.</w:t>
      </w:r>
    </w:p>
    <w:p>
      <w:pPr>
        <w:pBdr>
          <w:bottom w:val="single" w:color="D9D9D9" w:sz="6" w:space="1"/>
        </w:pBdr>
        <w:spacing w:after="400" w:before="400"/>
      </w:pPr>
    </w:p>
    <w:p>
      <w:pPr>
        <w:pStyle w:val="Heading1"/>
        <w:spacing w:after="40" w:before="100"/>
      </w:pPr>
      <w:r>
        <w:rPr>
          <w:rFonts w:ascii="Calibri" w:cs="Calibri" w:eastAsia="Calibri" w:hAnsi="Calibri"/>
          <w:b/>
          <w:bCs/>
          <w:color w:val="1F3864"/>
          <w:sz w:val="30"/>
          <w:szCs w:val="30"/>
        </w:rPr>
        <w:t xml:space="preserve">4.  </w:t>
      </w:r>
      <w:r>
        <w:rPr>
          <w:rFonts w:ascii="Calibri" w:cs="Calibri" w:eastAsia="Calibri" w:hAnsi="Calibri"/>
          <w:b/>
          <w:bCs/>
          <w:color w:val="1F3864"/>
          <w:sz w:val="30"/>
          <w:szCs w:val="30"/>
        </w:rPr>
        <w:t xml:space="preserve">Injection</w:t>
      </w:r>
    </w:p>
    <w:p>
      <w:pPr>
        <w:spacing w:after="240"/>
      </w:pPr>
      <w:r>
        <w:rPr>
          <w:rFonts w:ascii="Calibri" w:cs="Calibri" w:eastAsia="Calibri" w:hAnsi="Calibri"/>
          <w:b/>
          <w:bCs/>
          <w:color w:val="2E75B6"/>
          <w:spacing w:val="8"/>
          <w:sz w:val="18"/>
          <w:szCs w:val="18"/>
        </w:rPr>
        <w:t xml:space="preserve">OWASP TOP 10 (2025)  ·  A05:2025</w:t>
      </w:r>
    </w:p>
    <w:p>
      <w:pPr>
        <w:pBdr>
          <w:bottom w:val="single" w:color="2E75B6" w:sz="4" w:space="4"/>
        </w:pBdr>
        <w:spacing w:after="80" w:before="200"/>
      </w:pPr>
      <w:r>
        <w:rPr>
          <w:rFonts w:ascii="Calibri" w:cs="Calibri" w:eastAsia="Calibri" w:hAnsi="Calibri"/>
          <w:b/>
          <w:bCs/>
          <w:color w:val="2E75B6"/>
          <w:spacing w:val="12"/>
          <w:sz w:val="20"/>
          <w:szCs w:val="20"/>
        </w:rPr>
        <w:t xml:space="preserve">WHAT IT IS</w:t>
      </w:r>
    </w:p>
    <w:p>
      <w:pPr>
        <w:spacing w:after="160" w:line="276"/>
      </w:pPr>
      <w:r>
        <w:rPr>
          <w:rFonts w:ascii="Calibri" w:cs="Calibri" w:eastAsia="Calibri" w:hAnsi="Calibri"/>
          <w:color w:val="262626"/>
          <w:sz w:val="22"/>
          <w:szCs w:val="22"/>
        </w:rPr>
        <w:t xml:space="preserve">Injection happens when an application takes input typed by a user — a search box, a login form, a URL parameter — and passes it directly into a command, most commonly a database query, without properly checking or cleaning it first. Because the application cannot distinguish between "data" and "instructions," a carefully crafted piece of input can be interpreted as a command instead of as harmless text.</w:t>
      </w:r>
    </w:p>
    <w:p>
      <w:pPr>
        <w:pBdr>
          <w:bottom w:val="single" w:color="2E75B6" w:sz="4" w:space="4"/>
        </w:pBdr>
        <w:spacing w:after="80" w:before="200"/>
      </w:pPr>
      <w:r>
        <w:rPr>
          <w:rFonts w:ascii="Calibri" w:cs="Calibri" w:eastAsia="Calibri" w:hAnsi="Calibri"/>
          <w:b/>
          <w:bCs/>
          <w:color w:val="2E75B6"/>
          <w:spacing w:val="12"/>
          <w:sz w:val="20"/>
          <w:szCs w:val="20"/>
        </w:rPr>
        <w:t xml:space="preserve">HOW AN ATTACKER EXPLOITS IT</w:t>
      </w:r>
    </w:p>
    <w:p>
      <w:pPr>
        <w:spacing w:after="160" w:line="276"/>
      </w:pPr>
      <w:r>
        <w:rPr>
          <w:rFonts w:ascii="Calibri" w:cs="Calibri" w:eastAsia="Calibri" w:hAnsi="Calibri"/>
          <w:color w:val="262626"/>
          <w:sz w:val="22"/>
          <w:szCs w:val="22"/>
        </w:rPr>
        <w:t xml:space="preserve">Consider a login form that builds a database query by gluing together text: find the user where the username matches what was typed and the password matches what was typed. If an attacker enters something like ' OR '1'='1 into the username field, the underlying query can become logically true for every row in the table, and the attacker is logged in without ever knowing a real password. This is known as SQL injection, and variations of the same trick work against other types of interpreters, not only databases.</w:t>
      </w:r>
    </w:p>
    <w:p>
      <w:pPr>
        <w:pBdr>
          <w:bottom w:val="single" w:color="2E75B6" w:sz="4" w:space="4"/>
        </w:pBdr>
        <w:spacing w:after="80" w:before="200"/>
      </w:pPr>
      <w:r>
        <w:rPr>
          <w:rFonts w:ascii="Calibri" w:cs="Calibri" w:eastAsia="Calibri" w:hAnsi="Calibri"/>
          <w:b/>
          <w:bCs/>
          <w:color w:val="2E75B6"/>
          <w:spacing w:val="12"/>
          <w:sz w:val="20"/>
          <w:szCs w:val="20"/>
        </w:rPr>
        <w:t xml:space="preserve">REAL-WORLD EXAMPLE</w:t>
      </w:r>
    </w:p>
    <w:p>
      <w:pPr>
        <w:spacing w:after="160" w:line="276"/>
      </w:pPr>
      <w:r>
        <w:rPr>
          <w:rFonts w:ascii="Calibri" w:cs="Calibri" w:eastAsia="Calibri" w:hAnsi="Calibri"/>
          <w:color w:val="262626"/>
          <w:sz w:val="22"/>
          <w:szCs w:val="22"/>
        </w:rPr>
        <w:t xml:space="preserve">In October 2015, UK telecom provider TalkTalk was breached via SQL injection on legacy web pages inherited from an earlier company acquisition. Attackers used a widely available scanning tool to locate the flaw and extracted a database holding the personal details of nearly 157,000 customers, including more than 15,000 bank account numbers and sort codes. A UK regulatory investigation later found the underlying database software was years out of date, that two earlier SQL injection attacks in prior months had gone unnoticed due to poor monitoring, and that the vulnerability itself was, in the regulator's own words, one that has been "well understood for more than ten years." TalkTalk was fined £400,000 and estimated the total cost of the incident at roughly £77 million.</w:t>
      </w:r>
    </w:p>
    <w:p>
      <w:pPr>
        <w:pBdr>
          <w:bottom w:val="single" w:color="2E75B6" w:sz="4" w:space="4"/>
        </w:pBdr>
        <w:spacing w:after="80" w:before="200"/>
      </w:pPr>
      <w:r>
        <w:rPr>
          <w:rFonts w:ascii="Calibri" w:cs="Calibri" w:eastAsia="Calibri" w:hAnsi="Calibri"/>
          <w:b/>
          <w:bCs/>
          <w:color w:val="2E75B6"/>
          <w:spacing w:val="12"/>
          <w:sz w:val="20"/>
          <w:szCs w:val="20"/>
        </w:rPr>
        <w:t xml:space="preserve">HOW TO PREVENT IT</w:t>
      </w:r>
    </w:p>
    <w:p>
      <w:pPr>
        <w:spacing w:after="160" w:line="276"/>
      </w:pPr>
      <w:r>
        <w:rPr>
          <w:rFonts w:ascii="Calibri" w:cs="Calibri" w:eastAsia="Calibri" w:hAnsi="Calibri"/>
          <w:color w:val="262626"/>
          <w:sz w:val="22"/>
          <w:szCs w:val="22"/>
        </w:rPr>
        <w:t xml:space="preserve">Use parameterized queries, also called prepared statements, instead of building queries by directly concatenating user input into command strings. With parameterized queries, the database always treats user input strictly as data, never as executable code, no matter what characters the user types. This single practice, applied consistently across an application, eliminates the vast majority of injection vulnerabilities.</w:t>
      </w:r>
    </w:p>
    <w:p>
      <w:r>
        <w:br w:type="page"/>
      </w:r>
    </w:p>
    <w:p>
      <w:pPr>
        <w:pStyle w:val="Heading1"/>
        <w:spacing w:after="40" w:before="100"/>
      </w:pPr>
      <w:r>
        <w:rPr>
          <w:rFonts w:ascii="Calibri" w:cs="Calibri" w:eastAsia="Calibri" w:hAnsi="Calibri"/>
          <w:b/>
          <w:bCs/>
          <w:color w:val="1F3864"/>
          <w:sz w:val="30"/>
          <w:szCs w:val="30"/>
        </w:rPr>
        <w:t xml:space="preserve">5.  </w:t>
      </w:r>
      <w:r>
        <w:rPr>
          <w:rFonts w:ascii="Calibri" w:cs="Calibri" w:eastAsia="Calibri" w:hAnsi="Calibri"/>
          <w:b/>
          <w:bCs/>
          <w:color w:val="1F3864"/>
          <w:sz w:val="30"/>
          <w:szCs w:val="30"/>
        </w:rPr>
        <w:t xml:space="preserve">Authentication Failures</w:t>
      </w:r>
    </w:p>
    <w:p>
      <w:pPr>
        <w:spacing w:after="240"/>
      </w:pPr>
      <w:r>
        <w:rPr>
          <w:rFonts w:ascii="Calibri" w:cs="Calibri" w:eastAsia="Calibri" w:hAnsi="Calibri"/>
          <w:b/>
          <w:bCs/>
          <w:color w:val="2E75B6"/>
          <w:spacing w:val="8"/>
          <w:sz w:val="18"/>
          <w:szCs w:val="18"/>
        </w:rPr>
        <w:t xml:space="preserve">OWASP TOP 10 (2025)  ·  A07:2025</w:t>
      </w:r>
    </w:p>
    <w:p>
      <w:pPr>
        <w:pBdr>
          <w:bottom w:val="single" w:color="2E75B6" w:sz="4" w:space="4"/>
        </w:pBdr>
        <w:spacing w:after="80" w:before="200"/>
      </w:pPr>
      <w:r>
        <w:rPr>
          <w:rFonts w:ascii="Calibri" w:cs="Calibri" w:eastAsia="Calibri" w:hAnsi="Calibri"/>
          <w:b/>
          <w:bCs/>
          <w:color w:val="2E75B6"/>
          <w:spacing w:val="12"/>
          <w:sz w:val="20"/>
          <w:szCs w:val="20"/>
        </w:rPr>
        <w:t xml:space="preserve">WHAT IT IS</w:t>
      </w:r>
    </w:p>
    <w:p>
      <w:pPr>
        <w:spacing w:after="160" w:line="276"/>
      </w:pPr>
      <w:r>
        <w:rPr>
          <w:rFonts w:ascii="Calibri" w:cs="Calibri" w:eastAsia="Calibri" w:hAnsi="Calibri"/>
          <w:color w:val="262626"/>
          <w:sz w:val="22"/>
          <w:szCs w:val="22"/>
        </w:rPr>
        <w:t xml:space="preserve">This category covers weaknesses in how an application verifies that a user is who they claim to be — weak password rules, no protection against automated login attempts, and the absence of extra verification steps such as multi-factor authentication. Even when every other part of an application is well built, a weak front door undermines all of it.</w:t>
      </w:r>
    </w:p>
    <w:p>
      <w:pPr>
        <w:pBdr>
          <w:bottom w:val="single" w:color="2E75B6" w:sz="4" w:space="4"/>
        </w:pBdr>
        <w:spacing w:after="80" w:before="200"/>
      </w:pPr>
      <w:r>
        <w:rPr>
          <w:rFonts w:ascii="Calibri" w:cs="Calibri" w:eastAsia="Calibri" w:hAnsi="Calibri"/>
          <w:b/>
          <w:bCs/>
          <w:color w:val="2E75B6"/>
          <w:spacing w:val="12"/>
          <w:sz w:val="20"/>
          <w:szCs w:val="20"/>
        </w:rPr>
        <w:t xml:space="preserve">HOW AN ATTACKER EXPLOITS IT</w:t>
      </w:r>
    </w:p>
    <w:p>
      <w:pPr>
        <w:spacing w:after="160" w:line="276"/>
      </w:pPr>
      <w:r>
        <w:rPr>
          <w:rFonts w:ascii="Calibri" w:cs="Calibri" w:eastAsia="Calibri" w:hAnsi="Calibri"/>
          <w:color w:val="262626"/>
          <w:sz w:val="22"/>
          <w:szCs w:val="22"/>
        </w:rPr>
        <w:t xml:space="preserve">The most common technique today is credential stuffing: attackers take large lists of usernames and passwords already leaked from other companies' breaches and automatically try them, one after another, against a completely different website's login page. This works because so many people reuse the same password across multiple sites — if it worked on one site, there is a good chance it also works on another. It requires no clever hacking of the target company's own systems at all; it simply exploits password reuse at scale.</w:t>
      </w:r>
    </w:p>
    <w:p>
      <w:pPr>
        <w:pBdr>
          <w:bottom w:val="single" w:color="2E75B6" w:sz="4" w:space="4"/>
        </w:pBdr>
        <w:spacing w:after="80" w:before="200"/>
      </w:pPr>
      <w:r>
        <w:rPr>
          <w:rFonts w:ascii="Calibri" w:cs="Calibri" w:eastAsia="Calibri" w:hAnsi="Calibri"/>
          <w:b/>
          <w:bCs/>
          <w:color w:val="2E75B6"/>
          <w:spacing w:val="12"/>
          <w:sz w:val="20"/>
          <w:szCs w:val="20"/>
        </w:rPr>
        <w:t xml:space="preserve">REAL-WORLD EXAMPLE</w:t>
      </w:r>
    </w:p>
    <w:p>
      <w:pPr>
        <w:spacing w:after="160" w:line="276"/>
      </w:pPr>
      <w:r>
        <w:rPr>
          <w:rFonts w:ascii="Calibri" w:cs="Calibri" w:eastAsia="Calibri" w:hAnsi="Calibri"/>
          <w:color w:val="262626"/>
          <w:sz w:val="22"/>
          <w:szCs w:val="22"/>
        </w:rPr>
        <w:t xml:space="preserve">In 2023, genetic testing company 23andMe suffered a breach that began with credential stuffing. Starting in April 2023 and continuing for roughly five months, an attacker fed stolen username-and-password combinations from other companies' past breaches into 23andMe's login page, successfully compromising around 14,000 accounts. Because 23andMe did not require multi-factor authentication at the time and had weak login-attempt monitoring, the activity went undetected for months. Many of those accounts had opted into a "DNA Relatives" feature that shared data with genetic relatives, allowing the attacker to pivot from those accounts to scrape sensitive ancestry and health-related data belonging to nearly 7 million people in total. 23andMe filed for bankruptcy in 2025, with the fallout from this breach cited as a major contributing factor.</w:t>
      </w:r>
    </w:p>
    <w:p>
      <w:pPr>
        <w:pBdr>
          <w:bottom w:val="single" w:color="2E75B6" w:sz="4" w:space="4"/>
        </w:pBdr>
        <w:spacing w:after="80" w:before="200"/>
      </w:pPr>
      <w:r>
        <w:rPr>
          <w:rFonts w:ascii="Calibri" w:cs="Calibri" w:eastAsia="Calibri" w:hAnsi="Calibri"/>
          <w:b/>
          <w:bCs/>
          <w:color w:val="2E75B6"/>
          <w:spacing w:val="12"/>
          <w:sz w:val="20"/>
          <w:szCs w:val="20"/>
        </w:rPr>
        <w:t xml:space="preserve">HOW TO PREVENT IT</w:t>
      </w:r>
    </w:p>
    <w:p>
      <w:pPr>
        <w:spacing w:after="160" w:line="276"/>
      </w:pPr>
      <w:r>
        <w:rPr>
          <w:rFonts w:ascii="Calibri" w:cs="Calibri" w:eastAsia="Calibri" w:hAnsi="Calibri"/>
          <w:color w:val="262626"/>
          <w:sz w:val="22"/>
          <w:szCs w:val="22"/>
        </w:rPr>
        <w:t xml:space="preserve">Require multi-factor authentication for all accounts, especially anywhere sensitive data is stored — this alone stops the vast majority of credential-stuffing attacks, because a stolen password is no longer sufficient on its own. Combine this with rate-limiting and anomaly detection on login attempts, so that thousands of rapid login attempts are automatically flagged and blocked, and check new passwords against known-breached password lists at signup rather than relying only on generic complexity rules.</w:t>
      </w:r>
    </w:p>
    <w:p>
      <w:r>
        <w:br w:type="page"/>
      </w:r>
    </w:p>
    <w:p>
      <w:pPr>
        <w:pStyle w:val="Heading1"/>
      </w:pPr>
      <w:r>
        <w:rPr>
          <w:rFonts w:ascii="Calibri" w:cs="Calibri" w:eastAsia="Calibri" w:hAnsi="Calibri"/>
          <w:b/>
          <w:bCs/>
          <w:color w:val="1F3864"/>
          <w:sz w:val="30"/>
          <w:szCs w:val="30"/>
        </w:rPr>
        <w:t xml:space="preserve">Personal Reflection</w:t>
      </w:r>
    </w:p>
    <w:p>
      <w:pPr>
        <w:pBdr>
          <w:left w:val="single" w:color="2E75B6" w:sz="24" w:space="8"/>
        </w:pBdr>
        <w:shd w:fill="EEF3FA" w:val="clear"/>
        <w:spacing w:after="200"/>
        <w:ind w:left="120"/>
      </w:pPr>
      <w:r>
        <w:rPr>
          <w:rFonts w:ascii="Calibri" w:cs="Calibri" w:eastAsia="Calibri" w:hAnsi="Calibri"/>
          <w:sz w:val="22"/>
          <w:szCs w:val="22"/>
        </w:rPr>
        <w:t xml:space="preserve">  </w:t>
      </w:r>
      <w:r>
        <w:rPr>
          <w:rFonts w:ascii="Calibri" w:cs="Calibri" w:eastAsia="Calibri" w:hAnsi="Calibri"/>
          <w:i/>
          <w:iCs/>
          <w:color w:val="262626"/>
          <w:sz w:val="22"/>
          <w:szCs w:val="22"/>
        </w:rPr>
        <w:t xml:space="preserve">The vulnerability that surprised me most was Security Misconfiguration, specifically the Capital One breach. I expected the biggest breaches to come from clever, highly technical hacking, but this one came down to a firewall being set up with more permissions than it needed. It was a reminder that security isn't just about writing clean code — it's also about how carefully systems are configured and maintained after they're built, which feels like a much easier mistake to make and a much harder one to catch. It also made the "principle of least privilege" click for me in a way that reading the definition alone never did.</w:t>
      </w:r>
    </w:p>
    <w:p>
      <w:pPr>
        <w:spacing w:before="500"/>
      </w:pPr>
    </w:p>
    <w:p>
      <w:pPr>
        <w:pBdr>
          <w:bottom w:val="single" w:color="2E75B6" w:sz="4" w:space="4"/>
        </w:pBdr>
        <w:spacing w:after="80" w:before="200"/>
      </w:pPr>
      <w:r>
        <w:rPr>
          <w:rFonts w:ascii="Calibri" w:cs="Calibri" w:eastAsia="Calibri" w:hAnsi="Calibri"/>
          <w:b/>
          <w:bCs/>
          <w:color w:val="2E75B6"/>
          <w:spacing w:val="12"/>
          <w:sz w:val="20"/>
          <w:szCs w:val="20"/>
        </w:rPr>
        <w:t xml:space="preserve">SOURCES</w:t>
      </w:r>
    </w:p>
    <w:p>
      <w:pPr>
        <w:spacing w:after="160" w:line="276"/>
      </w:pPr>
      <w:r>
        <w:rPr>
          <w:rFonts w:ascii="Calibri" w:cs="Calibri" w:eastAsia="Calibri" w:hAnsi="Calibri"/>
          <w:color w:val="595959"/>
          <w:sz w:val="20"/>
          <w:szCs w:val="20"/>
        </w:rPr>
        <w:t xml:space="preserve">OWASP Top 10:2025 — owasp.org/Top10/2025</w:t>
      </w:r>
    </w:p>
    <w:p>
      <w:pPr>
        <w:spacing w:after="160" w:line="276"/>
      </w:pPr>
      <w:r>
        <w:rPr>
          <w:rFonts w:ascii="Calibri" w:cs="Calibri" w:eastAsia="Calibri" w:hAnsi="Calibri"/>
          <w:color w:val="595959"/>
          <w:sz w:val="20"/>
          <w:szCs w:val="20"/>
        </w:rPr>
        <w:t xml:space="preserve">Krebs on Security, SecurityWeek, and Twingate — First American Financial breach coverage</w:t>
      </w:r>
    </w:p>
    <w:p>
      <w:pPr>
        <w:spacing w:after="160" w:line="276"/>
      </w:pPr>
      <w:r>
        <w:rPr>
          <w:rFonts w:ascii="Calibri" w:cs="Calibri" w:eastAsia="Calibri" w:hAnsi="Calibri"/>
          <w:color w:val="595959"/>
          <w:sz w:val="20"/>
          <w:szCs w:val="20"/>
        </w:rPr>
        <w:t xml:space="preserve">Cloud Security Alliance, Security.org, and Krebs on Security — Capital One breach analysis</w:t>
      </w:r>
    </w:p>
    <w:p>
      <w:pPr>
        <w:spacing w:after="160" w:line="276"/>
      </w:pPr>
      <w:r>
        <w:rPr>
          <w:rFonts w:ascii="Calibri" w:cs="Calibri" w:eastAsia="Calibri" w:hAnsi="Calibri"/>
          <w:color w:val="595959"/>
          <w:sz w:val="20"/>
          <w:szCs w:val="20"/>
        </w:rPr>
        <w:t xml:space="preserve">Wikipedia, EPIC, and U.S. House Oversight Committee report — Equifax breach documentation</w:t>
      </w:r>
    </w:p>
    <w:p>
      <w:pPr>
        <w:spacing w:after="160" w:line="276"/>
      </w:pPr>
      <w:r>
        <w:rPr>
          <w:rFonts w:ascii="Calibri" w:cs="Calibri" w:eastAsia="Calibri" w:hAnsi="Calibri"/>
          <w:color w:val="595959"/>
          <w:sz w:val="20"/>
          <w:szCs w:val="20"/>
        </w:rPr>
        <w:t xml:space="preserve">UK Information Commissioner's Office and Wikipedia — TalkTalk breach investigation</w:t>
      </w:r>
    </w:p>
    <w:p>
      <w:pPr>
        <w:spacing w:after="160" w:line="276"/>
      </w:pPr>
      <w:r>
        <w:rPr>
          <w:rFonts w:ascii="Calibri" w:cs="Calibri" w:eastAsia="Calibri" w:hAnsi="Calibri"/>
          <w:color w:val="595959"/>
          <w:sz w:val="20"/>
          <w:szCs w:val="20"/>
        </w:rPr>
        <w:t xml:space="preserve">23andMe official statements and the Office of the Privacy Commissioner of Canada — 23andMe breach findings</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OWASP Top 10 — Security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2026-07-03T09:44:31.878Z</dcterms:created>
  <dcterms:modified xsi:type="dcterms:W3CDTF">2026-07-03T09:44:31.878Z</dcterms:modified>
</cp:coreProperties>
</file>

<file path=docProps/custom.xml><?xml version="1.0" encoding="utf-8"?>
<Properties xmlns="http://schemas.openxmlformats.org/officeDocument/2006/custom-properties" xmlns:vt="http://schemas.openxmlformats.org/officeDocument/2006/docPropsVTypes"/>
</file>