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FEF" w:rsidRPr="00A14990" w:rsidRDefault="00A14990">
      <w:pPr>
        <w:rPr>
          <w:rFonts w:ascii="Arial" w:hAnsi="Arial" w:cs="Arial"/>
          <w:b/>
        </w:rPr>
      </w:pPr>
      <w:r w:rsidRPr="00A14990">
        <w:rPr>
          <w:rFonts w:ascii="Arial" w:hAnsi="Arial" w:cs="Arial"/>
          <w:b/>
        </w:rPr>
        <w:t>Table No.: 1- Distribution of respondents according to number of children</w:t>
      </w:r>
      <w:r w:rsidR="00A052A0">
        <w:rPr>
          <w:rFonts w:ascii="Arial" w:hAnsi="Arial" w:cs="Arial"/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A14990" w:rsidTr="00A14990">
        <w:tc>
          <w:tcPr>
            <w:tcW w:w="3081" w:type="dxa"/>
          </w:tcPr>
          <w:p w:rsidR="00A14990" w:rsidRPr="00A14990" w:rsidRDefault="00A14990">
            <w:pPr>
              <w:rPr>
                <w:rFonts w:ascii="Arial" w:hAnsi="Arial" w:cs="Arial"/>
                <w:b/>
              </w:rPr>
            </w:pPr>
            <w:r w:rsidRPr="00A14990">
              <w:rPr>
                <w:rFonts w:ascii="Arial" w:hAnsi="Arial" w:cs="Arial"/>
                <w:b/>
              </w:rPr>
              <w:t>Number of children</w:t>
            </w:r>
          </w:p>
        </w:tc>
        <w:tc>
          <w:tcPr>
            <w:tcW w:w="3081" w:type="dxa"/>
          </w:tcPr>
          <w:p w:rsidR="00A14990" w:rsidRPr="00A14990" w:rsidRDefault="00A14990" w:rsidP="00A14990">
            <w:pPr>
              <w:jc w:val="center"/>
              <w:rPr>
                <w:rFonts w:ascii="Arial" w:hAnsi="Arial" w:cs="Arial"/>
                <w:b/>
              </w:rPr>
            </w:pPr>
            <w:r w:rsidRPr="00A14990">
              <w:rPr>
                <w:rFonts w:ascii="Arial" w:hAnsi="Arial" w:cs="Arial"/>
                <w:b/>
              </w:rPr>
              <w:t>Frequency</w:t>
            </w:r>
          </w:p>
        </w:tc>
        <w:tc>
          <w:tcPr>
            <w:tcW w:w="3081" w:type="dxa"/>
          </w:tcPr>
          <w:p w:rsidR="00A14990" w:rsidRPr="00A14990" w:rsidRDefault="00A14990" w:rsidP="00A14990">
            <w:pPr>
              <w:jc w:val="center"/>
              <w:rPr>
                <w:rFonts w:ascii="Arial" w:hAnsi="Arial" w:cs="Arial"/>
                <w:b/>
              </w:rPr>
            </w:pPr>
            <w:r w:rsidRPr="00A14990">
              <w:rPr>
                <w:rFonts w:ascii="Arial" w:hAnsi="Arial" w:cs="Arial"/>
                <w:b/>
              </w:rPr>
              <w:t>Percentage</w:t>
            </w:r>
          </w:p>
        </w:tc>
      </w:tr>
      <w:tr w:rsidR="00A14990" w:rsidTr="00A14990">
        <w:tc>
          <w:tcPr>
            <w:tcW w:w="3081" w:type="dxa"/>
          </w:tcPr>
          <w:p w:rsidR="00A14990" w:rsidRDefault="00A149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81" w:type="dxa"/>
          </w:tcPr>
          <w:p w:rsidR="00A14990" w:rsidRDefault="00A14990" w:rsidP="00A149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081" w:type="dxa"/>
          </w:tcPr>
          <w:p w:rsidR="00A14990" w:rsidRDefault="00A14990" w:rsidP="00A149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18.18</w:t>
            </w:r>
          </w:p>
        </w:tc>
      </w:tr>
      <w:tr w:rsidR="00A14990" w:rsidTr="00A14990">
        <w:tc>
          <w:tcPr>
            <w:tcW w:w="3081" w:type="dxa"/>
          </w:tcPr>
          <w:p w:rsidR="00A14990" w:rsidRDefault="00A149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81" w:type="dxa"/>
          </w:tcPr>
          <w:p w:rsidR="00A14990" w:rsidRDefault="00A14990" w:rsidP="00A149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081" w:type="dxa"/>
          </w:tcPr>
          <w:p w:rsidR="00A14990" w:rsidRDefault="00A14990" w:rsidP="00A149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17.05</w:t>
            </w:r>
          </w:p>
        </w:tc>
      </w:tr>
      <w:tr w:rsidR="00A14990" w:rsidTr="00A14990">
        <w:tc>
          <w:tcPr>
            <w:tcW w:w="3081" w:type="dxa"/>
          </w:tcPr>
          <w:p w:rsidR="00A14990" w:rsidRDefault="00A149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081" w:type="dxa"/>
          </w:tcPr>
          <w:p w:rsidR="00A14990" w:rsidRDefault="00A14990" w:rsidP="00A149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081" w:type="dxa"/>
          </w:tcPr>
          <w:p w:rsidR="00A14990" w:rsidRDefault="00A14990" w:rsidP="00A149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19.31</w:t>
            </w:r>
          </w:p>
        </w:tc>
      </w:tr>
      <w:tr w:rsidR="00A14990" w:rsidTr="00A14990">
        <w:tc>
          <w:tcPr>
            <w:tcW w:w="3081" w:type="dxa"/>
          </w:tcPr>
          <w:p w:rsidR="00A14990" w:rsidRDefault="00A149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081" w:type="dxa"/>
          </w:tcPr>
          <w:p w:rsidR="00A14990" w:rsidRDefault="00A14990" w:rsidP="00A149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081" w:type="dxa"/>
          </w:tcPr>
          <w:p w:rsidR="00A14990" w:rsidRDefault="00A14990" w:rsidP="00A149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21.60</w:t>
            </w:r>
          </w:p>
        </w:tc>
      </w:tr>
      <w:tr w:rsidR="00A14990" w:rsidTr="00A14990">
        <w:tc>
          <w:tcPr>
            <w:tcW w:w="3081" w:type="dxa"/>
          </w:tcPr>
          <w:p w:rsidR="00A14990" w:rsidRDefault="00A149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and above</w:t>
            </w:r>
          </w:p>
        </w:tc>
        <w:tc>
          <w:tcPr>
            <w:tcW w:w="3081" w:type="dxa"/>
          </w:tcPr>
          <w:p w:rsidR="00A14990" w:rsidRDefault="00A14990" w:rsidP="00A149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081" w:type="dxa"/>
          </w:tcPr>
          <w:p w:rsidR="00A14990" w:rsidRDefault="00A14990" w:rsidP="00A149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23.86</w:t>
            </w:r>
          </w:p>
        </w:tc>
      </w:tr>
      <w:tr w:rsidR="00A14990" w:rsidTr="00A14990">
        <w:tc>
          <w:tcPr>
            <w:tcW w:w="3081" w:type="dxa"/>
          </w:tcPr>
          <w:p w:rsidR="00A14990" w:rsidRPr="00A14990" w:rsidRDefault="00A14990">
            <w:pPr>
              <w:rPr>
                <w:rFonts w:ascii="Arial" w:hAnsi="Arial" w:cs="Arial"/>
                <w:b/>
              </w:rPr>
            </w:pPr>
            <w:r w:rsidRPr="00A1499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3081" w:type="dxa"/>
          </w:tcPr>
          <w:p w:rsidR="00A14990" w:rsidRPr="00A14990" w:rsidRDefault="00A14990" w:rsidP="00A14990">
            <w:pPr>
              <w:jc w:val="center"/>
              <w:rPr>
                <w:rFonts w:ascii="Arial" w:hAnsi="Arial" w:cs="Arial"/>
                <w:b/>
              </w:rPr>
            </w:pPr>
            <w:r w:rsidRPr="00A14990">
              <w:rPr>
                <w:rFonts w:ascii="Arial" w:hAnsi="Arial" w:cs="Arial"/>
                <w:b/>
              </w:rPr>
              <w:t>88</w:t>
            </w:r>
          </w:p>
        </w:tc>
        <w:tc>
          <w:tcPr>
            <w:tcW w:w="3081" w:type="dxa"/>
          </w:tcPr>
          <w:p w:rsidR="00A14990" w:rsidRPr="00A14990" w:rsidRDefault="00A14990" w:rsidP="00A14990">
            <w:pPr>
              <w:jc w:val="center"/>
              <w:rPr>
                <w:rFonts w:ascii="Arial" w:hAnsi="Arial" w:cs="Arial"/>
                <w:b/>
              </w:rPr>
            </w:pPr>
            <w:r w:rsidRPr="00A14990">
              <w:rPr>
                <w:rFonts w:ascii="Arial" w:hAnsi="Arial" w:cs="Arial"/>
                <w:b/>
              </w:rPr>
              <w:t>100.00</w:t>
            </w:r>
          </w:p>
        </w:tc>
      </w:tr>
    </w:tbl>
    <w:p w:rsidR="00A14990" w:rsidRDefault="00A149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14990" w:rsidRDefault="00A14990">
      <w:pPr>
        <w:rPr>
          <w:rFonts w:ascii="Arial" w:hAnsi="Arial" w:cs="Arial"/>
        </w:rPr>
      </w:pPr>
      <w:r>
        <w:rPr>
          <w:rFonts w:ascii="Arial" w:hAnsi="Arial" w:cs="Arial"/>
        </w:rPr>
        <w:t>This table shows that 18.18% respondents have no children, 17.05% respondents have 1 child, 19.31%</w:t>
      </w:r>
      <w:r w:rsidR="00A052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respondents have 2 children, 21.60% respondents have 3 children and 23.86% respondents have 4 or more children. </w:t>
      </w:r>
    </w:p>
    <w:p w:rsidR="00A14990" w:rsidRDefault="00A14990">
      <w:pPr>
        <w:rPr>
          <w:rFonts w:ascii="Arial" w:hAnsi="Arial" w:cs="Arial"/>
        </w:rPr>
      </w:pPr>
    </w:p>
    <w:p w:rsidR="00A14990" w:rsidRDefault="00A14990">
      <w:pPr>
        <w:rPr>
          <w:rFonts w:ascii="Arial" w:hAnsi="Arial" w:cs="Arial"/>
        </w:rPr>
      </w:pPr>
    </w:p>
    <w:p w:rsidR="00A14990" w:rsidRPr="00A14990" w:rsidRDefault="00A14990">
      <w:pPr>
        <w:rPr>
          <w:rFonts w:ascii="Arial" w:hAnsi="Arial" w:cs="Arial"/>
          <w:b/>
        </w:rPr>
      </w:pPr>
      <w:r w:rsidRPr="00A14990">
        <w:rPr>
          <w:rFonts w:ascii="Arial" w:hAnsi="Arial" w:cs="Arial"/>
          <w:b/>
        </w:rPr>
        <w:t>Table No.:2- Distribution of respondents according to their monthly income</w:t>
      </w:r>
      <w:r w:rsidR="00A052A0">
        <w:rPr>
          <w:rFonts w:ascii="Arial" w:hAnsi="Arial" w:cs="Arial"/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A14990" w:rsidTr="00A14990">
        <w:tc>
          <w:tcPr>
            <w:tcW w:w="3081" w:type="dxa"/>
          </w:tcPr>
          <w:p w:rsidR="00A14990" w:rsidRPr="00A14990" w:rsidRDefault="00A14990">
            <w:pPr>
              <w:rPr>
                <w:rFonts w:ascii="Arial" w:hAnsi="Arial" w:cs="Arial"/>
                <w:b/>
              </w:rPr>
            </w:pPr>
            <w:r w:rsidRPr="00A14990">
              <w:rPr>
                <w:rFonts w:ascii="Arial" w:hAnsi="Arial" w:cs="Arial"/>
                <w:b/>
              </w:rPr>
              <w:t>Monthly income</w:t>
            </w:r>
          </w:p>
        </w:tc>
        <w:tc>
          <w:tcPr>
            <w:tcW w:w="3081" w:type="dxa"/>
          </w:tcPr>
          <w:p w:rsidR="00A14990" w:rsidRPr="00A14990" w:rsidRDefault="00A14990" w:rsidP="00A052A0">
            <w:pPr>
              <w:jc w:val="center"/>
              <w:rPr>
                <w:rFonts w:ascii="Arial" w:hAnsi="Arial" w:cs="Arial"/>
                <w:b/>
              </w:rPr>
            </w:pPr>
            <w:r w:rsidRPr="00A14990">
              <w:rPr>
                <w:rFonts w:ascii="Arial" w:hAnsi="Arial" w:cs="Arial"/>
                <w:b/>
              </w:rPr>
              <w:t>Frequency</w:t>
            </w:r>
          </w:p>
        </w:tc>
        <w:tc>
          <w:tcPr>
            <w:tcW w:w="3081" w:type="dxa"/>
          </w:tcPr>
          <w:p w:rsidR="00A14990" w:rsidRPr="00A14990" w:rsidRDefault="00A14990" w:rsidP="00A052A0">
            <w:pPr>
              <w:jc w:val="center"/>
              <w:rPr>
                <w:rFonts w:ascii="Arial" w:hAnsi="Arial" w:cs="Arial"/>
                <w:b/>
              </w:rPr>
            </w:pPr>
            <w:r w:rsidRPr="00A14990">
              <w:rPr>
                <w:rFonts w:ascii="Arial" w:hAnsi="Arial" w:cs="Arial"/>
                <w:b/>
              </w:rPr>
              <w:t>Percentage</w:t>
            </w:r>
          </w:p>
        </w:tc>
      </w:tr>
      <w:tr w:rsidR="00A14990" w:rsidTr="00A14990">
        <w:tc>
          <w:tcPr>
            <w:tcW w:w="3081" w:type="dxa"/>
          </w:tcPr>
          <w:p w:rsidR="00A14990" w:rsidRDefault="00A149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&lt;4000</w:t>
            </w:r>
          </w:p>
        </w:tc>
        <w:tc>
          <w:tcPr>
            <w:tcW w:w="3081" w:type="dxa"/>
          </w:tcPr>
          <w:p w:rsidR="00A14990" w:rsidRDefault="00A14990" w:rsidP="00A052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081" w:type="dxa"/>
          </w:tcPr>
          <w:p w:rsidR="00A14990" w:rsidRDefault="00A14990" w:rsidP="00A052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14.77</w:t>
            </w:r>
          </w:p>
        </w:tc>
      </w:tr>
      <w:tr w:rsidR="00A14990" w:rsidTr="00A14990">
        <w:tc>
          <w:tcPr>
            <w:tcW w:w="3081" w:type="dxa"/>
          </w:tcPr>
          <w:p w:rsidR="00A14990" w:rsidRDefault="00A149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4000-6000</w:t>
            </w:r>
          </w:p>
        </w:tc>
        <w:tc>
          <w:tcPr>
            <w:tcW w:w="3081" w:type="dxa"/>
          </w:tcPr>
          <w:p w:rsidR="00A14990" w:rsidRDefault="00A14990" w:rsidP="00A052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081" w:type="dxa"/>
          </w:tcPr>
          <w:p w:rsidR="00A14990" w:rsidRDefault="00A14990" w:rsidP="00A052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15.91</w:t>
            </w:r>
          </w:p>
        </w:tc>
      </w:tr>
      <w:tr w:rsidR="00A14990" w:rsidTr="00A14990">
        <w:tc>
          <w:tcPr>
            <w:tcW w:w="3081" w:type="dxa"/>
          </w:tcPr>
          <w:p w:rsidR="00A14990" w:rsidRDefault="00A149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6001-8000</w:t>
            </w:r>
          </w:p>
        </w:tc>
        <w:tc>
          <w:tcPr>
            <w:tcW w:w="3081" w:type="dxa"/>
          </w:tcPr>
          <w:p w:rsidR="00A14990" w:rsidRDefault="00A14990" w:rsidP="00A052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081" w:type="dxa"/>
          </w:tcPr>
          <w:p w:rsidR="00A14990" w:rsidRDefault="00A14990" w:rsidP="00A052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20.45</w:t>
            </w:r>
          </w:p>
        </w:tc>
      </w:tr>
      <w:tr w:rsidR="00A14990" w:rsidTr="00A14990">
        <w:tc>
          <w:tcPr>
            <w:tcW w:w="3081" w:type="dxa"/>
          </w:tcPr>
          <w:p w:rsidR="00A14990" w:rsidRDefault="00A149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8001-10,000</w:t>
            </w:r>
          </w:p>
        </w:tc>
        <w:tc>
          <w:tcPr>
            <w:tcW w:w="3081" w:type="dxa"/>
          </w:tcPr>
          <w:p w:rsidR="00A14990" w:rsidRDefault="00A14990" w:rsidP="00A052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3081" w:type="dxa"/>
          </w:tcPr>
          <w:p w:rsidR="00A14990" w:rsidRDefault="00A14990" w:rsidP="00A052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06.82</w:t>
            </w:r>
          </w:p>
        </w:tc>
      </w:tr>
      <w:tr w:rsidR="00A14990" w:rsidTr="00A14990">
        <w:tc>
          <w:tcPr>
            <w:tcW w:w="3081" w:type="dxa"/>
          </w:tcPr>
          <w:p w:rsidR="00A14990" w:rsidRDefault="00A149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&gt;10,000</w:t>
            </w:r>
          </w:p>
        </w:tc>
        <w:tc>
          <w:tcPr>
            <w:tcW w:w="3081" w:type="dxa"/>
          </w:tcPr>
          <w:p w:rsidR="00A14990" w:rsidRDefault="00A14990" w:rsidP="00A052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3081" w:type="dxa"/>
          </w:tcPr>
          <w:p w:rsidR="00A14990" w:rsidRDefault="00A14990" w:rsidP="00A052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42.05</w:t>
            </w:r>
          </w:p>
        </w:tc>
      </w:tr>
      <w:tr w:rsidR="00A14990" w:rsidTr="00A14990">
        <w:tc>
          <w:tcPr>
            <w:tcW w:w="3081" w:type="dxa"/>
          </w:tcPr>
          <w:p w:rsidR="00A14990" w:rsidRPr="00A14990" w:rsidRDefault="00A14990">
            <w:pPr>
              <w:rPr>
                <w:rFonts w:ascii="Arial" w:hAnsi="Arial" w:cs="Arial"/>
                <w:b/>
              </w:rPr>
            </w:pPr>
            <w:r w:rsidRPr="00A1499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3081" w:type="dxa"/>
          </w:tcPr>
          <w:p w:rsidR="00A14990" w:rsidRPr="00A14990" w:rsidRDefault="00A14990" w:rsidP="00A052A0">
            <w:pPr>
              <w:jc w:val="center"/>
              <w:rPr>
                <w:rFonts w:ascii="Arial" w:hAnsi="Arial" w:cs="Arial"/>
                <w:b/>
              </w:rPr>
            </w:pPr>
            <w:r w:rsidRPr="00A14990">
              <w:rPr>
                <w:rFonts w:ascii="Arial" w:hAnsi="Arial" w:cs="Arial"/>
                <w:b/>
              </w:rPr>
              <w:t>88</w:t>
            </w:r>
          </w:p>
        </w:tc>
        <w:tc>
          <w:tcPr>
            <w:tcW w:w="3081" w:type="dxa"/>
          </w:tcPr>
          <w:p w:rsidR="00A14990" w:rsidRPr="00A14990" w:rsidRDefault="00A14990" w:rsidP="00A052A0">
            <w:pPr>
              <w:jc w:val="center"/>
              <w:rPr>
                <w:rFonts w:ascii="Arial" w:hAnsi="Arial" w:cs="Arial"/>
                <w:b/>
              </w:rPr>
            </w:pPr>
            <w:r w:rsidRPr="00A14990">
              <w:rPr>
                <w:rFonts w:ascii="Arial" w:hAnsi="Arial" w:cs="Arial"/>
                <w:b/>
              </w:rPr>
              <w:t>100.00</w:t>
            </w:r>
          </w:p>
        </w:tc>
      </w:tr>
    </w:tbl>
    <w:p w:rsidR="00A14990" w:rsidRDefault="00A14990">
      <w:pPr>
        <w:rPr>
          <w:rFonts w:ascii="Arial" w:hAnsi="Arial" w:cs="Arial"/>
        </w:rPr>
      </w:pPr>
      <w:bookmarkStart w:id="0" w:name="_GoBack"/>
      <w:bookmarkEnd w:id="0"/>
    </w:p>
    <w:p w:rsidR="00A052A0" w:rsidRPr="00A14990" w:rsidRDefault="00A052A0">
      <w:pPr>
        <w:rPr>
          <w:rFonts w:ascii="Arial" w:hAnsi="Arial" w:cs="Arial"/>
        </w:rPr>
      </w:pPr>
      <w:r>
        <w:rPr>
          <w:rFonts w:ascii="Arial" w:hAnsi="Arial" w:cs="Arial"/>
        </w:rPr>
        <w:t>This table shows that 14.77% respondents earn &lt;4000 taka, 15.91% respondents earn 4000-6000 taka, 20.45% respondents earn 6001-8000 taka, 06.82% respondents earn 8001-10,000 taka and 42.05% respondents earn &gt;10,000 taka.</w:t>
      </w:r>
    </w:p>
    <w:sectPr w:rsidR="00A052A0" w:rsidRPr="00A14990" w:rsidSect="00A1499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990"/>
    <w:rsid w:val="000B6FEF"/>
    <w:rsid w:val="00A052A0"/>
    <w:rsid w:val="00A1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YASHODA MISHRA</dc:creator>
  <cp:lastModifiedBy>YASHODA MISHRA</cp:lastModifiedBy>
  <cp:revision>1</cp:revision>
  <dcterms:created xsi:type="dcterms:W3CDTF">2016-11-12T06:22:00Z</dcterms:created>
  <dcterms:modified xsi:type="dcterms:W3CDTF">2016-11-12T06:36:00Z</dcterms:modified>
</cp:coreProperties>
</file>