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UTILITY ASSET &amp; FIELD OPERATIONS PLATFORM</w:t>
      </w:r>
    </w:p>
    <w:p>
      <w:pPr>
        <w:jc w:val="center"/>
      </w:pPr>
      <w:r>
        <w:rPr>
          <w:b/>
          <w:sz w:val="32"/>
        </w:rPr>
        <w:t>MVP Scope and Delivery Baseline</w:t>
      </w:r>
    </w:p>
    <w:p>
      <w:pPr>
        <w:jc w:val="center"/>
      </w:pPr>
      <w:r>
        <w:rPr>
          <w:sz w:val="20"/>
        </w:rPr>
        <w:t>September 2026</w:t>
      </w:r>
    </w:p>
    <w:p/>
    <w:p>
      <w:pPr>
        <w:pStyle w:val="Heading1"/>
      </w:pPr>
      <w:r>
        <w:t>1. MVP Objective</w:t>
      </w:r>
    </w:p>
    <w:p>
      <w:r>
        <w:t>The MVP should demonstrate the platform's core operational value through one complete, traceable asset-event-to-field-resolution workflow. The initial reference use case is an electrical asset, with the transformer workflow used as the primary example in the current requirements.</w:t>
      </w:r>
    </w:p>
    <w:p>
      <w:r>
        <w:t>The MVP should focus on proving the core platform foundation and end-to-end operational flow before expanding into the broader capabilities shown in the target-state architecture.</w:t>
      </w:r>
    </w:p>
    <w:p>
      <w:pPr>
        <w:pStyle w:val="Heading1"/>
      </w:pPr>
      <w:r>
        <w:t>2. MVP Scope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spacing w:after="0"/>
            </w:pPr>
            <w:r/>
            <w:r>
              <w:rPr>
                <w:rFonts w:ascii="Aptos" w:hAnsi="Aptos"/>
                <w:b/>
                <w:color w:val="FFFFFF"/>
                <w:sz w:val="18"/>
              </w:rPr>
              <w:t>MVP Area</w:t>
            </w:r>
          </w:p>
        </w:tc>
        <w:tc>
          <w:tcPr>
            <w:tcW w:type="dxa" w:w="3408"/>
            <w:vAlign w:val="center"/>
            <w:shd w:fill="1F4E78"/>
          </w:tcPr>
          <w:p>
            <w:pPr>
              <w:spacing w:after="0"/>
            </w:pPr>
            <w:r/>
            <w:r>
              <w:rPr>
                <w:rFonts w:ascii="Aptos" w:hAnsi="Aptos"/>
                <w:b/>
                <w:color w:val="FFFFFF"/>
                <w:sz w:val="18"/>
              </w:rPr>
              <w:t>Included</w:t>
            </w:r>
          </w:p>
        </w:tc>
        <w:tc>
          <w:tcPr>
            <w:tcW w:type="dxa" w:w="3408"/>
            <w:vAlign w:val="center"/>
            <w:shd w:fill="1F4E78"/>
          </w:tcPr>
          <w:p>
            <w:pPr>
              <w:spacing w:after="0"/>
            </w:pPr>
            <w:r/>
            <w:r>
              <w:rPr>
                <w:rFonts w:ascii="Aptos" w:hAnsi="Aptos"/>
                <w:b/>
                <w:color w:val="FFFFFF"/>
                <w:sz w:val="18"/>
              </w:rPr>
              <w:t>MVP Boundary</w:t>
            </w:r>
          </w:p>
        </w:tc>
      </w:tr>
      <w:tr>
        <w:tc>
          <w:tcPr>
            <w:tcW w:type="dxa" w:w="3408"/>
            <w:vAlign w:val="center"/>
          </w:tcPr>
          <w:p>
            <w:pPr>
              <w:spacing w:after="0"/>
            </w:pPr>
            <w:r/>
            <w:r>
              <w:rPr>
                <w:rFonts w:ascii="Aptos" w:hAnsi="Aptos"/>
                <w:b/>
                <w:sz w:val="18"/>
              </w:rPr>
              <w:t>Asset Management</w:t>
            </w:r>
          </w:p>
        </w:tc>
        <w:tc>
          <w:tcPr>
            <w:tcW w:type="dxa" w:w="3408"/>
            <w:vAlign w:val="center"/>
          </w:tcPr>
          <w:p>
            <w:pPr>
              <w:spacing w:after="0"/>
            </w:pPr>
            <w:r/>
            <w:r>
              <w:rPr>
                <w:rFonts w:ascii="Aptos" w:hAnsi="Aptos"/>
                <w:b w:val="0"/>
                <w:sz w:val="18"/>
              </w:rPr>
              <w:t>Yes</w:t>
            </w:r>
          </w:p>
        </w:tc>
        <w:tc>
          <w:tcPr>
            <w:tcW w:type="dxa" w:w="3408"/>
            <w:vAlign w:val="center"/>
          </w:tcPr>
          <w:p>
            <w:pPr>
              <w:spacing w:after="0"/>
            </w:pPr>
            <w:r/>
            <w:r>
              <w:rPr>
                <w:rFonts w:ascii="Aptos" w:hAnsi="Aptos"/>
                <w:b w:val="0"/>
                <w:sz w:val="18"/>
              </w:rPr>
              <w:t>Canonical asset record, transformer asset, basic hierarchy, status and asset history</w:t>
            </w:r>
          </w:p>
        </w:tc>
      </w:tr>
      <w:tr>
        <w:tc>
          <w:tcPr>
            <w:tcW w:type="dxa" w:w="3408"/>
            <w:vAlign w:val="center"/>
          </w:tcPr>
          <w:p>
            <w:pPr>
              <w:spacing w:after="0"/>
            </w:pPr>
            <w:r/>
            <w:r>
              <w:rPr>
                <w:rFonts w:ascii="Aptos" w:hAnsi="Aptos"/>
                <w:b/>
                <w:sz w:val="18"/>
              </w:rPr>
              <w:t>GIS / Location</w:t>
            </w:r>
          </w:p>
        </w:tc>
        <w:tc>
          <w:tcPr>
            <w:tcW w:type="dxa" w:w="3408"/>
            <w:vAlign w:val="center"/>
          </w:tcPr>
          <w:p>
            <w:pPr>
              <w:spacing w:after="0"/>
            </w:pPr>
            <w:r/>
            <w:r>
              <w:rPr>
                <w:rFonts w:ascii="Aptos" w:hAnsi="Aptos"/>
                <w:b w:val="0"/>
                <w:sz w:val="18"/>
              </w:rPr>
              <w:t>Yes</w:t>
            </w:r>
          </w:p>
        </w:tc>
        <w:tc>
          <w:tcPr>
            <w:tcW w:type="dxa" w:w="3408"/>
            <w:vAlign w:val="center"/>
          </w:tcPr>
          <w:p>
            <w:pPr>
              <w:spacing w:after="0"/>
            </w:pPr>
            <w:r/>
            <w:r>
              <w:rPr>
                <w:rFonts w:ascii="Aptos" w:hAnsi="Aptos"/>
                <w:b w:val="0"/>
                <w:sz w:val="18"/>
              </w:rPr>
              <w:t>Asset location, map display, asset search and location verification/freshness</w:t>
            </w:r>
          </w:p>
        </w:tc>
      </w:tr>
      <w:tr>
        <w:tc>
          <w:tcPr>
            <w:tcW w:type="dxa" w:w="3408"/>
            <w:vAlign w:val="center"/>
          </w:tcPr>
          <w:p>
            <w:pPr>
              <w:spacing w:after="0"/>
            </w:pPr>
            <w:r/>
            <w:r>
              <w:rPr>
                <w:rFonts w:ascii="Aptos" w:hAnsi="Aptos"/>
                <w:b/>
                <w:sz w:val="18"/>
              </w:rPr>
              <w:t>Integration</w:t>
            </w:r>
          </w:p>
        </w:tc>
        <w:tc>
          <w:tcPr>
            <w:tcW w:type="dxa" w:w="3408"/>
            <w:vAlign w:val="center"/>
          </w:tcPr>
          <w:p>
            <w:pPr>
              <w:spacing w:after="0"/>
            </w:pPr>
            <w:r/>
            <w:r>
              <w:rPr>
                <w:rFonts w:ascii="Aptos" w:hAnsi="Aptos"/>
                <w:b w:val="0"/>
                <w:sz w:val="18"/>
              </w:rPr>
              <w:t>Yes</w:t>
            </w:r>
          </w:p>
        </w:tc>
        <w:tc>
          <w:tcPr>
            <w:tcW w:type="dxa" w:w="3408"/>
            <w:vAlign w:val="center"/>
          </w:tcPr>
          <w:p>
            <w:pPr>
              <w:spacing w:after="0"/>
            </w:pPr>
            <w:r/>
            <w:r>
              <w:rPr>
                <w:rFonts w:ascii="Aptos" w:hAnsi="Aptos"/>
                <w:b w:val="0"/>
                <w:sz w:val="18"/>
              </w:rPr>
              <w:t>One initial SCADA/IED/event source through the integration gateway</w:t>
            </w:r>
          </w:p>
        </w:tc>
      </w:tr>
      <w:tr>
        <w:tc>
          <w:tcPr>
            <w:tcW w:type="dxa" w:w="3408"/>
            <w:vAlign w:val="center"/>
          </w:tcPr>
          <w:p>
            <w:pPr>
              <w:spacing w:after="0"/>
            </w:pPr>
            <w:r/>
            <w:r>
              <w:rPr>
                <w:rFonts w:ascii="Aptos" w:hAnsi="Aptos"/>
                <w:b/>
                <w:sz w:val="18"/>
              </w:rPr>
              <w:t>Event Processing</w:t>
            </w:r>
          </w:p>
        </w:tc>
        <w:tc>
          <w:tcPr>
            <w:tcW w:type="dxa" w:w="3408"/>
            <w:vAlign w:val="center"/>
          </w:tcPr>
          <w:p>
            <w:pPr>
              <w:spacing w:after="0"/>
            </w:pPr>
            <w:r/>
            <w:r>
              <w:rPr>
                <w:rFonts w:ascii="Aptos" w:hAnsi="Aptos"/>
                <w:b w:val="0"/>
                <w:sz w:val="18"/>
              </w:rPr>
              <w:t>Yes</w:t>
            </w:r>
          </w:p>
        </w:tc>
        <w:tc>
          <w:tcPr>
            <w:tcW w:type="dxa" w:w="3408"/>
            <w:vAlign w:val="center"/>
          </w:tcPr>
          <w:p>
            <w:pPr>
              <w:spacing w:after="0"/>
            </w:pPr>
            <w:r/>
            <w:r>
              <w:rPr>
                <w:rFonts w:ascii="Aptos" w:hAnsi="Aptos"/>
                <w:b w:val="0"/>
                <w:sz w:val="18"/>
              </w:rPr>
              <w:t>Receive, retain, normalize and validate the selected source event</w:t>
            </w:r>
          </w:p>
        </w:tc>
      </w:tr>
      <w:tr>
        <w:tc>
          <w:tcPr>
            <w:tcW w:type="dxa" w:w="3408"/>
            <w:vAlign w:val="center"/>
          </w:tcPr>
          <w:p>
            <w:pPr>
              <w:spacing w:after="0"/>
            </w:pPr>
            <w:r/>
            <w:r>
              <w:rPr>
                <w:rFonts w:ascii="Aptos" w:hAnsi="Aptos"/>
                <w:b/>
                <w:sz w:val="18"/>
              </w:rPr>
              <w:t>Asset Identity</w:t>
            </w:r>
          </w:p>
        </w:tc>
        <w:tc>
          <w:tcPr>
            <w:tcW w:type="dxa" w:w="3408"/>
            <w:vAlign w:val="center"/>
          </w:tcPr>
          <w:p>
            <w:pPr>
              <w:spacing w:after="0"/>
            </w:pPr>
            <w:r/>
            <w:r>
              <w:rPr>
                <w:rFonts w:ascii="Aptos" w:hAnsi="Aptos"/>
                <w:b w:val="0"/>
                <w:sz w:val="18"/>
              </w:rPr>
              <w:t>Yes</w:t>
            </w:r>
          </w:p>
        </w:tc>
        <w:tc>
          <w:tcPr>
            <w:tcW w:type="dxa" w:w="3408"/>
            <w:vAlign w:val="center"/>
          </w:tcPr>
          <w:p>
            <w:pPr>
              <w:spacing w:after="0"/>
            </w:pPr>
            <w:r/>
            <w:r>
              <w:rPr>
                <w:rFonts w:ascii="Aptos" w:hAnsi="Aptos"/>
                <w:b w:val="0"/>
                <w:sz w:val="18"/>
              </w:rPr>
              <w:t>Map source-system asset ID to the platform's canonical Asset ID</w:t>
            </w:r>
          </w:p>
        </w:tc>
      </w:tr>
      <w:tr>
        <w:tc>
          <w:tcPr>
            <w:tcW w:type="dxa" w:w="3408"/>
            <w:vAlign w:val="center"/>
          </w:tcPr>
          <w:p>
            <w:pPr>
              <w:spacing w:after="0"/>
            </w:pPr>
            <w:r/>
            <w:r>
              <w:rPr>
                <w:rFonts w:ascii="Aptos" w:hAnsi="Aptos"/>
                <w:b/>
                <w:sz w:val="18"/>
              </w:rPr>
              <w:t>Data Quality / Lineage</w:t>
            </w:r>
          </w:p>
        </w:tc>
        <w:tc>
          <w:tcPr>
            <w:tcW w:type="dxa" w:w="3408"/>
            <w:vAlign w:val="center"/>
          </w:tcPr>
          <w:p>
            <w:pPr>
              <w:spacing w:after="0"/>
            </w:pPr>
            <w:r/>
            <w:r>
              <w:rPr>
                <w:rFonts w:ascii="Aptos" w:hAnsi="Aptos"/>
                <w:b w:val="0"/>
                <w:sz w:val="18"/>
              </w:rPr>
              <w:t>Yes</w:t>
            </w:r>
          </w:p>
        </w:tc>
        <w:tc>
          <w:tcPr>
            <w:tcW w:type="dxa" w:w="3408"/>
            <w:vAlign w:val="center"/>
          </w:tcPr>
          <w:p>
            <w:pPr>
              <w:spacing w:after="0"/>
            </w:pPr>
            <w:r/>
            <w:r>
              <w:rPr>
                <w:rFonts w:ascii="Aptos" w:hAnsi="Aptos"/>
                <w:b w:val="0"/>
                <w:sz w:val="18"/>
              </w:rPr>
              <w:t>Source, timestamp, validation/status and basic traceability</w:t>
            </w:r>
          </w:p>
        </w:tc>
      </w:tr>
      <w:tr>
        <w:tc>
          <w:tcPr>
            <w:tcW w:type="dxa" w:w="3408"/>
            <w:vAlign w:val="center"/>
          </w:tcPr>
          <w:p>
            <w:pPr>
              <w:spacing w:after="0"/>
            </w:pPr>
            <w:r/>
            <w:r>
              <w:rPr>
                <w:rFonts w:ascii="Aptos" w:hAnsi="Aptos"/>
                <w:b/>
                <w:sz w:val="18"/>
              </w:rPr>
              <w:t>Alarm Management</w:t>
            </w:r>
          </w:p>
        </w:tc>
        <w:tc>
          <w:tcPr>
            <w:tcW w:type="dxa" w:w="3408"/>
            <w:vAlign w:val="center"/>
          </w:tcPr>
          <w:p>
            <w:pPr>
              <w:spacing w:after="0"/>
            </w:pPr>
            <w:r/>
            <w:r>
              <w:rPr>
                <w:rFonts w:ascii="Aptos" w:hAnsi="Aptos"/>
                <w:b w:val="0"/>
                <w:sz w:val="18"/>
              </w:rPr>
              <w:t>Yes</w:t>
            </w:r>
          </w:p>
        </w:tc>
        <w:tc>
          <w:tcPr>
            <w:tcW w:type="dxa" w:w="3408"/>
            <w:vAlign w:val="center"/>
          </w:tcPr>
          <w:p>
            <w:pPr>
              <w:spacing w:after="0"/>
            </w:pPr>
            <w:r/>
            <w:r>
              <w:rPr>
                <w:rFonts w:ascii="Aptos" w:hAnsi="Aptos"/>
                <w:b w:val="0"/>
                <w:sz w:val="18"/>
              </w:rPr>
              <w:t>Alarm creation, severity, acknowledgement and closure</w:t>
            </w:r>
          </w:p>
        </w:tc>
      </w:tr>
      <w:tr>
        <w:tc>
          <w:tcPr>
            <w:tcW w:type="dxa" w:w="3408"/>
            <w:vAlign w:val="center"/>
          </w:tcPr>
          <w:p>
            <w:pPr>
              <w:spacing w:after="0"/>
            </w:pPr>
            <w:r/>
            <w:r>
              <w:rPr>
                <w:rFonts w:ascii="Aptos" w:hAnsi="Aptos"/>
                <w:b/>
                <w:sz w:val="18"/>
              </w:rPr>
              <w:t>Incident Management</w:t>
            </w:r>
          </w:p>
        </w:tc>
        <w:tc>
          <w:tcPr>
            <w:tcW w:type="dxa" w:w="3408"/>
            <w:vAlign w:val="center"/>
          </w:tcPr>
          <w:p>
            <w:pPr>
              <w:spacing w:after="0"/>
            </w:pPr>
            <w:r/>
            <w:r>
              <w:rPr>
                <w:rFonts w:ascii="Aptos" w:hAnsi="Aptos"/>
                <w:b w:val="0"/>
                <w:sz w:val="18"/>
              </w:rPr>
              <w:t>Yes</w:t>
            </w:r>
          </w:p>
        </w:tc>
        <w:tc>
          <w:tcPr>
            <w:tcW w:type="dxa" w:w="3408"/>
            <w:vAlign w:val="center"/>
          </w:tcPr>
          <w:p>
            <w:pPr>
              <w:spacing w:after="0"/>
            </w:pPr>
            <w:r/>
            <w:r>
              <w:rPr>
                <w:rFonts w:ascii="Aptos" w:hAnsi="Aptos"/>
                <w:b w:val="0"/>
                <w:sz w:val="18"/>
              </w:rPr>
              <w:t>Incident creation, status, linkage to asset/alarm/work order and timeline</w:t>
            </w:r>
          </w:p>
        </w:tc>
      </w:tr>
      <w:tr>
        <w:tc>
          <w:tcPr>
            <w:tcW w:type="dxa" w:w="3408"/>
            <w:vAlign w:val="center"/>
          </w:tcPr>
          <w:p>
            <w:pPr>
              <w:spacing w:after="0"/>
            </w:pPr>
            <w:r/>
            <w:r>
              <w:rPr>
                <w:rFonts w:ascii="Aptos" w:hAnsi="Aptos"/>
                <w:b/>
                <w:sz w:val="18"/>
              </w:rPr>
              <w:t>Outage</w:t>
            </w:r>
          </w:p>
        </w:tc>
        <w:tc>
          <w:tcPr>
            <w:tcW w:type="dxa" w:w="3408"/>
            <w:vAlign w:val="center"/>
          </w:tcPr>
          <w:p>
            <w:pPr>
              <w:spacing w:after="0"/>
            </w:pPr>
            <w:r/>
            <w:r>
              <w:rPr>
                <w:rFonts w:ascii="Aptos" w:hAnsi="Aptos"/>
                <w:b w:val="0"/>
                <w:sz w:val="18"/>
              </w:rPr>
              <w:t>Limited</w:t>
            </w:r>
          </w:p>
        </w:tc>
        <w:tc>
          <w:tcPr>
            <w:tcW w:type="dxa" w:w="3408"/>
            <w:vAlign w:val="center"/>
          </w:tcPr>
          <w:p>
            <w:pPr>
              <w:spacing w:after="0"/>
            </w:pPr>
            <w:r/>
            <w:r>
              <w:rPr>
                <w:rFonts w:ascii="Aptos" w:hAnsi="Aptos"/>
                <w:b w:val="0"/>
                <w:sz w:val="18"/>
              </w:rPr>
              <w:t>Basic outage/impact context where reliable data is available; not full OMS replacement</w:t>
            </w:r>
          </w:p>
        </w:tc>
      </w:tr>
      <w:tr>
        <w:tc>
          <w:tcPr>
            <w:tcW w:type="dxa" w:w="3408"/>
            <w:vAlign w:val="center"/>
          </w:tcPr>
          <w:p>
            <w:pPr>
              <w:spacing w:after="0"/>
            </w:pPr>
            <w:r/>
            <w:r>
              <w:rPr>
                <w:rFonts w:ascii="Aptos" w:hAnsi="Aptos"/>
                <w:b/>
                <w:sz w:val="18"/>
              </w:rPr>
              <w:t>Work Management</w:t>
            </w:r>
          </w:p>
        </w:tc>
        <w:tc>
          <w:tcPr>
            <w:tcW w:type="dxa" w:w="3408"/>
            <w:vAlign w:val="center"/>
          </w:tcPr>
          <w:p>
            <w:pPr>
              <w:spacing w:after="0"/>
            </w:pPr>
            <w:r/>
            <w:r>
              <w:rPr>
                <w:rFonts w:ascii="Aptos" w:hAnsi="Aptos"/>
                <w:b w:val="0"/>
                <w:sz w:val="18"/>
              </w:rPr>
              <w:t>Yes</w:t>
            </w:r>
          </w:p>
        </w:tc>
        <w:tc>
          <w:tcPr>
            <w:tcW w:type="dxa" w:w="3408"/>
            <w:vAlign w:val="center"/>
          </w:tcPr>
          <w:p>
            <w:pPr>
              <w:spacing w:after="0"/>
            </w:pPr>
            <w:r/>
            <w:r>
              <w:rPr>
                <w:rFonts w:ascii="Aptos" w:hAnsi="Aptos"/>
                <w:b w:val="0"/>
                <w:sz w:val="18"/>
              </w:rPr>
              <w:t>Create, assign, track and complete the work order</w:t>
            </w:r>
          </w:p>
        </w:tc>
      </w:tr>
      <w:tr>
        <w:tc>
          <w:tcPr>
            <w:tcW w:type="dxa" w:w="3408"/>
            <w:vAlign w:val="center"/>
          </w:tcPr>
          <w:p>
            <w:pPr>
              <w:spacing w:after="0"/>
            </w:pPr>
            <w:r/>
            <w:r>
              <w:rPr>
                <w:rFonts w:ascii="Aptos" w:hAnsi="Aptos"/>
                <w:b/>
                <w:sz w:val="18"/>
              </w:rPr>
              <w:t>Dispatch</w:t>
            </w:r>
          </w:p>
        </w:tc>
        <w:tc>
          <w:tcPr>
            <w:tcW w:type="dxa" w:w="3408"/>
            <w:vAlign w:val="center"/>
          </w:tcPr>
          <w:p>
            <w:pPr>
              <w:spacing w:after="0"/>
            </w:pPr>
            <w:r/>
            <w:r>
              <w:rPr>
                <w:rFonts w:ascii="Aptos" w:hAnsi="Aptos"/>
                <w:b w:val="0"/>
                <w:sz w:val="18"/>
              </w:rPr>
              <w:t>Yes</w:t>
            </w:r>
          </w:p>
        </w:tc>
        <w:tc>
          <w:tcPr>
            <w:tcW w:type="dxa" w:w="3408"/>
            <w:vAlign w:val="center"/>
          </w:tcPr>
          <w:p>
            <w:pPr>
              <w:spacing w:after="0"/>
            </w:pPr>
            <w:r/>
            <w:r>
              <w:rPr>
                <w:rFonts w:ascii="Aptos" w:hAnsi="Aptos"/>
                <w:b w:val="0"/>
                <w:sz w:val="18"/>
              </w:rPr>
              <w:t>Basic crew availability, qualification and assignment</w:t>
            </w:r>
          </w:p>
        </w:tc>
      </w:tr>
      <w:tr>
        <w:tc>
          <w:tcPr>
            <w:tcW w:type="dxa" w:w="3408"/>
            <w:vAlign w:val="center"/>
          </w:tcPr>
          <w:p>
            <w:pPr>
              <w:spacing w:after="0"/>
            </w:pPr>
            <w:r/>
            <w:r>
              <w:rPr>
                <w:rFonts w:ascii="Aptos" w:hAnsi="Aptos"/>
                <w:b/>
                <w:sz w:val="18"/>
              </w:rPr>
              <w:t>Field Mobile</w:t>
            </w:r>
          </w:p>
        </w:tc>
        <w:tc>
          <w:tcPr>
            <w:tcW w:type="dxa" w:w="3408"/>
            <w:vAlign w:val="center"/>
          </w:tcPr>
          <w:p>
            <w:pPr>
              <w:spacing w:after="0"/>
            </w:pPr>
            <w:r/>
            <w:r>
              <w:rPr>
                <w:rFonts w:ascii="Aptos" w:hAnsi="Aptos"/>
                <w:b w:val="0"/>
                <w:sz w:val="18"/>
              </w:rPr>
              <w:t>Yes</w:t>
            </w:r>
          </w:p>
        </w:tc>
        <w:tc>
          <w:tcPr>
            <w:tcW w:type="dxa" w:w="3408"/>
            <w:vAlign w:val="center"/>
          </w:tcPr>
          <w:p>
            <w:pPr>
              <w:spacing w:after="0"/>
            </w:pPr>
            <w:r/>
            <w:r>
              <w:rPr>
                <w:rFonts w:ascii="Aptos" w:hAnsi="Aptos"/>
                <w:b w:val="0"/>
                <w:sz w:val="18"/>
              </w:rPr>
              <w:t>Assigned work, asset/location, safety, inspection, photos/readings and completion</w:t>
            </w:r>
          </w:p>
        </w:tc>
      </w:tr>
      <w:tr>
        <w:tc>
          <w:tcPr>
            <w:tcW w:type="dxa" w:w="3408"/>
            <w:vAlign w:val="center"/>
          </w:tcPr>
          <w:p>
            <w:pPr>
              <w:spacing w:after="0"/>
            </w:pPr>
            <w:r/>
            <w:r>
              <w:rPr>
                <w:rFonts w:ascii="Aptos" w:hAnsi="Aptos"/>
                <w:b/>
                <w:sz w:val="18"/>
              </w:rPr>
              <w:t>Offline Field</w:t>
            </w:r>
          </w:p>
        </w:tc>
        <w:tc>
          <w:tcPr>
            <w:tcW w:type="dxa" w:w="3408"/>
            <w:vAlign w:val="center"/>
          </w:tcPr>
          <w:p>
            <w:pPr>
              <w:spacing w:after="0"/>
            </w:pPr>
            <w:r/>
            <w:r>
              <w:rPr>
                <w:rFonts w:ascii="Aptos" w:hAnsi="Aptos"/>
                <w:b w:val="0"/>
                <w:sz w:val="18"/>
              </w:rPr>
              <w:t>Limited</w:t>
            </w:r>
          </w:p>
        </w:tc>
        <w:tc>
          <w:tcPr>
            <w:tcW w:type="dxa" w:w="3408"/>
            <w:vAlign w:val="center"/>
          </w:tcPr>
          <w:p>
            <w:pPr>
              <w:spacing w:after="0"/>
            </w:pPr>
            <w:r/>
            <w:r>
              <w:rPr>
                <w:rFonts w:ascii="Aptos" w:hAnsi="Aptos"/>
                <w:b w:val="0"/>
                <w:sz w:val="18"/>
              </w:rPr>
              <w:t>Essential assigned-work caching and synchronization, if included in release</w:t>
            </w:r>
          </w:p>
        </w:tc>
      </w:tr>
      <w:tr>
        <w:tc>
          <w:tcPr>
            <w:tcW w:type="dxa" w:w="3408"/>
            <w:vAlign w:val="center"/>
          </w:tcPr>
          <w:p>
            <w:pPr>
              <w:spacing w:after="0"/>
            </w:pPr>
            <w:r/>
            <w:r>
              <w:rPr>
                <w:rFonts w:ascii="Aptos" w:hAnsi="Aptos"/>
                <w:b/>
                <w:sz w:val="18"/>
              </w:rPr>
              <w:t>Notifications</w:t>
            </w:r>
          </w:p>
        </w:tc>
        <w:tc>
          <w:tcPr>
            <w:tcW w:type="dxa" w:w="3408"/>
            <w:vAlign w:val="center"/>
          </w:tcPr>
          <w:p>
            <w:pPr>
              <w:spacing w:after="0"/>
            </w:pPr>
            <w:r/>
            <w:r>
              <w:rPr>
                <w:rFonts w:ascii="Aptos" w:hAnsi="Aptos"/>
                <w:b w:val="0"/>
                <w:sz w:val="18"/>
              </w:rPr>
              <w:t>Limited</w:t>
            </w:r>
          </w:p>
        </w:tc>
        <w:tc>
          <w:tcPr>
            <w:tcW w:type="dxa" w:w="3408"/>
            <w:vAlign w:val="center"/>
          </w:tcPr>
          <w:p>
            <w:pPr>
              <w:spacing w:after="0"/>
            </w:pPr>
            <w:r/>
            <w:r>
              <w:rPr>
                <w:rFonts w:ascii="Aptos" w:hAnsi="Aptos"/>
                <w:b w:val="0"/>
                <w:sz w:val="18"/>
              </w:rPr>
              <w:t>Critical operational notifications</w:t>
            </w:r>
          </w:p>
        </w:tc>
      </w:tr>
      <w:tr>
        <w:tc>
          <w:tcPr>
            <w:tcW w:type="dxa" w:w="3408"/>
            <w:vAlign w:val="center"/>
          </w:tcPr>
          <w:p>
            <w:pPr>
              <w:spacing w:after="0"/>
            </w:pPr>
            <w:r/>
            <w:r>
              <w:rPr>
                <w:rFonts w:ascii="Aptos" w:hAnsi="Aptos"/>
                <w:b/>
                <w:sz w:val="18"/>
              </w:rPr>
              <w:t>Inventory / Parts</w:t>
            </w:r>
          </w:p>
        </w:tc>
        <w:tc>
          <w:tcPr>
            <w:tcW w:type="dxa" w:w="3408"/>
            <w:vAlign w:val="center"/>
          </w:tcPr>
          <w:p>
            <w:pPr>
              <w:spacing w:after="0"/>
            </w:pPr>
            <w:r/>
            <w:r>
              <w:rPr>
                <w:rFonts w:ascii="Aptos" w:hAnsi="Aptos"/>
                <w:b w:val="0"/>
                <w:sz w:val="18"/>
              </w:rPr>
              <w:t>Limited</w:t>
            </w:r>
          </w:p>
        </w:tc>
        <w:tc>
          <w:tcPr>
            <w:tcW w:type="dxa" w:w="3408"/>
            <w:vAlign w:val="center"/>
          </w:tcPr>
          <w:p>
            <w:pPr>
              <w:spacing w:after="0"/>
            </w:pPr>
            <w:r/>
            <w:r>
              <w:rPr>
                <w:rFonts w:ascii="Aptos" w:hAnsi="Aptos"/>
                <w:b w:val="0"/>
                <w:sz w:val="18"/>
              </w:rPr>
              <w:t>Record/request parts used; defer full inventory/procurement</w:t>
            </w:r>
          </w:p>
        </w:tc>
      </w:tr>
      <w:tr>
        <w:tc>
          <w:tcPr>
            <w:tcW w:type="dxa" w:w="3408"/>
            <w:vAlign w:val="center"/>
          </w:tcPr>
          <w:p>
            <w:pPr>
              <w:spacing w:after="0"/>
            </w:pPr>
            <w:r/>
            <w:r>
              <w:rPr>
                <w:rFonts w:ascii="Aptos" w:hAnsi="Aptos"/>
                <w:b/>
                <w:sz w:val="18"/>
              </w:rPr>
              <w:t>Audit</w:t>
            </w:r>
          </w:p>
        </w:tc>
        <w:tc>
          <w:tcPr>
            <w:tcW w:type="dxa" w:w="3408"/>
            <w:vAlign w:val="center"/>
          </w:tcPr>
          <w:p>
            <w:pPr>
              <w:spacing w:after="0"/>
            </w:pPr>
            <w:r/>
            <w:r>
              <w:rPr>
                <w:rFonts w:ascii="Aptos" w:hAnsi="Aptos"/>
                <w:b w:val="0"/>
                <w:sz w:val="18"/>
              </w:rPr>
              <w:t>Yes</w:t>
            </w:r>
          </w:p>
        </w:tc>
        <w:tc>
          <w:tcPr>
            <w:tcW w:type="dxa" w:w="3408"/>
            <w:vAlign w:val="center"/>
          </w:tcPr>
          <w:p>
            <w:pPr>
              <w:spacing w:after="0"/>
            </w:pPr>
            <w:r/>
            <w:r>
              <w:rPr>
                <w:rFonts w:ascii="Aptos" w:hAnsi="Aptos"/>
                <w:b w:val="0"/>
                <w:sz w:val="18"/>
              </w:rPr>
              <w:t>Operationally significant user/system actions</w:t>
            </w:r>
          </w:p>
        </w:tc>
      </w:tr>
    </w:tbl>
    <w:p>
      <w:pPr>
        <w:pStyle w:val="Heading1"/>
      </w:pPr>
      <w:r>
        <w:t>3. MVP End-to-End Workflow</w:t>
      </w:r>
    </w:p>
    <w:p>
      <w:r>
        <w:t>The MVP should be demonstrated using the following single operational path:</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1F4E78"/>
          </w:tcPr>
          <w:p>
            <w:pPr>
              <w:spacing w:after="0"/>
            </w:pPr>
            <w:r/>
            <w:r>
              <w:rPr>
                <w:rFonts w:ascii="Aptos" w:hAnsi="Aptos"/>
                <w:b/>
                <w:color w:val="FFFFFF"/>
                <w:sz w:val="18"/>
              </w:rPr>
              <w:t>Step</w:t>
            </w:r>
          </w:p>
        </w:tc>
        <w:tc>
          <w:tcPr>
            <w:tcW w:type="dxa" w:w="3408"/>
            <w:vAlign w:val="center"/>
            <w:shd w:fill="1F4E78"/>
          </w:tcPr>
          <w:p>
            <w:pPr>
              <w:spacing w:after="0"/>
            </w:pPr>
            <w:r/>
            <w:r>
              <w:rPr>
                <w:rFonts w:ascii="Aptos" w:hAnsi="Aptos"/>
                <w:b/>
                <w:color w:val="FFFFFF"/>
                <w:sz w:val="18"/>
              </w:rPr>
              <w:t>Activity</w:t>
            </w:r>
          </w:p>
        </w:tc>
        <w:tc>
          <w:tcPr>
            <w:tcW w:type="dxa" w:w="3408"/>
            <w:vAlign w:val="center"/>
            <w:shd w:fill="1F4E78"/>
          </w:tcPr>
          <w:p>
            <w:pPr>
              <w:spacing w:after="0"/>
            </w:pPr>
            <w:r/>
            <w:r>
              <w:rPr>
                <w:rFonts w:ascii="Aptos" w:hAnsi="Aptos"/>
                <w:b/>
                <w:color w:val="FFFFFF"/>
                <w:sz w:val="18"/>
              </w:rPr>
              <w:t>MVP Behavior</w:t>
            </w:r>
          </w:p>
        </w:tc>
      </w:tr>
      <w:tr>
        <w:tc>
          <w:tcPr>
            <w:tcW w:type="dxa" w:w="3408"/>
            <w:vAlign w:val="center"/>
          </w:tcPr>
          <w:p>
            <w:pPr>
              <w:spacing w:after="0"/>
            </w:pPr>
            <w:r/>
            <w:r>
              <w:rPr>
                <w:rFonts w:ascii="Aptos" w:hAnsi="Aptos"/>
                <w:b/>
                <w:sz w:val="18"/>
              </w:rPr>
              <w:t>1</w:t>
            </w:r>
          </w:p>
        </w:tc>
        <w:tc>
          <w:tcPr>
            <w:tcW w:type="dxa" w:w="3408"/>
            <w:vAlign w:val="center"/>
          </w:tcPr>
          <w:p>
            <w:pPr>
              <w:spacing w:after="0"/>
            </w:pPr>
            <w:r/>
            <w:r>
              <w:rPr>
                <w:rFonts w:ascii="Aptos" w:hAnsi="Aptos"/>
                <w:b w:val="0"/>
                <w:sz w:val="18"/>
              </w:rPr>
              <w:t>Event detected</w:t>
            </w:r>
          </w:p>
        </w:tc>
        <w:tc>
          <w:tcPr>
            <w:tcW w:type="dxa" w:w="3408"/>
            <w:vAlign w:val="center"/>
          </w:tcPr>
          <w:p>
            <w:pPr>
              <w:spacing w:after="0"/>
            </w:pPr>
            <w:r/>
            <w:r>
              <w:rPr>
                <w:rFonts w:ascii="Aptos" w:hAnsi="Aptos"/>
                <w:b w:val="0"/>
                <w:sz w:val="18"/>
              </w:rPr>
              <w:t>An abnormal transformer/electrical asset event is generated by the selected source.</w:t>
            </w:r>
          </w:p>
        </w:tc>
      </w:tr>
      <w:tr>
        <w:tc>
          <w:tcPr>
            <w:tcW w:type="dxa" w:w="3408"/>
            <w:vAlign w:val="center"/>
          </w:tcPr>
          <w:p>
            <w:pPr>
              <w:spacing w:after="0"/>
            </w:pPr>
            <w:r/>
            <w:r>
              <w:rPr>
                <w:rFonts w:ascii="Aptos" w:hAnsi="Aptos"/>
                <w:b/>
                <w:sz w:val="18"/>
              </w:rPr>
              <w:t>2</w:t>
            </w:r>
          </w:p>
        </w:tc>
        <w:tc>
          <w:tcPr>
            <w:tcW w:type="dxa" w:w="3408"/>
            <w:vAlign w:val="center"/>
          </w:tcPr>
          <w:p>
            <w:pPr>
              <w:spacing w:after="0"/>
            </w:pPr>
            <w:r/>
            <w:r>
              <w:rPr>
                <w:rFonts w:ascii="Aptos" w:hAnsi="Aptos"/>
                <w:b w:val="0"/>
                <w:sz w:val="18"/>
              </w:rPr>
              <w:t>Event received</w:t>
            </w:r>
          </w:p>
        </w:tc>
        <w:tc>
          <w:tcPr>
            <w:tcW w:type="dxa" w:w="3408"/>
            <w:vAlign w:val="center"/>
          </w:tcPr>
          <w:p>
            <w:pPr>
              <w:spacing w:after="0"/>
            </w:pPr>
            <w:r/>
            <w:r>
              <w:rPr>
                <w:rFonts w:ascii="Aptos" w:hAnsi="Aptos"/>
                <w:b w:val="0"/>
                <w:sz w:val="18"/>
              </w:rPr>
              <w:t>The Integration Gateway receives the event and retains the original source payload.</w:t>
            </w:r>
          </w:p>
        </w:tc>
      </w:tr>
      <w:tr>
        <w:tc>
          <w:tcPr>
            <w:tcW w:type="dxa" w:w="3408"/>
            <w:vAlign w:val="center"/>
          </w:tcPr>
          <w:p>
            <w:pPr>
              <w:spacing w:after="0"/>
            </w:pPr>
            <w:r/>
            <w:r>
              <w:rPr>
                <w:rFonts w:ascii="Aptos" w:hAnsi="Aptos"/>
                <w:b/>
                <w:sz w:val="18"/>
              </w:rPr>
              <w:t>3</w:t>
            </w:r>
          </w:p>
        </w:tc>
        <w:tc>
          <w:tcPr>
            <w:tcW w:type="dxa" w:w="3408"/>
            <w:vAlign w:val="center"/>
          </w:tcPr>
          <w:p>
            <w:pPr>
              <w:spacing w:after="0"/>
            </w:pPr>
            <w:r/>
            <w:r>
              <w:rPr>
                <w:rFonts w:ascii="Aptos" w:hAnsi="Aptos"/>
                <w:b w:val="0"/>
                <w:sz w:val="18"/>
              </w:rPr>
              <w:t>Asset identified</w:t>
            </w:r>
          </w:p>
        </w:tc>
        <w:tc>
          <w:tcPr>
            <w:tcW w:type="dxa" w:w="3408"/>
            <w:vAlign w:val="center"/>
          </w:tcPr>
          <w:p>
            <w:pPr>
              <w:spacing w:after="0"/>
            </w:pPr>
            <w:r/>
            <w:r>
              <w:rPr>
                <w:rFonts w:ascii="Aptos" w:hAnsi="Aptos"/>
                <w:b w:val="0"/>
                <w:sz w:val="18"/>
              </w:rPr>
              <w:t>The source asset identifier is mapped to the canonical Asset ID.</w:t>
            </w:r>
          </w:p>
        </w:tc>
      </w:tr>
      <w:tr>
        <w:tc>
          <w:tcPr>
            <w:tcW w:type="dxa" w:w="3408"/>
            <w:vAlign w:val="center"/>
          </w:tcPr>
          <w:p>
            <w:pPr>
              <w:spacing w:after="0"/>
            </w:pPr>
            <w:r/>
            <w:r>
              <w:rPr>
                <w:rFonts w:ascii="Aptos" w:hAnsi="Aptos"/>
                <w:b/>
                <w:sz w:val="18"/>
              </w:rPr>
              <w:t>4</w:t>
            </w:r>
          </w:p>
        </w:tc>
        <w:tc>
          <w:tcPr>
            <w:tcW w:type="dxa" w:w="3408"/>
            <w:vAlign w:val="center"/>
          </w:tcPr>
          <w:p>
            <w:pPr>
              <w:spacing w:after="0"/>
            </w:pPr>
            <w:r/>
            <w:r>
              <w:rPr>
                <w:rFonts w:ascii="Aptos" w:hAnsi="Aptos"/>
                <w:b w:val="0"/>
                <w:sz w:val="18"/>
              </w:rPr>
              <w:t>Asset located</w:t>
            </w:r>
          </w:p>
        </w:tc>
        <w:tc>
          <w:tcPr>
            <w:tcW w:type="dxa" w:w="3408"/>
            <w:vAlign w:val="center"/>
          </w:tcPr>
          <w:p>
            <w:pPr>
              <w:spacing w:after="0"/>
            </w:pPr>
            <w:r/>
            <w:r>
              <w:rPr>
                <w:rFonts w:ascii="Aptos" w:hAnsi="Aptos"/>
                <w:b w:val="0"/>
                <w:sz w:val="18"/>
              </w:rPr>
              <w:t>The platform retrieves the asset's verified/last-known GIS location and displays it on the map.</w:t>
            </w:r>
          </w:p>
        </w:tc>
      </w:tr>
      <w:tr>
        <w:tc>
          <w:tcPr>
            <w:tcW w:type="dxa" w:w="3408"/>
            <w:vAlign w:val="center"/>
          </w:tcPr>
          <w:p>
            <w:pPr>
              <w:spacing w:after="0"/>
            </w:pPr>
            <w:r/>
            <w:r>
              <w:rPr>
                <w:rFonts w:ascii="Aptos" w:hAnsi="Aptos"/>
                <w:b/>
                <w:sz w:val="18"/>
              </w:rPr>
              <w:t>5</w:t>
            </w:r>
          </w:p>
        </w:tc>
        <w:tc>
          <w:tcPr>
            <w:tcW w:type="dxa" w:w="3408"/>
            <w:vAlign w:val="center"/>
          </w:tcPr>
          <w:p>
            <w:pPr>
              <w:spacing w:after="0"/>
            </w:pPr>
            <w:r/>
            <w:r>
              <w:rPr>
                <w:rFonts w:ascii="Aptos" w:hAnsi="Aptos"/>
                <w:b w:val="0"/>
                <w:sz w:val="18"/>
              </w:rPr>
              <w:t>Alarm created</w:t>
            </w:r>
          </w:p>
        </w:tc>
        <w:tc>
          <w:tcPr>
            <w:tcW w:type="dxa" w:w="3408"/>
            <w:vAlign w:val="center"/>
          </w:tcPr>
          <w:p>
            <w:pPr>
              <w:spacing w:after="0"/>
            </w:pPr>
            <w:r/>
            <w:r>
              <w:rPr>
                <w:rFonts w:ascii="Aptos" w:hAnsi="Aptos"/>
                <w:b w:val="0"/>
                <w:sz w:val="18"/>
              </w:rPr>
              <w:t>The event is classified and an alarm is created using configured severity rules.</w:t>
            </w:r>
          </w:p>
        </w:tc>
      </w:tr>
      <w:tr>
        <w:tc>
          <w:tcPr>
            <w:tcW w:type="dxa" w:w="3408"/>
            <w:vAlign w:val="center"/>
          </w:tcPr>
          <w:p>
            <w:pPr>
              <w:spacing w:after="0"/>
            </w:pPr>
            <w:r/>
            <w:r>
              <w:rPr>
                <w:rFonts w:ascii="Aptos" w:hAnsi="Aptos"/>
                <w:b/>
                <w:sz w:val="18"/>
              </w:rPr>
              <w:t>6</w:t>
            </w:r>
          </w:p>
        </w:tc>
        <w:tc>
          <w:tcPr>
            <w:tcW w:type="dxa" w:w="3408"/>
            <w:vAlign w:val="center"/>
          </w:tcPr>
          <w:p>
            <w:pPr>
              <w:spacing w:after="0"/>
            </w:pPr>
            <w:r/>
            <w:r>
              <w:rPr>
                <w:rFonts w:ascii="Aptos" w:hAnsi="Aptos"/>
                <w:b w:val="0"/>
                <w:sz w:val="18"/>
              </w:rPr>
              <w:t>Incident created</w:t>
            </w:r>
          </w:p>
        </w:tc>
        <w:tc>
          <w:tcPr>
            <w:tcW w:type="dxa" w:w="3408"/>
            <w:vAlign w:val="center"/>
          </w:tcPr>
          <w:p>
            <w:pPr>
              <w:spacing w:after="0"/>
            </w:pPr>
            <w:r/>
            <w:r>
              <w:rPr>
                <w:rFonts w:ascii="Aptos" w:hAnsi="Aptos"/>
                <w:b w:val="0"/>
                <w:sz w:val="18"/>
              </w:rPr>
              <w:t>An incident is created and linked to the asset and alarm when business rules are met.</w:t>
            </w:r>
          </w:p>
        </w:tc>
      </w:tr>
      <w:tr>
        <w:tc>
          <w:tcPr>
            <w:tcW w:type="dxa" w:w="3408"/>
            <w:vAlign w:val="center"/>
          </w:tcPr>
          <w:p>
            <w:pPr>
              <w:spacing w:after="0"/>
            </w:pPr>
            <w:r/>
            <w:r>
              <w:rPr>
                <w:rFonts w:ascii="Aptos" w:hAnsi="Aptos"/>
                <w:b/>
                <w:sz w:val="18"/>
              </w:rPr>
              <w:t>7</w:t>
            </w:r>
          </w:p>
        </w:tc>
        <w:tc>
          <w:tcPr>
            <w:tcW w:type="dxa" w:w="3408"/>
            <w:vAlign w:val="center"/>
          </w:tcPr>
          <w:p>
            <w:pPr>
              <w:spacing w:after="0"/>
            </w:pPr>
            <w:r/>
            <w:r>
              <w:rPr>
                <w:rFonts w:ascii="Aptos" w:hAnsi="Aptos"/>
                <w:b w:val="0"/>
                <w:sz w:val="18"/>
              </w:rPr>
              <w:t>Work order created</w:t>
            </w:r>
          </w:p>
        </w:tc>
        <w:tc>
          <w:tcPr>
            <w:tcW w:type="dxa" w:w="3408"/>
            <w:vAlign w:val="center"/>
          </w:tcPr>
          <w:p>
            <w:pPr>
              <w:spacing w:after="0"/>
            </w:pPr>
            <w:r/>
            <w:r>
              <w:rPr>
                <w:rFonts w:ascii="Aptos" w:hAnsi="Aptos"/>
                <w:b w:val="0"/>
                <w:sz w:val="18"/>
              </w:rPr>
              <w:t>An emergency/corrective work order is created or entered by an authorized user.</w:t>
            </w:r>
          </w:p>
        </w:tc>
      </w:tr>
      <w:tr>
        <w:tc>
          <w:tcPr>
            <w:tcW w:type="dxa" w:w="3408"/>
            <w:vAlign w:val="center"/>
          </w:tcPr>
          <w:p>
            <w:pPr>
              <w:spacing w:after="0"/>
            </w:pPr>
            <w:r/>
            <w:r>
              <w:rPr>
                <w:rFonts w:ascii="Aptos" w:hAnsi="Aptos"/>
                <w:b/>
                <w:sz w:val="18"/>
              </w:rPr>
              <w:t>8</w:t>
            </w:r>
          </w:p>
        </w:tc>
        <w:tc>
          <w:tcPr>
            <w:tcW w:type="dxa" w:w="3408"/>
            <w:vAlign w:val="center"/>
          </w:tcPr>
          <w:p>
            <w:pPr>
              <w:spacing w:after="0"/>
            </w:pPr>
            <w:r/>
            <w:r>
              <w:rPr>
                <w:rFonts w:ascii="Aptos" w:hAnsi="Aptos"/>
                <w:b w:val="0"/>
                <w:sz w:val="18"/>
              </w:rPr>
              <w:t>Crew assigned</w:t>
            </w:r>
          </w:p>
        </w:tc>
        <w:tc>
          <w:tcPr>
            <w:tcW w:type="dxa" w:w="3408"/>
            <w:vAlign w:val="center"/>
          </w:tcPr>
          <w:p>
            <w:pPr>
              <w:spacing w:after="0"/>
            </w:pPr>
            <w:r/>
            <w:r>
              <w:rPr>
                <w:rFonts w:ascii="Aptos" w:hAnsi="Aptos"/>
                <w:b w:val="0"/>
                <w:sz w:val="18"/>
              </w:rPr>
              <w:t>The dispatcher assigns an appropriately qualified and available crew.</w:t>
            </w:r>
          </w:p>
        </w:tc>
      </w:tr>
      <w:tr>
        <w:tc>
          <w:tcPr>
            <w:tcW w:type="dxa" w:w="3408"/>
            <w:vAlign w:val="center"/>
          </w:tcPr>
          <w:p>
            <w:pPr>
              <w:spacing w:after="0"/>
            </w:pPr>
            <w:r/>
            <w:r>
              <w:rPr>
                <w:rFonts w:ascii="Aptos" w:hAnsi="Aptos"/>
                <w:b/>
                <w:sz w:val="18"/>
              </w:rPr>
              <w:t>9</w:t>
            </w:r>
          </w:p>
        </w:tc>
        <w:tc>
          <w:tcPr>
            <w:tcW w:type="dxa" w:w="3408"/>
            <w:vAlign w:val="center"/>
          </w:tcPr>
          <w:p>
            <w:pPr>
              <w:spacing w:after="0"/>
            </w:pPr>
            <w:r/>
            <w:r>
              <w:rPr>
                <w:rFonts w:ascii="Aptos" w:hAnsi="Aptos"/>
                <w:b w:val="0"/>
                <w:sz w:val="18"/>
              </w:rPr>
              <w:t>Field work performed</w:t>
            </w:r>
          </w:p>
        </w:tc>
        <w:tc>
          <w:tcPr>
            <w:tcW w:type="dxa" w:w="3408"/>
            <w:vAlign w:val="center"/>
          </w:tcPr>
          <w:p>
            <w:pPr>
              <w:spacing w:after="0"/>
            </w:pPr>
            <w:r/>
            <w:r>
              <w:rPr>
                <w:rFonts w:ascii="Aptos" w:hAnsi="Aptos"/>
                <w:b w:val="0"/>
                <w:sz w:val="18"/>
              </w:rPr>
              <w:t>The technician receives the work package, completes safety steps, inspects/repairs the asset and captures evidence.</w:t>
            </w:r>
          </w:p>
        </w:tc>
      </w:tr>
      <w:tr>
        <w:tc>
          <w:tcPr>
            <w:tcW w:type="dxa" w:w="3408"/>
            <w:vAlign w:val="center"/>
          </w:tcPr>
          <w:p>
            <w:pPr>
              <w:spacing w:after="0"/>
            </w:pPr>
            <w:r/>
            <w:r>
              <w:rPr>
                <w:rFonts w:ascii="Aptos" w:hAnsi="Aptos"/>
                <w:b/>
                <w:sz w:val="18"/>
              </w:rPr>
              <w:t>10</w:t>
            </w:r>
          </w:p>
        </w:tc>
        <w:tc>
          <w:tcPr>
            <w:tcW w:type="dxa" w:w="3408"/>
            <w:vAlign w:val="center"/>
          </w:tcPr>
          <w:p>
            <w:pPr>
              <w:spacing w:after="0"/>
            </w:pPr>
            <w:r/>
            <w:r>
              <w:rPr>
                <w:rFonts w:ascii="Aptos" w:hAnsi="Aptos"/>
                <w:b w:val="0"/>
                <w:sz w:val="18"/>
              </w:rPr>
              <w:t>Restoration recorded</w:t>
            </w:r>
          </w:p>
        </w:tc>
        <w:tc>
          <w:tcPr>
            <w:tcW w:type="dxa" w:w="3408"/>
            <w:vAlign w:val="center"/>
          </w:tcPr>
          <w:p>
            <w:pPr>
              <w:spacing w:after="0"/>
            </w:pPr>
            <w:r/>
            <w:r>
              <w:rPr>
                <w:rFonts w:ascii="Aptos" w:hAnsi="Aptos"/>
                <w:b w:val="0"/>
                <w:sz w:val="18"/>
              </w:rPr>
              <w:t>The technician records completion/restoration information.</w:t>
            </w:r>
          </w:p>
        </w:tc>
      </w:tr>
      <w:tr>
        <w:tc>
          <w:tcPr>
            <w:tcW w:type="dxa" w:w="3408"/>
            <w:vAlign w:val="center"/>
          </w:tcPr>
          <w:p>
            <w:pPr>
              <w:spacing w:after="0"/>
            </w:pPr>
            <w:r/>
            <w:r>
              <w:rPr>
                <w:rFonts w:ascii="Aptos" w:hAnsi="Aptos"/>
                <w:b/>
                <w:sz w:val="18"/>
              </w:rPr>
              <w:t>11</w:t>
            </w:r>
          </w:p>
        </w:tc>
        <w:tc>
          <w:tcPr>
            <w:tcW w:type="dxa" w:w="3408"/>
            <w:vAlign w:val="center"/>
          </w:tcPr>
          <w:p>
            <w:pPr>
              <w:spacing w:after="0"/>
            </w:pPr>
            <w:r/>
            <w:r>
              <w:rPr>
                <w:rFonts w:ascii="Aptos" w:hAnsi="Aptos"/>
                <w:b w:val="0"/>
                <w:sz w:val="18"/>
              </w:rPr>
              <w:t>Work closed</w:t>
            </w:r>
          </w:p>
        </w:tc>
        <w:tc>
          <w:tcPr>
            <w:tcW w:type="dxa" w:w="3408"/>
            <w:vAlign w:val="center"/>
          </w:tcPr>
          <w:p>
            <w:pPr>
              <w:spacing w:after="0"/>
            </w:pPr>
            <w:r/>
            <w:r>
              <w:rPr>
                <w:rFonts w:ascii="Aptos" w:hAnsi="Aptos"/>
                <w:b w:val="0"/>
                <w:sz w:val="18"/>
              </w:rPr>
              <w:t>The configured workflow closes the work order and incident.</w:t>
            </w:r>
          </w:p>
        </w:tc>
      </w:tr>
      <w:tr>
        <w:tc>
          <w:tcPr>
            <w:tcW w:type="dxa" w:w="3408"/>
            <w:vAlign w:val="center"/>
          </w:tcPr>
          <w:p>
            <w:pPr>
              <w:spacing w:after="0"/>
            </w:pPr>
            <w:r/>
            <w:r>
              <w:rPr>
                <w:rFonts w:ascii="Aptos" w:hAnsi="Aptos"/>
                <w:b/>
                <w:sz w:val="18"/>
              </w:rPr>
              <w:t>12</w:t>
            </w:r>
          </w:p>
        </w:tc>
        <w:tc>
          <w:tcPr>
            <w:tcW w:type="dxa" w:w="3408"/>
            <w:vAlign w:val="center"/>
          </w:tcPr>
          <w:p>
            <w:pPr>
              <w:spacing w:after="0"/>
            </w:pPr>
            <w:r/>
            <w:r>
              <w:rPr>
                <w:rFonts w:ascii="Aptos" w:hAnsi="Aptos"/>
                <w:b w:val="0"/>
                <w:sz w:val="18"/>
              </w:rPr>
              <w:t>Asset history updated</w:t>
            </w:r>
          </w:p>
        </w:tc>
        <w:tc>
          <w:tcPr>
            <w:tcW w:type="dxa" w:w="3408"/>
            <w:vAlign w:val="center"/>
          </w:tcPr>
          <w:p>
            <w:pPr>
              <w:spacing w:after="0"/>
            </w:pPr>
            <w:r/>
            <w:r>
              <w:rPr>
                <w:rFonts w:ascii="Aptos" w:hAnsi="Aptos"/>
                <w:b w:val="0"/>
                <w:sz w:val="18"/>
              </w:rPr>
              <w:t>The event, incident, work and inspection evidence are retained in the asset history.</w:t>
            </w:r>
          </w:p>
        </w:tc>
      </w:tr>
    </w:tbl>
    <w:p>
      <w:pPr>
        <w:pStyle w:val="Heading1"/>
      </w:pPr>
      <w:r>
        <w:t>4. MVP Functional Capabilities</w:t>
      </w:r>
    </w:p>
    <w:p>
      <w:pPr>
        <w:pStyle w:val="Heading2"/>
      </w:pPr>
      <w:r>
        <w:t>A. Platform Foundation</w:t>
      </w:r>
    </w:p>
    <w:p>
      <w:pPr>
        <w:pStyle w:val="ListBullet"/>
        <w:spacing w:after="40"/>
        <w:ind w:left="360"/>
      </w:pPr>
      <w:r>
        <w:t>User login and role-based access</w:t>
      </w:r>
    </w:p>
    <w:p>
      <w:pPr>
        <w:pStyle w:val="ListBullet"/>
        <w:spacing w:after="40"/>
        <w:ind w:left="360"/>
      </w:pPr>
      <w:r>
        <w:t>Canonical Asset ID</w:t>
      </w:r>
    </w:p>
    <w:p>
      <w:pPr>
        <w:pStyle w:val="ListBullet"/>
        <w:spacing w:after="40"/>
        <w:ind w:left="360"/>
      </w:pPr>
      <w:r>
        <w:t>Transformer asset record and basic hierarchy</w:t>
      </w:r>
    </w:p>
    <w:p>
      <w:pPr>
        <w:pStyle w:val="ListBullet"/>
        <w:spacing w:after="40"/>
        <w:ind w:left="360"/>
      </w:pPr>
      <w:r>
        <w:t>Asset status and basic lifecycle history</w:t>
      </w:r>
    </w:p>
    <w:p>
      <w:pPr>
        <w:pStyle w:val="ListBullet"/>
        <w:spacing w:after="40"/>
        <w:ind w:left="360"/>
      </w:pPr>
      <w:r>
        <w:t>API foundation</w:t>
      </w:r>
    </w:p>
    <w:p>
      <w:pPr>
        <w:pStyle w:val="ListBullet"/>
        <w:spacing w:after="40"/>
        <w:ind w:left="360"/>
      </w:pPr>
      <w:r>
        <w:t>Audit trail</w:t>
      </w:r>
    </w:p>
    <w:p>
      <w:pPr>
        <w:pStyle w:val="Heading2"/>
      </w:pPr>
      <w:r>
        <w:t>B. Integration and Data</w:t>
      </w:r>
    </w:p>
    <w:p>
      <w:pPr>
        <w:pStyle w:val="ListBullet"/>
        <w:spacing w:after="40"/>
        <w:ind w:left="360"/>
      </w:pPr>
      <w:r>
        <w:t>One initial external event source</w:t>
      </w:r>
    </w:p>
    <w:p>
      <w:pPr>
        <w:pStyle w:val="ListBullet"/>
        <w:spacing w:after="40"/>
        <w:ind w:left="360"/>
      </w:pPr>
      <w:r>
        <w:t>Integration adapter/gateway</w:t>
      </w:r>
    </w:p>
    <w:p>
      <w:pPr>
        <w:pStyle w:val="ListBullet"/>
        <w:spacing w:after="40"/>
        <w:ind w:left="360"/>
      </w:pPr>
      <w:r>
        <w:t>Original/raw event retention</w:t>
      </w:r>
    </w:p>
    <w:p>
      <w:pPr>
        <w:pStyle w:val="ListBullet"/>
        <w:spacing w:after="40"/>
        <w:ind w:left="360"/>
      </w:pPr>
      <w:r>
        <w:t>Canonical/normalized event</w:t>
      </w:r>
    </w:p>
    <w:p>
      <w:pPr>
        <w:pStyle w:val="ListBullet"/>
        <w:spacing w:after="40"/>
        <w:ind w:left="360"/>
      </w:pPr>
      <w:r>
        <w:t>Source message ID and timestamps</w:t>
      </w:r>
    </w:p>
    <w:p>
      <w:pPr>
        <w:pStyle w:val="ListBullet"/>
        <w:spacing w:after="40"/>
        <w:ind w:left="360"/>
      </w:pPr>
      <w:r>
        <w:t>Retry/error handling</w:t>
      </w:r>
    </w:p>
    <w:p>
      <w:pPr>
        <w:pStyle w:val="ListBullet"/>
        <w:spacing w:after="40"/>
        <w:ind w:left="360"/>
      </w:pPr>
      <w:r>
        <w:t>Basic integration health visibility</w:t>
      </w:r>
    </w:p>
    <w:p>
      <w:pPr>
        <w:pStyle w:val="Heading2"/>
      </w:pPr>
      <w:r>
        <w:t>C. Asset Identity and Data Quality</w:t>
      </w:r>
    </w:p>
    <w:p>
      <w:pPr>
        <w:pStyle w:val="ListBullet"/>
        <w:spacing w:after="40"/>
        <w:ind w:left="360"/>
      </w:pPr>
      <w:r>
        <w:t>External ID-to-canonical Asset ID mapping</w:t>
      </w:r>
    </w:p>
    <w:p>
      <w:pPr>
        <w:pStyle w:val="ListBullet"/>
        <w:spacing w:after="40"/>
        <w:ind w:left="360"/>
      </w:pPr>
      <w:r>
        <w:t>Duplicate/conflict detection for the MVP scenario</w:t>
      </w:r>
    </w:p>
    <w:p>
      <w:pPr>
        <w:pStyle w:val="ListBullet"/>
        <w:spacing w:after="40"/>
        <w:ind w:left="360"/>
      </w:pPr>
      <w:r>
        <w:t>Basic data-quality status</w:t>
      </w:r>
    </w:p>
    <w:p>
      <w:pPr>
        <w:pStyle w:val="ListBullet"/>
        <w:spacing w:after="40"/>
        <w:ind w:left="360"/>
      </w:pPr>
      <w:r>
        <w:t>Source and transformation traceability</w:t>
      </w:r>
    </w:p>
    <w:p>
      <w:pPr>
        <w:pStyle w:val="Heading2"/>
      </w:pPr>
      <w:r>
        <w:t>D. GIS and Asset Context</w:t>
      </w:r>
    </w:p>
    <w:p>
      <w:pPr>
        <w:pStyle w:val="ListBullet"/>
        <w:spacing w:after="40"/>
        <w:ind w:left="360"/>
      </w:pPr>
      <w:r>
        <w:t>Asset map</w:t>
      </w:r>
    </w:p>
    <w:p>
      <w:pPr>
        <w:pStyle w:val="ListBullet"/>
        <w:spacing w:after="40"/>
        <w:ind w:left="360"/>
      </w:pPr>
      <w:r>
        <w:t>Asset location and coordinates</w:t>
      </w:r>
    </w:p>
    <w:p>
      <w:pPr>
        <w:pStyle w:val="ListBullet"/>
        <w:spacing w:after="40"/>
        <w:ind w:left="360"/>
      </w:pPr>
      <w:r>
        <w:t>Asset search</w:t>
      </w:r>
    </w:p>
    <w:p>
      <w:pPr>
        <w:pStyle w:val="ListBullet"/>
        <w:spacing w:after="40"/>
        <w:ind w:left="360"/>
      </w:pPr>
      <w:r>
        <w:t>Location verification/freshness</w:t>
      </w:r>
    </w:p>
    <w:p>
      <w:pPr>
        <w:pStyle w:val="ListBullet"/>
        <w:spacing w:after="40"/>
        <w:ind w:left="360"/>
      </w:pPr>
      <w:r>
        <w:t>Basic nearby/network context</w:t>
      </w:r>
    </w:p>
    <w:p>
      <w:pPr>
        <w:pStyle w:val="Heading2"/>
      </w:pPr>
      <w:r>
        <w:t>E. Alarm and Incident</w:t>
      </w:r>
    </w:p>
    <w:p>
      <w:pPr>
        <w:pStyle w:val="ListBullet"/>
        <w:spacing w:after="40"/>
        <w:ind w:left="360"/>
      </w:pPr>
      <w:r>
        <w:t>Event classification</w:t>
      </w:r>
    </w:p>
    <w:p>
      <w:pPr>
        <w:pStyle w:val="ListBullet"/>
        <w:spacing w:after="40"/>
        <w:ind w:left="360"/>
      </w:pPr>
      <w:r>
        <w:t>Alarm creation and severity</w:t>
      </w:r>
    </w:p>
    <w:p>
      <w:pPr>
        <w:pStyle w:val="ListBullet"/>
        <w:spacing w:after="40"/>
        <w:ind w:left="360"/>
      </w:pPr>
      <w:r>
        <w:t>Alarm acknowledgement/closure</w:t>
      </w:r>
    </w:p>
    <w:p>
      <w:pPr>
        <w:pStyle w:val="ListBullet"/>
        <w:spacing w:after="40"/>
        <w:ind w:left="360"/>
      </w:pPr>
      <w:r>
        <w:t>Incident creation and tracking</w:t>
      </w:r>
    </w:p>
    <w:p>
      <w:pPr>
        <w:pStyle w:val="ListBullet"/>
        <w:spacing w:after="40"/>
        <w:ind w:left="360"/>
      </w:pPr>
      <w:r>
        <w:t>Incident timeline</w:t>
      </w:r>
    </w:p>
    <w:p>
      <w:pPr>
        <w:pStyle w:val="ListBullet"/>
        <w:spacing w:after="40"/>
        <w:ind w:left="360"/>
      </w:pPr>
      <w:r>
        <w:t>Asset/alarm/incident linkage</w:t>
      </w:r>
    </w:p>
    <w:p>
      <w:pPr>
        <w:pStyle w:val="Heading2"/>
      </w:pPr>
      <w:r>
        <w:t>F. Work and Dispatch</w:t>
      </w:r>
    </w:p>
    <w:p>
      <w:pPr>
        <w:pStyle w:val="ListBullet"/>
        <w:spacing w:after="40"/>
        <w:ind w:left="360"/>
      </w:pPr>
      <w:r>
        <w:t>Work-order creation</w:t>
      </w:r>
    </w:p>
    <w:p>
      <w:pPr>
        <w:pStyle w:val="ListBullet"/>
        <w:spacing w:after="40"/>
        <w:ind w:left="360"/>
      </w:pPr>
      <w:r>
        <w:t>Priority and required skill</w:t>
      </w:r>
    </w:p>
    <w:p>
      <w:pPr>
        <w:pStyle w:val="ListBullet"/>
        <w:spacing w:after="40"/>
        <w:ind w:left="360"/>
      </w:pPr>
      <w:r>
        <w:t>Work-order status</w:t>
      </w:r>
    </w:p>
    <w:p>
      <w:pPr>
        <w:pStyle w:val="ListBullet"/>
        <w:spacing w:after="40"/>
        <w:ind w:left="360"/>
      </w:pPr>
      <w:r>
        <w:t>Basic dispatch board</w:t>
      </w:r>
    </w:p>
    <w:p>
      <w:pPr>
        <w:pStyle w:val="ListBullet"/>
        <w:spacing w:after="40"/>
        <w:ind w:left="360"/>
      </w:pPr>
      <w:r>
        <w:t>Crew availability and qualification</w:t>
      </w:r>
    </w:p>
    <w:p>
      <w:pPr>
        <w:pStyle w:val="ListBullet"/>
        <w:spacing w:after="40"/>
        <w:ind w:left="360"/>
      </w:pPr>
      <w:r>
        <w:t>Crew assignment/reassignment</w:t>
      </w:r>
    </w:p>
    <w:p>
      <w:pPr>
        <w:pStyle w:val="Heading2"/>
      </w:pPr>
      <w:r>
        <w:t>G. Field Operations</w:t>
      </w:r>
    </w:p>
    <w:p>
      <w:pPr>
        <w:pStyle w:val="ListBullet"/>
        <w:spacing w:after="40"/>
        <w:ind w:left="360"/>
      </w:pPr>
      <w:r>
        <w:t>Technician login</w:t>
      </w:r>
    </w:p>
    <w:p>
      <w:pPr>
        <w:pStyle w:val="ListBullet"/>
        <w:spacing w:after="40"/>
        <w:ind w:left="360"/>
      </w:pPr>
      <w:r>
        <w:t>Assigned work list</w:t>
      </w:r>
    </w:p>
    <w:p>
      <w:pPr>
        <w:pStyle w:val="ListBullet"/>
        <w:spacing w:after="40"/>
        <w:ind w:left="360"/>
      </w:pPr>
      <w:r>
        <w:t>Asset and location information</w:t>
      </w:r>
    </w:p>
    <w:p>
      <w:pPr>
        <w:pStyle w:val="ListBullet"/>
        <w:spacing w:after="40"/>
        <w:ind w:left="360"/>
      </w:pPr>
      <w:r>
        <w:t>Safety checklist/acknowledgement</w:t>
      </w:r>
    </w:p>
    <w:p>
      <w:pPr>
        <w:pStyle w:val="ListBullet"/>
        <w:spacing w:after="40"/>
        <w:ind w:left="360"/>
      </w:pPr>
      <w:r>
        <w:t>Inspection/checklist</w:t>
      </w:r>
    </w:p>
    <w:p>
      <w:pPr>
        <w:pStyle w:val="ListBullet"/>
        <w:spacing w:after="40"/>
        <w:ind w:left="360"/>
      </w:pPr>
      <w:r>
        <w:t>Readings, notes and photographs</w:t>
      </w:r>
    </w:p>
    <w:p>
      <w:pPr>
        <w:pStyle w:val="ListBullet"/>
        <w:spacing w:after="40"/>
        <w:ind w:left="360"/>
      </w:pPr>
      <w:r>
        <w:t>Work completion and restoration</w:t>
      </w:r>
    </w:p>
    <w:p>
      <w:pPr>
        <w:pStyle w:val="ListBullet"/>
        <w:spacing w:after="40"/>
        <w:ind w:left="360"/>
      </w:pPr>
      <w:r>
        <w:t>Basic offline execution if included</w:t>
      </w:r>
    </w:p>
    <w:p>
      <w:pPr>
        <w:pStyle w:val="Heading2"/>
      </w:pPr>
      <w:r>
        <w:t>H. Closure and Traceability</w:t>
      </w:r>
    </w:p>
    <w:p>
      <w:pPr>
        <w:pStyle w:val="ListBullet"/>
        <w:spacing w:after="40"/>
        <w:ind w:left="360"/>
      </w:pPr>
      <w:r>
        <w:t>Incident/work-order closure</w:t>
      </w:r>
    </w:p>
    <w:p>
      <w:pPr>
        <w:pStyle w:val="ListBullet"/>
        <w:spacing w:after="40"/>
        <w:ind w:left="360"/>
      </w:pPr>
      <w:r>
        <w:t>Asset history update</w:t>
      </w:r>
    </w:p>
    <w:p>
      <w:pPr>
        <w:pStyle w:val="ListBullet"/>
        <w:spacing w:after="40"/>
        <w:ind w:left="360"/>
      </w:pPr>
      <w:r>
        <w:t>End-to-end event-to-resolution traceability</w:t>
      </w:r>
    </w:p>
    <w:p>
      <w:pPr>
        <w:pStyle w:val="ListBullet"/>
        <w:spacing w:after="40"/>
        <w:ind w:left="360"/>
      </w:pPr>
      <w:r>
        <w:t>Audit of significant actions</w:t>
      </w:r>
    </w:p>
    <w:p>
      <w:pPr>
        <w:pStyle w:val="Heading1"/>
      </w:pPr>
      <w:r>
        <w:t>5. Deferred from MVP</w:t>
      </w:r>
    </w:p>
    <w:p>
      <w:r>
        <w:t>The following capabilities should remain outside the MVP unless a specific business decision brings them into scope:</w:t>
      </w:r>
    </w:p>
    <w:p>
      <w:pPr>
        <w:pStyle w:val="ListBullet"/>
        <w:spacing w:after="40"/>
        <w:ind w:left="360"/>
      </w:pPr>
      <w:r>
        <w:t>Predictive maintenance and AI recommendations</w:t>
      </w:r>
    </w:p>
    <w:p>
      <w:pPr>
        <w:pStyle w:val="ListBullet"/>
        <w:spacing w:after="40"/>
        <w:ind w:left="360"/>
      </w:pPr>
      <w:r>
        <w:t>Advanced asset health/risk analytics</w:t>
      </w:r>
    </w:p>
    <w:p>
      <w:pPr>
        <w:pStyle w:val="ListBullet"/>
        <w:spacing w:after="40"/>
        <w:ind w:left="360"/>
      </w:pPr>
      <w:r>
        <w:t>Full inventory, warehouse and replenishment management</w:t>
      </w:r>
    </w:p>
    <w:p>
      <w:pPr>
        <w:pStyle w:val="ListBullet"/>
        <w:spacing w:after="40"/>
        <w:ind w:left="360"/>
      </w:pPr>
      <w:r>
        <w:t>Procurement and supplier workflows</w:t>
      </w:r>
    </w:p>
    <w:p>
      <w:pPr>
        <w:pStyle w:val="ListBullet"/>
        <w:spacing w:after="40"/>
        <w:ind w:left="360"/>
      </w:pPr>
      <w:r>
        <w:t>Advanced outage-management capabilities and full OMS replacement</w:t>
      </w:r>
    </w:p>
    <w:p>
      <w:pPr>
        <w:pStyle w:val="ListBullet"/>
        <w:spacing w:after="40"/>
        <w:ind w:left="360"/>
      </w:pPr>
      <w:r>
        <w:t>Advanced crew optimization/intelligent dispatch</w:t>
      </w:r>
    </w:p>
    <w:p>
      <w:pPr>
        <w:pStyle w:val="ListBullet"/>
        <w:spacing w:after="40"/>
        <w:ind w:left="360"/>
      </w:pPr>
      <w:r>
        <w:t>Broad weather/IoT/smart-meter/ERP/HR integrations</w:t>
      </w:r>
    </w:p>
    <w:p>
      <w:pPr>
        <w:pStyle w:val="ListBullet"/>
        <w:spacing w:after="40"/>
        <w:ind w:left="360"/>
      </w:pPr>
      <w:r>
        <w:t>Large-scale multi-utility and multi-region capabilities</w:t>
      </w:r>
    </w:p>
    <w:p>
      <w:pPr>
        <w:pStyle w:val="ListBullet"/>
        <w:spacing w:after="40"/>
        <w:ind w:left="360"/>
      </w:pPr>
      <w:r>
        <w:t>Advanced analytics and enterprise reporting</w:t>
      </w:r>
    </w:p>
    <w:p>
      <w:pPr>
        <w:pStyle w:val="ListBullet"/>
        <w:spacing w:after="40"/>
        <w:ind w:left="360"/>
      </w:pPr>
      <w:r>
        <w:t>Autonomous control of breakers or other safety-critical equipment</w:t>
      </w:r>
    </w:p>
    <w:p>
      <w:pPr>
        <w:pStyle w:val="ListBullet"/>
        <w:spacing w:after="40"/>
        <w:ind w:left="360"/>
      </w:pPr>
      <w:r>
        <w:t>Replacement of certified protection, SCADA or control systems</w:t>
      </w:r>
    </w:p>
    <w:p>
      <w:pPr>
        <w:pStyle w:val="ListBullet"/>
        <w:spacing w:after="40"/>
        <w:ind w:left="360"/>
      </w:pPr>
      <w:r>
        <w:t>Customer billing and full financial ERP replacement</w:t>
      </w:r>
    </w:p>
    <w:p>
      <w:pPr>
        <w:pStyle w:val="Heading1"/>
      </w:pPr>
      <w:r>
        <w:t>6. MVP Acceptance Criteria</w:t>
      </w:r>
    </w:p>
    <w:p>
      <w:pPr>
        <w:pStyle w:val="ListBullet"/>
        <w:spacing w:after="40"/>
        <w:ind w:left="360"/>
      </w:pPr>
      <w:r>
        <w:t>A selected source event can be received successfully.</w:t>
      </w:r>
    </w:p>
    <w:p>
      <w:pPr>
        <w:pStyle w:val="ListBullet"/>
        <w:spacing w:after="40"/>
        <w:ind w:left="360"/>
      </w:pPr>
      <w:r>
        <w:t>The original source event is retained and traceable.</w:t>
      </w:r>
    </w:p>
    <w:p>
      <w:pPr>
        <w:pStyle w:val="ListBullet"/>
        <w:spacing w:after="40"/>
        <w:ind w:left="360"/>
      </w:pPr>
      <w:r>
        <w:t>The affected asset is identified through the configured identity mapping.</w:t>
      </w:r>
    </w:p>
    <w:p>
      <w:pPr>
        <w:pStyle w:val="ListBullet"/>
        <w:spacing w:after="40"/>
        <w:ind w:left="360"/>
      </w:pPr>
      <w:r>
        <w:t>The asset can be located and displayed in GIS.</w:t>
      </w:r>
    </w:p>
    <w:p>
      <w:pPr>
        <w:pStyle w:val="ListBullet"/>
        <w:spacing w:after="40"/>
        <w:ind w:left="360"/>
      </w:pPr>
      <w:r>
        <w:t>The appropriate alarm is created with the expected severity.</w:t>
      </w:r>
    </w:p>
    <w:p>
      <w:pPr>
        <w:pStyle w:val="ListBullet"/>
        <w:spacing w:after="40"/>
        <w:ind w:left="360"/>
      </w:pPr>
      <w:r>
        <w:t>The incident is created and linked to the asset and alarm.</w:t>
      </w:r>
    </w:p>
    <w:p>
      <w:pPr>
        <w:pStyle w:val="ListBullet"/>
        <w:spacing w:after="40"/>
        <w:ind w:left="360"/>
      </w:pPr>
      <w:r>
        <w:t>A work order can be created from the incident.</w:t>
      </w:r>
    </w:p>
    <w:p>
      <w:pPr>
        <w:pStyle w:val="ListBullet"/>
        <w:spacing w:after="40"/>
        <w:ind w:left="360"/>
      </w:pPr>
      <w:r>
        <w:t>A dispatcher can assign an appropriate crew.</w:t>
      </w:r>
    </w:p>
    <w:p>
      <w:pPr>
        <w:pStyle w:val="ListBullet"/>
        <w:spacing w:after="40"/>
        <w:ind w:left="360"/>
      </w:pPr>
      <w:r>
        <w:t>The technician receives the assigned work on the mobile application.</w:t>
      </w:r>
    </w:p>
    <w:p>
      <w:pPr>
        <w:pStyle w:val="ListBullet"/>
        <w:spacing w:after="40"/>
        <w:ind w:left="360"/>
      </w:pPr>
      <w:r>
        <w:t>Required safety and inspection information can be captured.</w:t>
      </w:r>
    </w:p>
    <w:p>
      <w:pPr>
        <w:pStyle w:val="ListBullet"/>
        <w:spacing w:after="40"/>
        <w:ind w:left="360"/>
      </w:pPr>
      <w:r>
        <w:t>Photos/readings/notes can be retained as completion evidence.</w:t>
      </w:r>
    </w:p>
    <w:p>
      <w:pPr>
        <w:pStyle w:val="ListBullet"/>
        <w:spacing w:after="40"/>
        <w:ind w:left="360"/>
      </w:pPr>
      <w:r>
        <w:t>The work can be completed and the incident/work order closed.</w:t>
      </w:r>
    </w:p>
    <w:p>
      <w:pPr>
        <w:pStyle w:val="ListBullet"/>
        <w:spacing w:after="40"/>
        <w:ind w:left="360"/>
      </w:pPr>
      <w:r>
        <w:t>The asset history reflects the completed operational event and work.</w:t>
      </w:r>
    </w:p>
    <w:p>
      <w:pPr>
        <w:pStyle w:val="ListBullet"/>
        <w:spacing w:after="40"/>
        <w:ind w:left="360"/>
      </w:pPr>
      <w:r>
        <w:t>The end-to-end transaction is auditable.</w:t>
      </w:r>
    </w:p>
    <w:p>
      <w:pPr>
        <w:pStyle w:val="ListBullet"/>
        <w:spacing w:after="40"/>
        <w:ind w:left="360"/>
      </w:pPr>
      <w:r>
        <w:t>Integration failures are visible and do not result in a false normal condition.</w:t>
      </w:r>
    </w:p>
    <w:p>
      <w:pPr>
        <w:pStyle w:val="Heading1"/>
      </w:pPr>
      <w:r>
        <w:t>7. Recommended MVP Delivery Sequence</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1F4E78"/>
          </w:tcPr>
          <w:p>
            <w:pPr>
              <w:spacing w:after="0"/>
            </w:pPr>
            <w:r/>
            <w:r>
              <w:rPr>
                <w:rFonts w:ascii="Aptos" w:hAnsi="Aptos"/>
                <w:b/>
                <w:color w:val="FFFFFF"/>
                <w:sz w:val="18"/>
              </w:rPr>
              <w:t>Release</w:t>
            </w:r>
          </w:p>
        </w:tc>
        <w:tc>
          <w:tcPr>
            <w:tcW w:type="dxa" w:w="3408"/>
            <w:vAlign w:val="center"/>
            <w:shd w:fill="1F4E78"/>
          </w:tcPr>
          <w:p>
            <w:pPr>
              <w:spacing w:after="0"/>
            </w:pPr>
            <w:r/>
            <w:r>
              <w:rPr>
                <w:rFonts w:ascii="Aptos" w:hAnsi="Aptos"/>
                <w:b/>
                <w:color w:val="FFFFFF"/>
                <w:sz w:val="18"/>
              </w:rPr>
              <w:t>Primary Scope</w:t>
            </w:r>
          </w:p>
        </w:tc>
        <w:tc>
          <w:tcPr>
            <w:tcW w:type="dxa" w:w="3408"/>
            <w:vAlign w:val="center"/>
            <w:shd w:fill="1F4E78"/>
          </w:tcPr>
          <w:p>
            <w:pPr>
              <w:spacing w:after="0"/>
            </w:pPr>
            <w:r/>
            <w:r>
              <w:rPr>
                <w:rFonts w:ascii="Aptos" w:hAnsi="Aptos"/>
                <w:b/>
                <w:color w:val="FFFFFF"/>
                <w:sz w:val="18"/>
              </w:rPr>
              <w:t>Exit Point</w:t>
            </w:r>
          </w:p>
        </w:tc>
      </w:tr>
      <w:tr>
        <w:tc>
          <w:tcPr>
            <w:tcW w:type="dxa" w:w="3408"/>
            <w:vAlign w:val="center"/>
          </w:tcPr>
          <w:p>
            <w:pPr>
              <w:spacing w:after="0"/>
            </w:pPr>
            <w:r/>
            <w:r>
              <w:rPr>
                <w:rFonts w:ascii="Aptos" w:hAnsi="Aptos"/>
                <w:b/>
                <w:sz w:val="18"/>
              </w:rPr>
              <w:t>MVP 1 — Foundation</w:t>
            </w:r>
          </w:p>
        </w:tc>
        <w:tc>
          <w:tcPr>
            <w:tcW w:type="dxa" w:w="3408"/>
            <w:vAlign w:val="center"/>
          </w:tcPr>
          <w:p>
            <w:pPr>
              <w:spacing w:after="0"/>
            </w:pPr>
            <w:r/>
            <w:r>
              <w:rPr>
                <w:rFonts w:ascii="Aptos" w:hAnsi="Aptos"/>
                <w:b w:val="0"/>
                <w:sz w:val="18"/>
              </w:rPr>
              <w:t>Users/roles, asset master, transformer, hierarchy, GIS, canonical IDs, API/audit foundation</w:t>
            </w:r>
          </w:p>
        </w:tc>
        <w:tc>
          <w:tcPr>
            <w:tcW w:type="dxa" w:w="3408"/>
            <w:vAlign w:val="center"/>
          </w:tcPr>
          <w:p>
            <w:pPr>
              <w:spacing w:after="0"/>
            </w:pPr>
            <w:r/>
            <w:r>
              <w:rPr>
                <w:rFonts w:ascii="Aptos" w:hAnsi="Aptos"/>
                <w:b w:val="0"/>
                <w:sz w:val="18"/>
              </w:rPr>
              <w:t>Users can view and manage the core asset and location information.</w:t>
            </w:r>
          </w:p>
        </w:tc>
      </w:tr>
      <w:tr>
        <w:tc>
          <w:tcPr>
            <w:tcW w:type="dxa" w:w="3408"/>
            <w:vAlign w:val="center"/>
          </w:tcPr>
          <w:p>
            <w:pPr>
              <w:spacing w:after="0"/>
            </w:pPr>
            <w:r/>
            <w:r>
              <w:rPr>
                <w:rFonts w:ascii="Aptos" w:hAnsi="Aptos"/>
                <w:b/>
                <w:sz w:val="18"/>
              </w:rPr>
              <w:t>MVP 2 — Event to Incident</w:t>
            </w:r>
          </w:p>
        </w:tc>
        <w:tc>
          <w:tcPr>
            <w:tcW w:type="dxa" w:w="3408"/>
            <w:vAlign w:val="center"/>
          </w:tcPr>
          <w:p>
            <w:pPr>
              <w:spacing w:after="0"/>
            </w:pPr>
            <w:r/>
            <w:r>
              <w:rPr>
                <w:rFonts w:ascii="Aptos" w:hAnsi="Aptos"/>
                <w:b w:val="0"/>
                <w:sz w:val="18"/>
              </w:rPr>
              <w:t>One source integration, raw/normalized events, identity mapping, data quality, alarm and incident</w:t>
            </w:r>
          </w:p>
        </w:tc>
        <w:tc>
          <w:tcPr>
            <w:tcW w:type="dxa" w:w="3408"/>
            <w:vAlign w:val="center"/>
          </w:tcPr>
          <w:p>
            <w:pPr>
              <w:spacing w:after="0"/>
            </w:pPr>
            <w:r/>
            <w:r>
              <w:rPr>
                <w:rFonts w:ascii="Aptos" w:hAnsi="Aptos"/>
                <w:b w:val="0"/>
                <w:sz w:val="18"/>
              </w:rPr>
              <w:t>A source event can be traced to the correct asset, alarm and incident.</w:t>
            </w:r>
          </w:p>
        </w:tc>
      </w:tr>
      <w:tr>
        <w:tc>
          <w:tcPr>
            <w:tcW w:type="dxa" w:w="3408"/>
            <w:vAlign w:val="center"/>
          </w:tcPr>
          <w:p>
            <w:pPr>
              <w:spacing w:after="0"/>
            </w:pPr>
            <w:r/>
            <w:r>
              <w:rPr>
                <w:rFonts w:ascii="Aptos" w:hAnsi="Aptos"/>
                <w:b/>
                <w:sz w:val="18"/>
              </w:rPr>
              <w:t>MVP 3 — Incident to Field</w:t>
            </w:r>
          </w:p>
        </w:tc>
        <w:tc>
          <w:tcPr>
            <w:tcW w:type="dxa" w:w="3408"/>
            <w:vAlign w:val="center"/>
          </w:tcPr>
          <w:p>
            <w:pPr>
              <w:spacing w:after="0"/>
            </w:pPr>
            <w:r/>
            <w:r>
              <w:rPr>
                <w:rFonts w:ascii="Aptos" w:hAnsi="Aptos"/>
                <w:b w:val="0"/>
                <w:sz w:val="18"/>
              </w:rPr>
              <w:t>Work order, dispatch, mobile, safety, inspection, evidence and completion</w:t>
            </w:r>
          </w:p>
        </w:tc>
        <w:tc>
          <w:tcPr>
            <w:tcW w:type="dxa" w:w="3408"/>
            <w:vAlign w:val="center"/>
          </w:tcPr>
          <w:p>
            <w:pPr>
              <w:spacing w:after="0"/>
            </w:pPr>
            <w:r/>
            <w:r>
              <w:rPr>
                <w:rFonts w:ascii="Aptos" w:hAnsi="Aptos"/>
                <w:b w:val="0"/>
                <w:sz w:val="18"/>
              </w:rPr>
              <w:t>A dispatcher can send work to a technician and the technician can complete it.</w:t>
            </w:r>
          </w:p>
        </w:tc>
      </w:tr>
      <w:tr>
        <w:tc>
          <w:tcPr>
            <w:tcW w:type="dxa" w:w="3408"/>
            <w:vAlign w:val="center"/>
          </w:tcPr>
          <w:p>
            <w:pPr>
              <w:spacing w:after="0"/>
            </w:pPr>
            <w:r/>
            <w:r>
              <w:rPr>
                <w:rFonts w:ascii="Aptos" w:hAnsi="Aptos"/>
                <w:b/>
                <w:sz w:val="18"/>
              </w:rPr>
              <w:t>MVP 4 — End-to-End Hardening</w:t>
            </w:r>
          </w:p>
        </w:tc>
        <w:tc>
          <w:tcPr>
            <w:tcW w:type="dxa" w:w="3408"/>
            <w:vAlign w:val="center"/>
          </w:tcPr>
          <w:p>
            <w:pPr>
              <w:spacing w:after="0"/>
            </w:pPr>
            <w:r/>
            <w:r>
              <w:rPr>
                <w:rFonts w:ascii="Aptos" w:hAnsi="Aptos"/>
                <w:b w:val="0"/>
                <w:sz w:val="18"/>
              </w:rPr>
              <w:t>Integration failures, security, performance, audit, synchronization, end-to-end testing and UAT</w:t>
            </w:r>
          </w:p>
        </w:tc>
        <w:tc>
          <w:tcPr>
            <w:tcW w:type="dxa" w:w="3408"/>
            <w:vAlign w:val="center"/>
          </w:tcPr>
          <w:p>
            <w:pPr>
              <w:spacing w:after="0"/>
            </w:pPr>
            <w:r/>
            <w:r>
              <w:rPr>
                <w:rFonts w:ascii="Aptos" w:hAnsi="Aptos"/>
                <w:b w:val="0"/>
                <w:sz w:val="18"/>
              </w:rPr>
              <w:t>The complete event-to-resolution scenario passes agreed acceptance testing.</w:t>
            </w:r>
          </w:p>
        </w:tc>
      </w:tr>
    </w:tbl>
    <w:p>
      <w:pPr>
        <w:pStyle w:val="Heading1"/>
      </w:pPr>
      <w:r>
        <w:t>8. Decisions Needed to Finalize MVP</w:t>
      </w:r>
    </w:p>
    <w:p>
      <w:pPr>
        <w:pStyle w:val="ListBullet"/>
        <w:spacing w:after="40"/>
        <w:ind w:left="360"/>
      </w:pPr>
      <w:r>
        <w:t>Confirm the initial transformer/electrical asset scope.</w:t>
      </w:r>
    </w:p>
    <w:p>
      <w:pPr>
        <w:pStyle w:val="ListBullet"/>
        <w:spacing w:after="40"/>
        <w:ind w:left="360"/>
      </w:pPr>
      <w:r>
        <w:t>Confirm the first SCADA/IED/event source.</w:t>
      </w:r>
    </w:p>
    <w:p>
      <w:pPr>
        <w:pStyle w:val="ListBullet"/>
        <w:spacing w:after="40"/>
        <w:ind w:left="360"/>
      </w:pPr>
      <w:r>
        <w:t>Confirm the authoritative GIS source.</w:t>
      </w:r>
    </w:p>
    <w:p>
      <w:pPr>
        <w:pStyle w:val="ListBullet"/>
        <w:spacing w:after="40"/>
        <w:ind w:left="360"/>
      </w:pPr>
      <w:r>
        <w:t>Confirm the canonical Asset ID and source-ID mapping approach.</w:t>
      </w:r>
    </w:p>
    <w:p>
      <w:pPr>
        <w:pStyle w:val="ListBullet"/>
        <w:spacing w:after="40"/>
        <w:ind w:left="360"/>
      </w:pPr>
      <w:r>
        <w:t>Confirm the initial event types and alarm severity rules.</w:t>
      </w:r>
    </w:p>
    <w:p>
      <w:pPr>
        <w:pStyle w:val="ListBullet"/>
        <w:spacing w:after="40"/>
        <w:ind w:left="360"/>
      </w:pPr>
      <w:r>
        <w:t>Confirm incident-creation and work-order creation rules.</w:t>
      </w:r>
    </w:p>
    <w:p>
      <w:pPr>
        <w:pStyle w:val="ListBullet"/>
        <w:spacing w:after="40"/>
        <w:ind w:left="360"/>
      </w:pPr>
      <w:r>
        <w:t>Confirm the minimum crew qualification/availability rules.</w:t>
      </w:r>
    </w:p>
    <w:p>
      <w:pPr>
        <w:pStyle w:val="ListBullet"/>
        <w:spacing w:after="40"/>
        <w:ind w:left="360"/>
      </w:pPr>
      <w:r>
        <w:t>Confirm mobile platform and offline requirement.</w:t>
      </w:r>
    </w:p>
    <w:p>
      <w:pPr>
        <w:pStyle w:val="ListBullet"/>
        <w:spacing w:after="40"/>
        <w:ind w:left="360"/>
      </w:pPr>
      <w:r>
        <w:t>Confirm whether basic outage context is included.</w:t>
      </w:r>
    </w:p>
    <w:p>
      <w:pPr>
        <w:pStyle w:val="ListBullet"/>
        <w:spacing w:after="40"/>
        <w:ind w:left="360"/>
      </w:pPr>
      <w:r>
        <w:t>Confirm whether parts/inventory are limited to recording usage or excluded.</w:t>
      </w:r>
    </w:p>
    <w:p>
      <w:pPr>
        <w:pStyle w:val="ListBullet"/>
        <w:spacing w:after="40"/>
        <w:ind w:left="360"/>
      </w:pPr>
      <w:r>
        <w:t>Confirm MVP performance, availability and recovery targets.</w:t>
      </w:r>
    </w:p>
    <w:p>
      <w:pPr>
        <w:pStyle w:val="ListBullet"/>
        <w:spacing w:after="40"/>
        <w:ind w:left="360"/>
      </w:pPr>
      <w:r>
        <w:t>Confirm the end-to-end UAT scenario and business participants.</w:t>
      </w:r>
    </w:p>
    <w:p>
      <w:pPr>
        <w:pStyle w:val="Heading1"/>
      </w:pPr>
      <w:r>
        <w:t>9. Recommended MVP Statement</w:t>
      </w:r>
    </w:p>
    <w:p>
      <w:r>
        <w:t>The MVP will deliver a focused, end-to-end utility asset operations workflow that receives an electrical asset event, identifies and locates the affected asset, creates and manages the alarm and incident, creates and dispatches work, enables field execution and evidence capture, and completes the operational record through restoration, closure and asset history.</w:t>
      </w:r>
    </w:p>
    <w:p>
      <w:r>
        <w:rPr>
          <w:b/>
        </w:rPr>
        <w:t xml:space="preserve">Source basis: </w:t>
      </w:r>
      <w:r>
        <w:t>Utility Asset &amp; Field Operations Platform — Business &amp; Product Requirements v1.0, September 2026. This document narrows the existing requirements into an MVP delivery baseline; it does not replace them.</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