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F172A"/>
          <w:sz w:val="32"/>
        </w:rPr>
        <w:t>SMART INDIA HACKATHON 2025</w:t>
      </w:r>
    </w:p>
    <w:p>
      <w:pPr>
        <w:spacing w:after="280"/>
        <w:jc w:val="center"/>
      </w:pPr>
      <w:r>
        <w:rPr>
          <w:rFonts w:ascii="Calibri" w:hAnsi="Calibri"/>
          <w:color w:val="1E3A8A"/>
          <w:sz w:val="22"/>
        </w:rPr>
        <w:t>YouTube Video Presentation Script | Word-for-Word Timed Recording Guide</w:t>
        <w:br/>
        <w:t>Target Duration: Under 4 Minutes (3 Minutes 35 Seconds)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680"/>
        <w:gridCol w:w="4680"/>
      </w:tblGrid>
      <w:tr>
        <w:tc>
          <w:tcPr>
            <w:tcW w:type="dxa" w:w="2880"/>
            <w:shd w:fill="F1F5F9"/>
            <w:tcMar>
              <w:top w:w="60" w:type="dxa"/>
              <w:bottom w:w="60" w:type="dxa"/>
              <w:left w:w="80" w:type="dxa"/>
              <w:right w:w="80" w:type="dxa"/>
            </w:tcMar>
          </w:tcPr>
          <w:p>
            <w:r>
              <w:rPr>
                <w:rFonts w:ascii="Calibri" w:hAnsi="Calibri"/>
                <w:b/>
                <w:sz w:val="19"/>
              </w:rPr>
              <w:t>Project Title</w:t>
            </w:r>
          </w:p>
        </w:tc>
        <w:tc>
          <w:tcPr>
            <w:tcW w:type="dxa" w:w="6480"/>
            <w:shd w:fill="FFFFFF"/>
            <w:tcMar>
              <w:top w:w="60" w:type="dxa"/>
              <w:bottom w:w="60" w:type="dxa"/>
              <w:left w:w="80" w:type="dxa"/>
              <w:right w:w="80" w:type="dxa"/>
            </w:tcMar>
          </w:tcPr>
          <w:p>
            <w:r>
              <w:rPr>
                <w:rFonts w:ascii="Calibri" w:hAnsi="Calibri"/>
                <w:sz w:val="19"/>
              </w:rPr>
              <w:t>FraudFlow Intelligence: Multi-Hop Financial Cyber Fraud Interception Platform</w:t>
            </w:r>
          </w:p>
        </w:tc>
      </w:tr>
      <w:tr>
        <w:tc>
          <w:tcPr>
            <w:tcW w:type="dxa" w:w="2880"/>
            <w:shd w:fill="F1F5F9"/>
            <w:tcMar>
              <w:top w:w="60" w:type="dxa"/>
              <w:bottom w:w="60" w:type="dxa"/>
              <w:left w:w="80" w:type="dxa"/>
              <w:right w:w="80" w:type="dxa"/>
            </w:tcMar>
          </w:tcPr>
          <w:p>
            <w:r>
              <w:rPr>
                <w:rFonts w:ascii="Calibri" w:hAnsi="Calibri"/>
                <w:b/>
                <w:sz w:val="19"/>
              </w:rPr>
              <w:t>Problem Statement ID</w:t>
            </w:r>
          </w:p>
        </w:tc>
        <w:tc>
          <w:tcPr>
            <w:tcW w:type="dxa" w:w="6480"/>
            <w:shd w:fill="FFFFFF"/>
            <w:tcMar>
              <w:top w:w="60" w:type="dxa"/>
              <w:bottom w:w="60" w:type="dxa"/>
              <w:left w:w="80" w:type="dxa"/>
              <w:right w:w="80" w:type="dxa"/>
            </w:tcMar>
          </w:tcPr>
          <w:p>
            <w:r>
              <w:rPr>
                <w:rFonts w:ascii="Calibri" w:hAnsi="Calibri"/>
                <w:sz w:val="19"/>
              </w:rPr>
              <w:t>SIH26184 (Predictive Analytics Framework for Cybercrime Complaints)</w:t>
            </w:r>
          </w:p>
        </w:tc>
      </w:tr>
      <w:tr>
        <w:tc>
          <w:tcPr>
            <w:tcW w:type="dxa" w:w="2880"/>
            <w:shd w:fill="F1F5F9"/>
            <w:tcMar>
              <w:top w:w="60" w:type="dxa"/>
              <w:bottom w:w="60" w:type="dxa"/>
              <w:left w:w="80" w:type="dxa"/>
              <w:right w:w="80" w:type="dxa"/>
            </w:tcMar>
          </w:tcPr>
          <w:p>
            <w:r>
              <w:rPr>
                <w:rFonts w:ascii="Calibri" w:hAnsi="Calibri"/>
                <w:b/>
                <w:sz w:val="19"/>
              </w:rPr>
              <w:t>Ministry / Organization</w:t>
            </w:r>
          </w:p>
        </w:tc>
        <w:tc>
          <w:tcPr>
            <w:tcW w:type="dxa" w:w="6480"/>
            <w:shd w:fill="FFFFFF"/>
            <w:tcMar>
              <w:top w:w="60" w:type="dxa"/>
              <w:bottom w:w="60" w:type="dxa"/>
              <w:left w:w="80" w:type="dxa"/>
              <w:right w:w="80" w:type="dxa"/>
            </w:tcMar>
          </w:tcPr>
          <w:p>
            <w:r>
              <w:rPr>
                <w:rFonts w:ascii="Calibri" w:hAnsi="Calibri"/>
                <w:sz w:val="19"/>
              </w:rPr>
              <w:t>Indian Cyber Crime Coordination Centre (I4C), Ministry of Home Affairs</w:t>
            </w:r>
          </w:p>
        </w:tc>
      </w:tr>
      <w:tr>
        <w:tc>
          <w:tcPr>
            <w:tcW w:type="dxa" w:w="2880"/>
            <w:shd w:fill="F1F5F9"/>
            <w:tcMar>
              <w:top w:w="60" w:type="dxa"/>
              <w:bottom w:w="60" w:type="dxa"/>
              <w:left w:w="80" w:type="dxa"/>
              <w:right w:w="80" w:type="dxa"/>
            </w:tcMar>
          </w:tcPr>
          <w:p>
            <w:r>
              <w:rPr>
                <w:rFonts w:ascii="Calibri" w:hAnsi="Calibri"/>
                <w:b/>
                <w:sz w:val="19"/>
              </w:rPr>
              <w:t>Live Prototype URL</w:t>
            </w:r>
          </w:p>
        </w:tc>
        <w:tc>
          <w:tcPr>
            <w:tcW w:type="dxa" w:w="6480"/>
            <w:shd w:fill="FFFFFF"/>
            <w:tcMar>
              <w:top w:w="60" w:type="dxa"/>
              <w:bottom w:w="60" w:type="dxa"/>
              <w:left w:w="80" w:type="dxa"/>
              <w:right w:w="80" w:type="dxa"/>
            </w:tcMar>
          </w:tcPr>
          <w:p>
            <w:r>
              <w:rPr>
                <w:rFonts w:ascii="Calibri" w:hAnsi="Calibri"/>
                <w:sz w:val="19"/>
              </w:rPr>
              <w:t>http://localhost:8001 / https://github.com/mdbaasim/Fraudflow-Intelligence</w:t>
            </w:r>
          </w:p>
        </w:tc>
      </w:tr>
    </w:tbl>
    <w:p>
      <w:pPr>
        <w:spacing w:after="200"/>
      </w:pPr>
    </w:p>
    <w:p>
      <w:pPr>
        <w:spacing w:before="280" w:after="40"/>
      </w:pPr>
      <w:r>
        <w:rPr>
          <w:rFonts w:ascii="Calibri" w:hAnsi="Calibri"/>
          <w:b/>
          <w:color w:val="0F172A"/>
          <w:sz w:val="26"/>
        </w:rPr>
        <w:t>Segment 1: Title, National Cyber Crisis &amp; Problem Statement</w:t>
      </w:r>
    </w:p>
    <w:p>
      <w:pPr>
        <w:spacing w:after="120"/>
      </w:pPr>
      <w:r>
        <w:rPr>
          <w:rFonts w:ascii="Calibri" w:hAnsi="Calibri"/>
          <w:b/>
          <w:color w:val="1E3A8A"/>
          <w:sz w:val="20"/>
        </w:rPr>
        <w:t>Timing Window: 0:00 – 0:30 (30 Seconds)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9360"/>
      </w:tblGrid>
      <w:tr>
        <w:tc>
          <w:tcPr>
            <w:tcW w:type="dxa" w:w="9360"/>
            <w:shd w:fill="F1F5F9"/>
            <w:tcMar>
              <w:top w:w="80" w:type="dxa"/>
              <w:bottom w:w="80" w:type="dxa"/>
              <w:left w:w="120" w:type="dxa"/>
              <w:right w:w="120" w:type="dxa"/>
            </w:tcMar>
          </w:tcPr>
          <w:p>
            <w:pPr>
              <w:spacing w:after="80"/>
            </w:pPr>
            <w:r>
              <w:rPr>
                <w:rFonts w:ascii="Calibri" w:hAnsi="Calibri"/>
                <w:b/>
                <w:color w:val="0F172A"/>
                <w:sz w:val="19"/>
              </w:rPr>
              <w:t>ON-SCREEN ACTIONS (WHAT TO CLICK &amp; SHOW):</w:t>
            </w:r>
          </w:p>
          <w:p>
            <w:pPr>
              <w:spacing w:after="40" w:line="276" w:lineRule="auto"/>
            </w:pPr>
            <w:r>
              <w:rPr>
                <w:color w:val="1E3A8A"/>
                <w:sz w:val="16"/>
              </w:rPr>
              <w:t xml:space="preserve">● </w:t>
            </w:r>
            <w:r>
              <w:rPr>
                <w:rFonts w:ascii="Calibri" w:hAnsi="Calibri"/>
                <w:color w:val="334155"/>
                <w:sz w:val="19"/>
              </w:rPr>
              <w:t>Display full FraudFlow Intelligence command interface at http://localhost:8001.</w:t>
            </w:r>
          </w:p>
          <w:p>
            <w:pPr>
              <w:spacing w:after="40" w:line="276" w:lineRule="auto"/>
            </w:pPr>
            <w:r>
              <w:rPr>
                <w:color w:val="1E3A8A"/>
                <w:sz w:val="16"/>
              </w:rPr>
              <w:t xml:space="preserve">● </w:t>
            </w:r>
            <w:r>
              <w:rPr>
                <w:rFonts w:ascii="Calibri" w:hAnsi="Calibri"/>
                <w:color w:val="334155"/>
                <w:sz w:val="19"/>
              </w:rPr>
              <w:t>Hover over the top header title: 'FraudFlow Intelligence' and Problem Statement ID 'SIH26184'.</w:t>
            </w:r>
          </w:p>
          <w:p>
            <w:pPr>
              <w:spacing w:after="40" w:line="276" w:lineRule="auto"/>
            </w:pPr>
            <w:r>
              <w:rPr>
                <w:color w:val="1E3A8A"/>
                <w:sz w:val="16"/>
              </w:rPr>
              <w:t xml:space="preserve">● </w:t>
            </w:r>
            <w:r>
              <w:rPr>
                <w:rFonts w:ascii="Calibri" w:hAnsi="Calibri"/>
                <w:color w:val="334155"/>
                <w:sz w:val="19"/>
              </w:rPr>
              <w:t>Show the national threat statistics context.</w:t>
            </w:r>
          </w:p>
        </w:tc>
      </w:tr>
    </w:tbl>
    <w:p>
      <w:pPr>
        <w:spacing w:before="120" w:after="40"/>
      </w:pPr>
      <w:r>
        <w:rPr>
          <w:rFonts w:ascii="Calibri" w:hAnsi="Calibri"/>
          <w:b/>
          <w:color w:val="1E3A8A"/>
          <w:sz w:val="20"/>
        </w:rPr>
        <w:t>EXACT SPOKEN VOICEOVER NARRATION:</w:t>
      </w:r>
    </w:p>
    <w:tbl>
      <w:tblPr>
        <w:tblW w:type="auto" w:w="0"/>
        <w:jc w:val="center"/>
        <w:tblLook w:firstColumn="1" w:firstRow="1" w:lastColumn="0" w:lastRow="0" w:noHBand="0" w:noVBand="1" w:val="04A0"/>
        <w:tblBorders>
          <w:top w:val="single" w:sz="4" w:space="0" w:color="3B82F6"/>
          <w:bottom w:val="single" w:sz="4" w:space="0" w:color="3B82F6"/>
          <w:left w:val="single" w:sz="4" w:space="0" w:color="3B82F6"/>
          <w:right w:val="single" w:sz="4" w:space="0" w:color="3B82F6"/>
          <w:insideH w:val="single" w:sz="4" w:space="0" w:color="3B82F6"/>
          <w:insideV w:val="single" w:sz="4" w:space="0" w:color="3B82F6"/>
        </w:tblBorders>
      </w:tblPr>
      <w:tblGrid>
        <w:gridCol w:w="9360"/>
      </w:tblGrid>
      <w:tr>
        <w:tc>
          <w:tcPr>
            <w:tcW w:type="dxa" w:w="9360"/>
            <w:shd w:fill="F8FAFC"/>
            <w:tcMar>
              <w:top w:w="100" w:type="dxa"/>
              <w:bottom w:w="100" w:type="dxa"/>
              <w:left w:w="140" w:type="dxa"/>
              <w:right w:w="140" w:type="dxa"/>
            </w:tcMar>
          </w:tcPr>
          <w:p>
            <w:pPr>
              <w:spacing w:line="288" w:lineRule="auto" w:after="80"/>
            </w:pPr>
            <w:r>
              <w:rPr>
                <w:rFonts w:ascii="Calibri" w:hAnsi="Calibri"/>
                <w:color w:val="0F172A"/>
                <w:sz w:val="21"/>
              </w:rPr>
              <w:t>"Welcome to FraudFlow Intelligence, our submission for Smart India Hackathon 2025 under Problem Statement SIH26184, issued by the Indian Cyber Crime Coordination Centre, Ministry of Home Affairs."</w:t>
            </w:r>
          </w:p>
          <w:p>
            <w:pPr>
              <w:spacing w:after="80" w:line="288" w:lineRule="auto"/>
            </w:pPr>
            <w:r>
              <w:rPr>
                <w:rFonts w:ascii="Calibri" w:hAnsi="Calibri"/>
                <w:color w:val="0F172A"/>
                <w:sz w:val="21"/>
              </w:rPr>
              <w:t>"Across India, cyber financial fraud causes losses exceeding 7,400 Crore Rupees each year. Once a victim loses money, criminal syndicates disperse funds across four to six layers of mule accounts within 15 minutes, followed by immediate cash withdrawals at physical ATMs before traditional police freeze notices can even be drafted."</w:t>
            </w:r>
          </w:p>
          <w:p>
            <w:pPr>
              <w:spacing w:after="80" w:line="288" w:lineRule="auto"/>
            </w:pPr>
            <w:r>
              <w:rPr>
                <w:rFonts w:ascii="Calibri" w:hAnsi="Calibri"/>
                <w:color w:val="0F172A"/>
                <w:sz w:val="21"/>
              </w:rPr>
              <w:t>"FraudFlow Intelligence transforms this reactive process into a real-time, predictive interception platform that operates in under 100 milliseconds."</w:t>
            </w:r>
          </w:p>
        </w:tc>
      </w:tr>
    </w:tbl>
    <w:p>
      <w:pPr>
        <w:spacing w:after="160"/>
      </w:pPr>
    </w:p>
    <w:p>
      <w:pPr>
        <w:spacing w:before="280" w:after="40"/>
      </w:pPr>
      <w:r>
        <w:rPr>
          <w:rFonts w:ascii="Calibri" w:hAnsi="Calibri"/>
          <w:b/>
          <w:color w:val="0F172A"/>
          <w:sz w:val="26"/>
        </w:rPr>
        <w:t>Segment 2: National Feeds, Officer Authentication &amp; Left Sidebar Case Docket</w:t>
      </w:r>
    </w:p>
    <w:p>
      <w:pPr>
        <w:spacing w:after="120"/>
      </w:pPr>
      <w:r>
        <w:rPr>
          <w:rFonts w:ascii="Calibri" w:hAnsi="Calibri"/>
          <w:b/>
          <w:color w:val="1E3A8A"/>
          <w:sz w:val="20"/>
        </w:rPr>
        <w:t>Timing Window: 0:30 – 1:00 (30 Seconds)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9360"/>
      </w:tblGrid>
      <w:tr>
        <w:tc>
          <w:tcPr>
            <w:tcW w:type="dxa" w:w="9360"/>
            <w:shd w:fill="F1F5F9"/>
            <w:tcMar>
              <w:top w:w="80" w:type="dxa"/>
              <w:bottom w:w="80" w:type="dxa"/>
              <w:left w:w="120" w:type="dxa"/>
              <w:right w:w="120" w:type="dxa"/>
            </w:tcMar>
          </w:tcPr>
          <w:p>
            <w:pPr>
              <w:spacing w:after="80"/>
            </w:pPr>
            <w:r>
              <w:rPr>
                <w:rFonts w:ascii="Calibri" w:hAnsi="Calibri"/>
                <w:b/>
                <w:color w:val="0F172A"/>
                <w:sz w:val="19"/>
              </w:rPr>
              <w:t>ON-SCREEN ACTIONS (WHAT TO CLICK &amp; SHOW):</w:t>
            </w:r>
          </w:p>
          <w:p>
            <w:pPr>
              <w:spacing w:after="40" w:line="276" w:lineRule="auto"/>
            </w:pPr>
            <w:r>
              <w:rPr>
                <w:color w:val="1E3A8A"/>
                <w:sz w:val="16"/>
              </w:rPr>
              <w:t xml:space="preserve">● </w:t>
            </w:r>
            <w:r>
              <w:rPr>
                <w:rFonts w:ascii="Calibri" w:hAnsi="Calibri"/>
                <w:color w:val="334155"/>
                <w:sz w:val="19"/>
              </w:rPr>
              <w:t>Point cursor to the top right Intelligence Feed selector and switch between NCRP and NPCI feeds.</w:t>
            </w:r>
          </w:p>
          <w:p>
            <w:pPr>
              <w:spacing w:after="40" w:line="276" w:lineRule="auto"/>
            </w:pPr>
            <w:r>
              <w:rPr>
                <w:color w:val="1E3A8A"/>
                <w:sz w:val="16"/>
              </w:rPr>
              <w:t xml:space="preserve">● </w:t>
            </w:r>
            <w:r>
              <w:rPr>
                <w:rFonts w:ascii="Calibri" w:hAnsi="Calibri"/>
                <w:color w:val="334155"/>
                <w:sz w:val="19"/>
              </w:rPr>
              <w:t>Show the authenticated officer badge: Inspector R. Murthy (TN-CCB-4402).</w:t>
            </w:r>
          </w:p>
          <w:p>
            <w:pPr>
              <w:spacing w:after="40" w:line="276" w:lineRule="auto"/>
            </w:pPr>
            <w:r>
              <w:rPr>
                <w:color w:val="1E3A8A"/>
                <w:sz w:val="16"/>
              </w:rPr>
              <w:t xml:space="preserve">● </w:t>
            </w:r>
            <w:r>
              <w:rPr>
                <w:rFonts w:ascii="Calibri" w:hAnsi="Calibri"/>
                <w:color w:val="334155"/>
                <w:sz w:val="19"/>
              </w:rPr>
              <w:t>Open the Select Case dropdown on the Left Sidebar and select 'NCRP-2026-TN-981240 | A. Murugesan (Dindigul)'.</w:t>
            </w:r>
          </w:p>
          <w:p>
            <w:pPr>
              <w:spacing w:after="40" w:line="276" w:lineRule="auto"/>
            </w:pPr>
            <w:r>
              <w:rPr>
                <w:color w:val="1E3A8A"/>
                <w:sz w:val="16"/>
              </w:rPr>
              <w:t xml:space="preserve">● </w:t>
            </w:r>
            <w:r>
              <w:rPr>
                <w:rFonts w:ascii="Calibri" w:hAnsi="Calibri"/>
                <w:color w:val="334155"/>
                <w:sz w:val="19"/>
              </w:rPr>
              <w:t>Highlight the Loss Amount (₹50,000), Scenario Profile set to 'Mule Layering Chain', and Evidence Coverage slider at 85%.</w:t>
            </w:r>
          </w:p>
        </w:tc>
      </w:tr>
    </w:tbl>
    <w:p>
      <w:pPr>
        <w:spacing w:before="120" w:after="40"/>
      </w:pPr>
      <w:r>
        <w:rPr>
          <w:rFonts w:ascii="Calibri" w:hAnsi="Calibri"/>
          <w:b/>
          <w:color w:val="1E3A8A"/>
          <w:sz w:val="20"/>
        </w:rPr>
        <w:t>EXACT SPOKEN VOICEOVER NARRATION:</w:t>
      </w:r>
    </w:p>
    <w:tbl>
      <w:tblPr>
        <w:tblW w:type="auto" w:w="0"/>
        <w:jc w:val="center"/>
        <w:tblLook w:firstColumn="1" w:firstRow="1" w:lastColumn="0" w:lastRow="0" w:noHBand="0" w:noVBand="1" w:val="04A0"/>
        <w:tblBorders>
          <w:top w:val="single" w:sz="4" w:space="0" w:color="3B82F6"/>
          <w:bottom w:val="single" w:sz="4" w:space="0" w:color="3B82F6"/>
          <w:left w:val="single" w:sz="4" w:space="0" w:color="3B82F6"/>
          <w:right w:val="single" w:sz="4" w:space="0" w:color="3B82F6"/>
          <w:insideH w:val="single" w:sz="4" w:space="0" w:color="3B82F6"/>
          <w:insideV w:val="single" w:sz="4" w:space="0" w:color="3B82F6"/>
        </w:tblBorders>
      </w:tblPr>
      <w:tblGrid>
        <w:gridCol w:w="9360"/>
      </w:tblGrid>
      <w:tr>
        <w:tc>
          <w:tcPr>
            <w:tcW w:type="dxa" w:w="9360"/>
            <w:shd w:fill="F8FAFC"/>
            <w:tcMar>
              <w:top w:w="100" w:type="dxa"/>
              <w:bottom w:w="100" w:type="dxa"/>
              <w:left w:w="140" w:type="dxa"/>
              <w:right w:w="140" w:type="dxa"/>
            </w:tcMar>
          </w:tcPr>
          <w:p>
            <w:pPr>
              <w:spacing w:line="288" w:lineRule="auto" w:after="80"/>
            </w:pPr>
            <w:r>
              <w:rPr>
                <w:rFonts w:ascii="Calibri" w:hAnsi="Calibri"/>
                <w:color w:val="0F172A"/>
                <w:sz w:val="21"/>
              </w:rPr>
              <w:t>"Looking at the top command bar, our system connects directly to national telemetry feeds including the NCRP 1930 Helpline, NPCI UPI streams, and core banking webhooks. The session is authenticated under Inspector R. Murthy of the State Cyber Crime Investigation Cell."</w:t>
            </w:r>
          </w:p>
          <w:p>
            <w:pPr>
              <w:spacing w:after="80" w:line="288" w:lineRule="auto"/>
            </w:pPr>
            <w:r>
              <w:rPr>
                <w:rFonts w:ascii="Calibri" w:hAnsi="Calibri"/>
                <w:color w:val="0F172A"/>
                <w:sz w:val="21"/>
              </w:rPr>
              <w:t>"In the left sidebar docket, we load an active real-world complaint: Complainant A. Murugesan from Dindigul, Tamil Nadu, defrauded of 50,000 Rupees via an SMS electricity bill APK scam."</w:t>
            </w:r>
          </w:p>
          <w:p>
            <w:pPr>
              <w:spacing w:after="80" w:line="288" w:lineRule="auto"/>
            </w:pPr>
            <w:r>
              <w:rPr>
                <w:rFonts w:ascii="Calibri" w:hAnsi="Calibri"/>
                <w:color w:val="0F172A"/>
                <w:sz w:val="21"/>
              </w:rPr>
              <w:t>"We select the Mule Layering Chain profile with 85% evidence visibility, and click the blue button: Execute Flow Analysis and Forecast."</w:t>
            </w:r>
          </w:p>
        </w:tc>
      </w:tr>
    </w:tbl>
    <w:p>
      <w:pPr>
        <w:spacing w:after="160"/>
      </w:pPr>
    </w:p>
    <w:p>
      <w:pPr>
        <w:spacing w:before="280" w:after="40"/>
      </w:pPr>
      <w:r>
        <w:rPr>
          <w:rFonts w:ascii="Calibri" w:hAnsi="Calibri"/>
          <w:b/>
          <w:color w:val="0F172A"/>
          <w:sz w:val="26"/>
        </w:rPr>
        <w:t>Segment 3: Multi-Hop Money Flow Graph Reconstruction &amp; 4D Temporal Playback</w:t>
      </w:r>
    </w:p>
    <w:p>
      <w:pPr>
        <w:spacing w:after="120"/>
      </w:pPr>
      <w:r>
        <w:rPr>
          <w:rFonts w:ascii="Calibri" w:hAnsi="Calibri"/>
          <w:b/>
          <w:color w:val="1E3A8A"/>
          <w:sz w:val="20"/>
        </w:rPr>
        <w:t>Timing Window: 1:00 – 1:45 (45 Seconds)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9360"/>
      </w:tblGrid>
      <w:tr>
        <w:tc>
          <w:tcPr>
            <w:tcW w:type="dxa" w:w="9360"/>
            <w:shd w:fill="F1F5F9"/>
            <w:tcMar>
              <w:top w:w="80" w:type="dxa"/>
              <w:bottom w:w="80" w:type="dxa"/>
              <w:left w:w="120" w:type="dxa"/>
              <w:right w:w="120" w:type="dxa"/>
            </w:tcMar>
          </w:tcPr>
          <w:p>
            <w:pPr>
              <w:spacing w:after="80"/>
            </w:pPr>
            <w:r>
              <w:rPr>
                <w:rFonts w:ascii="Calibri" w:hAnsi="Calibri"/>
                <w:b/>
                <w:color w:val="0F172A"/>
                <w:sz w:val="19"/>
              </w:rPr>
              <w:t>ON-SCREEN ACTIONS (WHAT TO CLICK &amp; SHOW):</w:t>
            </w:r>
          </w:p>
          <w:p>
            <w:pPr>
              <w:spacing w:after="40" w:line="276" w:lineRule="auto"/>
            </w:pPr>
            <w:r>
              <w:rPr>
                <w:color w:val="1E3A8A"/>
                <w:sz w:val="16"/>
              </w:rPr>
              <w:t xml:space="preserve">● </w:t>
            </w:r>
            <w:r>
              <w:rPr>
                <w:rFonts w:ascii="Calibri" w:hAnsi="Calibri"/>
                <w:color w:val="334155"/>
                <w:sz w:val="19"/>
              </w:rPr>
              <w:t>Click the blue button 'Execute Flow Analysis &amp; Forecast'.</w:t>
            </w:r>
          </w:p>
          <w:p>
            <w:pPr>
              <w:spacing w:after="40" w:line="276" w:lineRule="auto"/>
            </w:pPr>
            <w:r>
              <w:rPr>
                <w:color w:val="1E3A8A"/>
                <w:sz w:val="16"/>
              </w:rPr>
              <w:t xml:space="preserve">● </w:t>
            </w:r>
            <w:r>
              <w:rPr>
                <w:rFonts w:ascii="Calibri" w:hAnsi="Calibri"/>
                <w:color w:val="334155"/>
                <w:sz w:val="19"/>
              </w:rPr>
              <w:t>Zoom smoothly into the central Multi-Hop Transaction Graph.</w:t>
            </w:r>
          </w:p>
          <w:p>
            <w:pPr>
              <w:spacing w:after="40" w:line="276" w:lineRule="auto"/>
            </w:pPr>
            <w:r>
              <w:rPr>
                <w:color w:val="1E3A8A"/>
                <w:sz w:val="16"/>
              </w:rPr>
              <w:t xml:space="preserve">● </w:t>
            </w:r>
            <w:r>
              <w:rPr>
                <w:rFonts w:ascii="Calibri" w:hAnsi="Calibri"/>
                <w:color w:val="334155"/>
                <w:sz w:val="19"/>
              </w:rPr>
              <w:t>Click on the green Victim Node (A. Murugesan - Dindigul), follow the directed edges to HDFC Madurai, ICICI Tiruchirappalli, and Axis Bank Chennai.</w:t>
            </w:r>
          </w:p>
          <w:p>
            <w:pPr>
              <w:spacing w:after="40" w:line="276" w:lineRule="auto"/>
            </w:pPr>
            <w:r>
              <w:rPr>
                <w:color w:val="1E3A8A"/>
                <w:sz w:val="16"/>
              </w:rPr>
              <w:t xml:space="preserve">● </w:t>
            </w:r>
            <w:r>
              <w:rPr>
                <w:rFonts w:ascii="Calibri" w:hAnsi="Calibri"/>
                <w:color w:val="334155"/>
                <w:sz w:val="19"/>
              </w:rPr>
              <w:t>Click 'Play' on the 4D Temporal Flow Playback bar at the bottom to demonstrate real-time step-by-step transaction flow.</w:t>
            </w:r>
          </w:p>
        </w:tc>
      </w:tr>
    </w:tbl>
    <w:p>
      <w:pPr>
        <w:spacing w:before="120" w:after="40"/>
      </w:pPr>
      <w:r>
        <w:rPr>
          <w:rFonts w:ascii="Calibri" w:hAnsi="Calibri"/>
          <w:b/>
          <w:color w:val="1E3A8A"/>
          <w:sz w:val="20"/>
        </w:rPr>
        <w:t>EXACT SPOKEN VOICEOVER NARRATION:</w:t>
      </w:r>
    </w:p>
    <w:tbl>
      <w:tblPr>
        <w:tblW w:type="auto" w:w="0"/>
        <w:jc w:val="center"/>
        <w:tblLook w:firstColumn="1" w:firstRow="1" w:lastColumn="0" w:lastRow="0" w:noHBand="0" w:noVBand="1" w:val="04A0"/>
        <w:tblBorders>
          <w:top w:val="single" w:sz="4" w:space="0" w:color="3B82F6"/>
          <w:bottom w:val="single" w:sz="4" w:space="0" w:color="3B82F6"/>
          <w:left w:val="single" w:sz="4" w:space="0" w:color="3B82F6"/>
          <w:right w:val="single" w:sz="4" w:space="0" w:color="3B82F6"/>
          <w:insideH w:val="single" w:sz="4" w:space="0" w:color="3B82F6"/>
          <w:insideV w:val="single" w:sz="4" w:space="0" w:color="3B82F6"/>
        </w:tblBorders>
      </w:tblPr>
      <w:tblGrid>
        <w:gridCol w:w="9360"/>
      </w:tblGrid>
      <w:tr>
        <w:tc>
          <w:tcPr>
            <w:tcW w:type="dxa" w:w="9360"/>
            <w:shd w:fill="F8FAFC"/>
            <w:tcMar>
              <w:top w:w="100" w:type="dxa"/>
              <w:bottom w:w="100" w:type="dxa"/>
              <w:left w:w="140" w:type="dxa"/>
              <w:right w:w="140" w:type="dxa"/>
            </w:tcMar>
          </w:tcPr>
          <w:p>
            <w:pPr>
              <w:spacing w:line="288" w:lineRule="auto" w:after="80"/>
            </w:pPr>
            <w:r>
              <w:rPr>
                <w:rFonts w:ascii="Calibri" w:hAnsi="Calibri"/>
                <w:color w:val="0F172A"/>
                <w:sz w:val="21"/>
              </w:rPr>
              <w:t>"Instantly, in just 95 milliseconds, our NetworkX Graph Engine reconstructs the complete Directed Acyclic Graph across four banking layers."</w:t>
            </w:r>
          </w:p>
          <w:p>
            <w:pPr>
              <w:spacing w:after="80" w:line="288" w:lineRule="auto"/>
            </w:pPr>
            <w:r>
              <w:rPr>
                <w:rFonts w:ascii="Calibri" w:hAnsi="Calibri"/>
                <w:color w:val="0F172A"/>
                <w:sz w:val="21"/>
              </w:rPr>
              <w:t>"Rather than viewing confusing bank spreadsheets, the investigating officer immediately sees how the stolen 50,000 Rupees was split and routed from SBI Dindigul to HDFC Madurai, then to ICICI Tiruchirappalli, and finally consolidated at Axis Bank in Chennai."</w:t>
            </w:r>
          </w:p>
          <w:p>
            <w:pPr>
              <w:spacing w:after="80" w:line="288" w:lineRule="auto"/>
            </w:pPr>
            <w:r>
              <w:rPr>
                <w:rFonts w:ascii="Calibri" w:hAnsi="Calibri"/>
                <w:color w:val="0F172A"/>
                <w:sz w:val="21"/>
              </w:rPr>
              <w:t>"Using our built-in 4D temporal playback bar, officers can play, pause, and inspect the chronological velocity decay of every single transaction hop as it occurred in real time."</w:t>
            </w:r>
          </w:p>
        </w:tc>
      </w:tr>
    </w:tbl>
    <w:p>
      <w:pPr>
        <w:spacing w:after="160"/>
      </w:pPr>
    </w:p>
    <w:p>
      <w:pPr>
        <w:spacing w:before="280" w:after="40"/>
      </w:pPr>
      <w:r>
        <w:rPr>
          <w:rFonts w:ascii="Calibri" w:hAnsi="Calibri"/>
          <w:b/>
          <w:color w:val="0F172A"/>
          <w:sz w:val="26"/>
        </w:rPr>
        <w:t>Segment 4: Tactical Geospatial GIS Map &amp; Predictive ATM Cluster Heatmap</w:t>
      </w:r>
    </w:p>
    <w:p>
      <w:pPr>
        <w:spacing w:after="120"/>
      </w:pPr>
      <w:r>
        <w:rPr>
          <w:rFonts w:ascii="Calibri" w:hAnsi="Calibri"/>
          <w:b/>
          <w:color w:val="1E3A8A"/>
          <w:sz w:val="20"/>
        </w:rPr>
        <w:t>Timing Window: 1:45 – 2:30 (45 Seconds)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9360"/>
      </w:tblGrid>
      <w:tr>
        <w:tc>
          <w:tcPr>
            <w:tcW w:type="dxa" w:w="9360"/>
            <w:shd w:fill="F1F5F9"/>
            <w:tcMar>
              <w:top w:w="80" w:type="dxa"/>
              <w:bottom w:w="80" w:type="dxa"/>
              <w:left w:w="120" w:type="dxa"/>
              <w:right w:w="120" w:type="dxa"/>
            </w:tcMar>
          </w:tcPr>
          <w:p>
            <w:pPr>
              <w:spacing w:after="80"/>
            </w:pPr>
            <w:r>
              <w:rPr>
                <w:rFonts w:ascii="Calibri" w:hAnsi="Calibri"/>
                <w:b/>
                <w:color w:val="0F172A"/>
                <w:sz w:val="19"/>
              </w:rPr>
              <w:t>ON-SCREEN ACTIONS (WHAT TO CLICK &amp; SHOW):</w:t>
            </w:r>
          </w:p>
          <w:p>
            <w:pPr>
              <w:spacing w:after="40" w:line="276" w:lineRule="auto"/>
            </w:pPr>
            <w:r>
              <w:rPr>
                <w:color w:val="1E3A8A"/>
                <w:sz w:val="16"/>
              </w:rPr>
              <w:t xml:space="preserve">● </w:t>
            </w:r>
            <w:r>
              <w:rPr>
                <w:rFonts w:ascii="Calibri" w:hAnsi="Calibri"/>
                <w:color w:val="334155"/>
                <w:sz w:val="19"/>
              </w:rPr>
              <w:t>Pan right to the Tactical Geolocation Map.</w:t>
            </w:r>
          </w:p>
          <w:p>
            <w:pPr>
              <w:spacing w:after="40" w:line="276" w:lineRule="auto"/>
            </w:pPr>
            <w:r>
              <w:rPr>
                <w:color w:val="1E3A8A"/>
                <w:sz w:val="16"/>
              </w:rPr>
              <w:t xml:space="preserve">● </w:t>
            </w:r>
            <w:r>
              <w:rPr>
                <w:rFonts w:ascii="Calibri" w:hAnsi="Calibri"/>
                <w:color w:val="334155"/>
                <w:sz w:val="19"/>
              </w:rPr>
              <w:t>Click the map style button to switch between Tactical Dark Canvas and Esri High-Resolution Satellite imagery.</w:t>
            </w:r>
          </w:p>
          <w:p>
            <w:pPr>
              <w:spacing w:after="40" w:line="276" w:lineRule="auto"/>
            </w:pPr>
            <w:r>
              <w:rPr>
                <w:color w:val="1E3A8A"/>
                <w:sz w:val="16"/>
              </w:rPr>
              <w:t xml:space="preserve">● </w:t>
            </w:r>
            <w:r>
              <w:rPr>
                <w:rFonts w:ascii="Calibri" w:hAnsi="Calibri"/>
                <w:color w:val="334155"/>
                <w:sz w:val="19"/>
              </w:rPr>
              <w:t>Highlight the 17.5 km transit corridor connecting Dindigul to Chennai T. Nagar.</w:t>
            </w:r>
          </w:p>
          <w:p>
            <w:pPr>
              <w:spacing w:after="40" w:line="276" w:lineRule="auto"/>
            </w:pPr>
            <w:r>
              <w:rPr>
                <w:color w:val="1E3A8A"/>
                <w:sz w:val="16"/>
              </w:rPr>
              <w:t xml:space="preserve">● </w:t>
            </w:r>
            <w:r>
              <w:rPr>
                <w:rFonts w:ascii="Calibri" w:hAnsi="Calibri"/>
                <w:color w:val="334155"/>
                <w:sz w:val="19"/>
              </w:rPr>
              <w:t>Hover over the flagged ATM pin: 'SBI-ATM-CH-4412'.</w:t>
            </w:r>
          </w:p>
          <w:p>
            <w:pPr>
              <w:spacing w:after="40" w:line="276" w:lineRule="auto"/>
            </w:pPr>
            <w:r>
              <w:rPr>
                <w:color w:val="1E3A8A"/>
                <w:sz w:val="16"/>
              </w:rPr>
              <w:t xml:space="preserve">● </w:t>
            </w:r>
            <w:r>
              <w:rPr>
                <w:rFonts w:ascii="Calibri" w:hAnsi="Calibri"/>
                <w:color w:val="334155"/>
                <w:sz w:val="19"/>
              </w:rPr>
              <w:t>Show the table beneath ranking candidate ATMs with distance and lead times.</w:t>
            </w:r>
          </w:p>
        </w:tc>
      </w:tr>
    </w:tbl>
    <w:p>
      <w:pPr>
        <w:spacing w:before="120" w:after="40"/>
      </w:pPr>
      <w:r>
        <w:rPr>
          <w:rFonts w:ascii="Calibri" w:hAnsi="Calibri"/>
          <w:b/>
          <w:color w:val="1E3A8A"/>
          <w:sz w:val="20"/>
        </w:rPr>
        <w:t>EXACT SPOKEN VOICEOVER NARRATION:</w:t>
      </w:r>
    </w:p>
    <w:tbl>
      <w:tblPr>
        <w:tblW w:type="auto" w:w="0"/>
        <w:jc w:val="center"/>
        <w:tblLook w:firstColumn="1" w:firstRow="1" w:lastColumn="0" w:lastRow="0" w:noHBand="0" w:noVBand="1" w:val="04A0"/>
        <w:tblBorders>
          <w:top w:val="single" w:sz="4" w:space="0" w:color="3B82F6"/>
          <w:bottom w:val="single" w:sz="4" w:space="0" w:color="3B82F6"/>
          <w:left w:val="single" w:sz="4" w:space="0" w:color="3B82F6"/>
          <w:right w:val="single" w:sz="4" w:space="0" w:color="3B82F6"/>
          <w:insideH w:val="single" w:sz="4" w:space="0" w:color="3B82F6"/>
          <w:insideV w:val="single" w:sz="4" w:space="0" w:color="3B82F6"/>
        </w:tblBorders>
      </w:tblPr>
      <w:tblGrid>
        <w:gridCol w:w="9360"/>
      </w:tblGrid>
      <w:tr>
        <w:tc>
          <w:tcPr>
            <w:tcW w:type="dxa" w:w="9360"/>
            <w:shd w:fill="F8FAFC"/>
            <w:tcMar>
              <w:top w:w="100" w:type="dxa"/>
              <w:bottom w:w="100" w:type="dxa"/>
              <w:left w:w="140" w:type="dxa"/>
              <w:right w:w="140" w:type="dxa"/>
            </w:tcMar>
          </w:tcPr>
          <w:p>
            <w:pPr>
              <w:spacing w:line="288" w:lineRule="auto" w:after="80"/>
            </w:pPr>
            <w:r>
              <w:rPr>
                <w:rFonts w:ascii="Calibri" w:hAnsi="Calibri"/>
                <w:color w:val="0F172A"/>
                <w:sz w:val="21"/>
              </w:rPr>
              <w:t>"Next, our geospatial GIS engine translates financial movement into physical geographic intelligence."</w:t>
            </w:r>
          </w:p>
          <w:p>
            <w:pPr>
              <w:spacing w:after="80" w:line="288" w:lineRule="auto"/>
            </w:pPr>
            <w:r>
              <w:rPr>
                <w:rFonts w:ascii="Calibri" w:hAnsi="Calibri"/>
                <w:color w:val="0F172A"/>
                <w:sz w:val="21"/>
              </w:rPr>
              <w:t>"By analyzing branch IFS codes, transaction intervals, and municipal transit speeds, FraudFlow predicts the exact commercial withdrawal corridor: from rural Dindigul into the Chennai Metropolitan Corridor."</w:t>
            </w:r>
          </w:p>
          <w:p>
            <w:pPr>
              <w:spacing w:after="80" w:line="288" w:lineRule="auto"/>
            </w:pPr>
            <w:r>
              <w:rPr>
                <w:rFonts w:ascii="Calibri" w:hAnsi="Calibri"/>
                <w:color w:val="0F172A"/>
                <w:sz w:val="21"/>
              </w:rPr>
              <w:t>"Switching between Tactical Dark Canvas and High-Resolution Satellite imagery, the map pins the highest-probability cash-out locations."</w:t>
            </w:r>
          </w:p>
          <w:p>
            <w:pPr>
              <w:spacing w:after="80" w:line="288" w:lineRule="auto"/>
            </w:pPr>
            <w:r>
              <w:rPr>
                <w:rFonts w:ascii="Calibri" w:hAnsi="Calibri"/>
                <w:color w:val="0F172A"/>
                <w:sz w:val="21"/>
              </w:rPr>
              <w:t>"It pinpoints candidate SBI-ATM-CH-4412 in the T. Nagar commercial hub with an 89.5% cash-out probability, located within a 1.8-kilometer cluster. With an estimated mule arrival window of T plus 25 to 45 minutes, police control rooms have a 13-minute tactical lead to deploy ground units before the cash is withdrawn."</w:t>
            </w:r>
          </w:p>
        </w:tc>
      </w:tr>
    </w:tbl>
    <w:p>
      <w:pPr>
        <w:spacing w:after="160"/>
      </w:pPr>
    </w:p>
    <w:p>
      <w:pPr>
        <w:spacing w:before="280" w:after="40"/>
      </w:pPr>
      <w:r>
        <w:rPr>
          <w:rFonts w:ascii="Calibri" w:hAnsi="Calibri"/>
          <w:b/>
          <w:color w:val="0F172A"/>
          <w:sz w:val="26"/>
        </w:rPr>
        <w:t>Segment 5: Dynamic 4-Layering Breakdown, Risk Telemetry &amp; Rapid Freeze Directives</w:t>
      </w:r>
    </w:p>
    <w:p>
      <w:pPr>
        <w:spacing w:after="120"/>
      </w:pPr>
      <w:r>
        <w:rPr>
          <w:rFonts w:ascii="Calibri" w:hAnsi="Calibri"/>
          <w:b/>
          <w:color w:val="1E3A8A"/>
          <w:sz w:val="20"/>
        </w:rPr>
        <w:t>Timing Window: 2:30 – 3:00 (30 Seconds)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9360"/>
      </w:tblGrid>
      <w:tr>
        <w:tc>
          <w:tcPr>
            <w:tcW w:type="dxa" w:w="9360"/>
            <w:shd w:fill="F1F5F9"/>
            <w:tcMar>
              <w:top w:w="80" w:type="dxa"/>
              <w:bottom w:w="80" w:type="dxa"/>
              <w:left w:w="120" w:type="dxa"/>
              <w:right w:w="120" w:type="dxa"/>
            </w:tcMar>
          </w:tcPr>
          <w:p>
            <w:pPr>
              <w:spacing w:after="80"/>
            </w:pPr>
            <w:r>
              <w:rPr>
                <w:rFonts w:ascii="Calibri" w:hAnsi="Calibri"/>
                <w:b/>
                <w:color w:val="0F172A"/>
                <w:sz w:val="19"/>
              </w:rPr>
              <w:t>ON-SCREEN ACTIONS (WHAT TO CLICK &amp; SHOW):</w:t>
            </w:r>
          </w:p>
          <w:p>
            <w:pPr>
              <w:spacing w:after="40" w:line="276" w:lineRule="auto"/>
            </w:pPr>
            <w:r>
              <w:rPr>
                <w:color w:val="1E3A8A"/>
                <w:sz w:val="16"/>
              </w:rPr>
              <w:t xml:space="preserve">● </w:t>
            </w:r>
            <w:r>
              <w:rPr>
                <w:rFonts w:ascii="Calibri" w:hAnsi="Calibri"/>
                <w:color w:val="334155"/>
                <w:sz w:val="19"/>
              </w:rPr>
              <w:t>Scroll down to the 4-Layering Breakdown Cards (Layer 0 to Layer 3).</w:t>
            </w:r>
          </w:p>
          <w:p>
            <w:pPr>
              <w:spacing w:after="40" w:line="276" w:lineRule="auto"/>
            </w:pPr>
            <w:r>
              <w:rPr>
                <w:color w:val="1E3A8A"/>
                <w:sz w:val="16"/>
              </w:rPr>
              <w:t xml:space="preserve">● </w:t>
            </w:r>
            <w:r>
              <w:rPr>
                <w:rFonts w:ascii="Calibri" w:hAnsi="Calibri"/>
                <w:color w:val="334155"/>
                <w:sz w:val="19"/>
              </w:rPr>
              <w:t>Point out the 3 Risk Cards: Fraud Risk (94.2%), Digital Retention (52.8%), and Cash-Out Risk (89.5%).</w:t>
            </w:r>
          </w:p>
          <w:p>
            <w:pPr>
              <w:spacing w:after="40" w:line="276" w:lineRule="auto"/>
            </w:pPr>
            <w:r>
              <w:rPr>
                <w:color w:val="1E3A8A"/>
                <w:sz w:val="16"/>
              </w:rPr>
              <w:t xml:space="preserve">● </w:t>
            </w:r>
            <w:r>
              <w:rPr>
                <w:rFonts w:ascii="Calibri" w:hAnsi="Calibri"/>
                <w:color w:val="334155"/>
                <w:sz w:val="19"/>
              </w:rPr>
              <w:t>Click the terminal mule node to display the automated rapid freeze directive modal.</w:t>
            </w:r>
          </w:p>
        </w:tc>
      </w:tr>
    </w:tbl>
    <w:p>
      <w:pPr>
        <w:spacing w:before="120" w:after="40"/>
      </w:pPr>
      <w:r>
        <w:rPr>
          <w:rFonts w:ascii="Calibri" w:hAnsi="Calibri"/>
          <w:b/>
          <w:color w:val="1E3A8A"/>
          <w:sz w:val="20"/>
        </w:rPr>
        <w:t>EXACT SPOKEN VOICEOVER NARRATION:</w:t>
      </w:r>
    </w:p>
    <w:tbl>
      <w:tblPr>
        <w:tblW w:type="auto" w:w="0"/>
        <w:jc w:val="center"/>
        <w:tblLook w:firstColumn="1" w:firstRow="1" w:lastColumn="0" w:lastRow="0" w:noHBand="0" w:noVBand="1" w:val="04A0"/>
        <w:tblBorders>
          <w:top w:val="single" w:sz="4" w:space="0" w:color="3B82F6"/>
          <w:bottom w:val="single" w:sz="4" w:space="0" w:color="3B82F6"/>
          <w:left w:val="single" w:sz="4" w:space="0" w:color="3B82F6"/>
          <w:right w:val="single" w:sz="4" w:space="0" w:color="3B82F6"/>
          <w:insideH w:val="single" w:sz="4" w:space="0" w:color="3B82F6"/>
          <w:insideV w:val="single" w:sz="4" w:space="0" w:color="3B82F6"/>
        </w:tblBorders>
      </w:tblPr>
      <w:tblGrid>
        <w:gridCol w:w="9360"/>
      </w:tblGrid>
      <w:tr>
        <w:tc>
          <w:tcPr>
            <w:tcW w:type="dxa" w:w="9360"/>
            <w:shd w:fill="F8FAFC"/>
            <w:tcMar>
              <w:top w:w="100" w:type="dxa"/>
              <w:bottom w:w="100" w:type="dxa"/>
              <w:left w:w="140" w:type="dxa"/>
              <w:right w:w="140" w:type="dxa"/>
            </w:tcMar>
          </w:tcPr>
          <w:p>
            <w:pPr>
              <w:spacing w:line="288" w:lineRule="auto" w:after="80"/>
            </w:pPr>
            <w:r>
              <w:rPr>
                <w:rFonts w:ascii="Calibri" w:hAnsi="Calibri"/>
                <w:color w:val="0F172A"/>
                <w:sz w:val="21"/>
              </w:rPr>
              <w:t>"Below the map, FraudFlow provides a structured 4-layer breakdown detailing funds dispersion at each stage."</w:t>
            </w:r>
          </w:p>
          <w:p>
            <w:pPr>
              <w:spacing w:after="80" w:line="288" w:lineRule="auto"/>
            </w:pPr>
            <w:r>
              <w:rPr>
                <w:rFonts w:ascii="Calibri" w:hAnsi="Calibri"/>
                <w:color w:val="0F172A"/>
                <w:sz w:val="21"/>
              </w:rPr>
              <w:t>"Our Multi-Output Random Forest model computes dual predictive metrics: a 94.2% fraud syndicate probability, a 52.8% digital retention window, and an 89.5% imminent cash-out risk."</w:t>
            </w:r>
          </w:p>
          <w:p>
            <w:pPr>
              <w:spacing w:after="80" w:line="288" w:lineRule="auto"/>
            </w:pPr>
            <w:r>
              <w:rPr>
                <w:rFonts w:ascii="Calibri" w:hAnsi="Calibri"/>
                <w:color w:val="0F172A"/>
                <w:sz w:val="21"/>
              </w:rPr>
              <w:t>"To safeguard genuine commerce, our degree-centrality filter ensures legitimate merchants are never accidentally frozen, while generating an automated inter-bank freeze directive for the terminal mule account in under two minutes."</w:t>
            </w:r>
          </w:p>
        </w:tc>
      </w:tr>
    </w:tbl>
    <w:p>
      <w:pPr>
        <w:spacing w:after="160"/>
      </w:pPr>
    </w:p>
    <w:p>
      <w:pPr>
        <w:spacing w:before="280" w:after="40"/>
      </w:pPr>
      <w:r>
        <w:rPr>
          <w:rFonts w:ascii="Calibri" w:hAnsi="Calibri"/>
          <w:b/>
          <w:color w:val="0F172A"/>
          <w:sz w:val="26"/>
        </w:rPr>
        <w:t>Segment 6: Cryptographic Blockchain Ledger &amp; Section 65B Evidence Dossier</w:t>
      </w:r>
    </w:p>
    <w:p>
      <w:pPr>
        <w:spacing w:after="120"/>
      </w:pPr>
      <w:r>
        <w:rPr>
          <w:rFonts w:ascii="Calibri" w:hAnsi="Calibri"/>
          <w:b/>
          <w:color w:val="1E3A8A"/>
          <w:sz w:val="20"/>
        </w:rPr>
        <w:t>Timing Window: 3:00 – 3:25 (25 Seconds)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9360"/>
      </w:tblGrid>
      <w:tr>
        <w:tc>
          <w:tcPr>
            <w:tcW w:type="dxa" w:w="9360"/>
            <w:shd w:fill="F1F5F9"/>
            <w:tcMar>
              <w:top w:w="80" w:type="dxa"/>
              <w:bottom w:w="80" w:type="dxa"/>
              <w:left w:w="120" w:type="dxa"/>
              <w:right w:w="120" w:type="dxa"/>
            </w:tcMar>
          </w:tcPr>
          <w:p>
            <w:pPr>
              <w:spacing w:after="80"/>
            </w:pPr>
            <w:r>
              <w:rPr>
                <w:rFonts w:ascii="Calibri" w:hAnsi="Calibri"/>
                <w:b/>
                <w:color w:val="0F172A"/>
                <w:sz w:val="19"/>
              </w:rPr>
              <w:t>ON-SCREEN ACTIONS (WHAT TO CLICK &amp; SHOW):</w:t>
            </w:r>
          </w:p>
          <w:p>
            <w:pPr>
              <w:spacing w:after="40" w:line="276" w:lineRule="auto"/>
            </w:pPr>
            <w:r>
              <w:rPr>
                <w:color w:val="1E3A8A"/>
                <w:sz w:val="16"/>
              </w:rPr>
              <w:t xml:space="preserve">● </w:t>
            </w:r>
            <w:r>
              <w:rPr>
                <w:rFonts w:ascii="Calibri" w:hAnsi="Calibri"/>
                <w:color w:val="334155"/>
                <w:sz w:val="19"/>
              </w:rPr>
              <w:t>Scroll to the bottom Blockchain Chain of Custody section.</w:t>
            </w:r>
          </w:p>
          <w:p>
            <w:pPr>
              <w:spacing w:after="40" w:line="276" w:lineRule="auto"/>
            </w:pPr>
            <w:r>
              <w:rPr>
                <w:color w:val="1E3A8A"/>
                <w:sz w:val="16"/>
              </w:rPr>
              <w:t xml:space="preserve">● </w:t>
            </w:r>
            <w:r>
              <w:rPr>
                <w:rFonts w:ascii="Calibri" w:hAnsi="Calibri"/>
                <w:color w:val="334155"/>
                <w:sz w:val="19"/>
              </w:rPr>
              <w:t>Point to the green badge: 'INTEGRITY VERIFIED (SHA-256)'.</w:t>
            </w:r>
          </w:p>
          <w:p>
            <w:pPr>
              <w:spacing w:after="40" w:line="276" w:lineRule="auto"/>
            </w:pPr>
            <w:r>
              <w:rPr>
                <w:color w:val="1E3A8A"/>
                <w:sz w:val="16"/>
              </w:rPr>
              <w:t xml:space="preserve">● </w:t>
            </w:r>
            <w:r>
              <w:rPr>
                <w:rFonts w:ascii="Calibri" w:hAnsi="Calibri"/>
                <w:color w:val="334155"/>
                <w:sz w:val="19"/>
              </w:rPr>
              <w:t>Click 'Simulate Tamper' to show instant tamper detection, then click 'Auto-Repair Ledger' to restore green verified status.</w:t>
            </w:r>
          </w:p>
          <w:p>
            <w:pPr>
              <w:spacing w:after="40" w:line="276" w:lineRule="auto"/>
            </w:pPr>
            <w:r>
              <w:rPr>
                <w:color w:val="1E3A8A"/>
                <w:sz w:val="16"/>
              </w:rPr>
              <w:t xml:space="preserve">● </w:t>
            </w:r>
            <w:r>
              <w:rPr>
                <w:rFonts w:ascii="Calibri" w:hAnsi="Calibri"/>
                <w:color w:val="334155"/>
                <w:sz w:val="19"/>
              </w:rPr>
              <w:t>Point to the Section 65B Evidence Export button.</w:t>
            </w:r>
          </w:p>
        </w:tc>
      </w:tr>
    </w:tbl>
    <w:p>
      <w:pPr>
        <w:spacing w:before="120" w:after="40"/>
      </w:pPr>
      <w:r>
        <w:rPr>
          <w:rFonts w:ascii="Calibri" w:hAnsi="Calibri"/>
          <w:b/>
          <w:color w:val="1E3A8A"/>
          <w:sz w:val="20"/>
        </w:rPr>
        <w:t>EXACT SPOKEN VOICEOVER NARRATION:</w:t>
      </w:r>
    </w:p>
    <w:tbl>
      <w:tblPr>
        <w:tblW w:type="auto" w:w="0"/>
        <w:jc w:val="center"/>
        <w:tblLook w:firstColumn="1" w:firstRow="1" w:lastColumn="0" w:lastRow="0" w:noHBand="0" w:noVBand="1" w:val="04A0"/>
        <w:tblBorders>
          <w:top w:val="single" w:sz="4" w:space="0" w:color="3B82F6"/>
          <w:bottom w:val="single" w:sz="4" w:space="0" w:color="3B82F6"/>
          <w:left w:val="single" w:sz="4" w:space="0" w:color="3B82F6"/>
          <w:right w:val="single" w:sz="4" w:space="0" w:color="3B82F6"/>
          <w:insideH w:val="single" w:sz="4" w:space="0" w:color="3B82F6"/>
          <w:insideV w:val="single" w:sz="4" w:space="0" w:color="3B82F6"/>
        </w:tblBorders>
      </w:tblPr>
      <w:tblGrid>
        <w:gridCol w:w="9360"/>
      </w:tblGrid>
      <w:tr>
        <w:tc>
          <w:tcPr>
            <w:tcW w:type="dxa" w:w="9360"/>
            <w:shd w:fill="F8FAFC"/>
            <w:tcMar>
              <w:top w:w="100" w:type="dxa"/>
              <w:bottom w:w="100" w:type="dxa"/>
              <w:left w:w="140" w:type="dxa"/>
              <w:right w:w="140" w:type="dxa"/>
            </w:tcMar>
          </w:tcPr>
          <w:p>
            <w:pPr>
              <w:spacing w:line="288" w:lineRule="auto" w:after="80"/>
            </w:pPr>
            <w:r>
              <w:rPr>
                <w:rFonts w:ascii="Calibri" w:hAnsi="Calibri"/>
                <w:color w:val="0F172A"/>
                <w:sz w:val="21"/>
              </w:rPr>
              <w:t>"To guarantee courtroom admissibility, every transaction node, officer action, and prediction timestamp is committed into an immutable SHA-256 Merkle blockchain ledger."</w:t>
            </w:r>
          </w:p>
          <w:p>
            <w:pPr>
              <w:spacing w:after="80" w:line="288" w:lineRule="auto"/>
            </w:pPr>
            <w:r>
              <w:rPr>
                <w:rFonts w:ascii="Calibri" w:hAnsi="Calibri"/>
                <w:color w:val="0F172A"/>
                <w:sz w:val="21"/>
              </w:rPr>
              <w:t>"Even if database records are maliciously altered, our cryptographic audit chain detects the mismatch instantly and offers one-click self-repair."</w:t>
            </w:r>
          </w:p>
          <w:p>
            <w:pPr>
              <w:spacing w:after="80" w:line="288" w:lineRule="auto"/>
            </w:pPr>
            <w:r>
              <w:rPr>
                <w:rFonts w:ascii="Calibri" w:hAnsi="Calibri"/>
                <w:color w:val="0F172A"/>
                <w:sz w:val="21"/>
              </w:rPr>
              <w:t>"The system automatically generates a court-ready Section 65B Indian Evidence Act certificate, ensuring that digital evidence withstands rigorous judicial scrutiny."</w:t>
            </w:r>
          </w:p>
        </w:tc>
      </w:tr>
    </w:tbl>
    <w:p>
      <w:pPr>
        <w:spacing w:after="160"/>
      </w:pPr>
    </w:p>
    <w:p>
      <w:pPr>
        <w:spacing w:before="280" w:after="40"/>
      </w:pPr>
      <w:r>
        <w:rPr>
          <w:rFonts w:ascii="Calibri" w:hAnsi="Calibri"/>
          <w:b/>
          <w:color w:val="0F172A"/>
          <w:sz w:val="26"/>
        </w:rPr>
        <w:t>Segment 7: Performance Benchmark Summary &amp; Conclusion</w:t>
      </w:r>
    </w:p>
    <w:p>
      <w:pPr>
        <w:spacing w:after="120"/>
      </w:pPr>
      <w:r>
        <w:rPr>
          <w:rFonts w:ascii="Calibri" w:hAnsi="Calibri"/>
          <w:b/>
          <w:color w:val="1E3A8A"/>
          <w:sz w:val="20"/>
        </w:rPr>
        <w:t>Timing Window: 3:25 – 3:35 (10 Seconds)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9360"/>
      </w:tblGrid>
      <w:tr>
        <w:tc>
          <w:tcPr>
            <w:tcW w:type="dxa" w:w="9360"/>
            <w:shd w:fill="F1F5F9"/>
            <w:tcMar>
              <w:top w:w="80" w:type="dxa"/>
              <w:bottom w:w="80" w:type="dxa"/>
              <w:left w:w="120" w:type="dxa"/>
              <w:right w:w="120" w:type="dxa"/>
            </w:tcMar>
          </w:tcPr>
          <w:p>
            <w:pPr>
              <w:spacing w:after="80"/>
            </w:pPr>
            <w:r>
              <w:rPr>
                <w:rFonts w:ascii="Calibri" w:hAnsi="Calibri"/>
                <w:b/>
                <w:color w:val="0F172A"/>
                <w:sz w:val="19"/>
              </w:rPr>
              <w:t>ON-SCREEN ACTIONS (WHAT TO CLICK &amp; SHOW):</w:t>
            </w:r>
          </w:p>
          <w:p>
            <w:pPr>
              <w:spacing w:after="40" w:line="276" w:lineRule="auto"/>
            </w:pPr>
            <w:r>
              <w:rPr>
                <w:color w:val="1E3A8A"/>
                <w:sz w:val="16"/>
              </w:rPr>
              <w:t xml:space="preserve">● </w:t>
            </w:r>
            <w:r>
              <w:rPr>
                <w:rFonts w:ascii="Calibri" w:hAnsi="Calibri"/>
                <w:color w:val="334155"/>
                <w:sz w:val="19"/>
              </w:rPr>
              <w:t>Zoom back out to the full dashboard showing all modules active.</w:t>
            </w:r>
          </w:p>
          <w:p>
            <w:pPr>
              <w:spacing w:after="40" w:line="276" w:lineRule="auto"/>
            </w:pPr>
            <w:r>
              <w:rPr>
                <w:color w:val="1E3A8A"/>
                <w:sz w:val="16"/>
              </w:rPr>
              <w:t xml:space="preserve">● </w:t>
            </w:r>
            <w:r>
              <w:rPr>
                <w:rFonts w:ascii="Calibri" w:hAnsi="Calibri"/>
                <w:color w:val="334155"/>
                <w:sz w:val="19"/>
              </w:rPr>
              <w:t>Display concluding summary text on screen.</w:t>
            </w:r>
          </w:p>
        </w:tc>
      </w:tr>
    </w:tbl>
    <w:p>
      <w:pPr>
        <w:spacing w:before="120" w:after="40"/>
      </w:pPr>
      <w:r>
        <w:rPr>
          <w:rFonts w:ascii="Calibri" w:hAnsi="Calibri"/>
          <w:b/>
          <w:color w:val="1E3A8A"/>
          <w:sz w:val="20"/>
        </w:rPr>
        <w:t>EXACT SPOKEN VOICEOVER NARRATION:</w:t>
      </w:r>
    </w:p>
    <w:tbl>
      <w:tblPr>
        <w:tblW w:type="auto" w:w="0"/>
        <w:jc w:val="center"/>
        <w:tblLook w:firstColumn="1" w:firstRow="1" w:lastColumn="0" w:lastRow="0" w:noHBand="0" w:noVBand="1" w:val="04A0"/>
        <w:tblBorders>
          <w:top w:val="single" w:sz="4" w:space="0" w:color="3B82F6"/>
          <w:bottom w:val="single" w:sz="4" w:space="0" w:color="3B82F6"/>
          <w:left w:val="single" w:sz="4" w:space="0" w:color="3B82F6"/>
          <w:right w:val="single" w:sz="4" w:space="0" w:color="3B82F6"/>
          <w:insideH w:val="single" w:sz="4" w:space="0" w:color="3B82F6"/>
          <w:insideV w:val="single" w:sz="4" w:space="0" w:color="3B82F6"/>
        </w:tblBorders>
      </w:tblPr>
      <w:tblGrid>
        <w:gridCol w:w="9360"/>
      </w:tblGrid>
      <w:tr>
        <w:tc>
          <w:tcPr>
            <w:tcW w:type="dxa" w:w="9360"/>
            <w:shd w:fill="F8FAFC"/>
            <w:tcMar>
              <w:top w:w="100" w:type="dxa"/>
              <w:bottom w:w="100" w:type="dxa"/>
              <w:left w:w="140" w:type="dxa"/>
              <w:right w:w="140" w:type="dxa"/>
            </w:tcMar>
          </w:tcPr>
          <w:p>
            <w:pPr>
              <w:spacing w:line="288" w:lineRule="auto" w:after="80"/>
            </w:pPr>
            <w:r>
              <w:rPr>
                <w:rFonts w:ascii="Calibri" w:hAnsi="Calibri"/>
                <w:color w:val="0F172A"/>
                <w:sz w:val="21"/>
              </w:rPr>
              <w:t>"Tested across 1,000 multi-hop scenarios, FraudFlow delivers end-to-end pipeline execution in just 95 milliseconds, boosting fund recovery rates from 4.8% to over 85%."</w:t>
            </w:r>
          </w:p>
          <w:p>
            <w:pPr>
              <w:spacing w:after="80" w:line="288" w:lineRule="auto"/>
            </w:pPr>
            <w:r>
              <w:rPr>
                <w:rFonts w:ascii="Calibri" w:hAnsi="Calibri"/>
                <w:color w:val="0F172A"/>
                <w:sz w:val="21"/>
              </w:rPr>
              <w:t>"FraudFlow Intelligence: Empowering Indian law enforcement to intercept cyber fraud before the money leaves the machine. Thank you."</w:t>
            </w:r>
          </w:p>
        </w:tc>
      </w:tr>
    </w:tbl>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