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E66600"/>
          <w:sz w:val="17"/>
        </w:rPr>
        <w:t>SMART INDIA HACKATHON 2026 | PROBLEM STATEMENT ID: 26106 | AICTE CYBER SECURITY CELL</w:t>
      </w:r>
    </w:p>
    <w:p>
      <w:pPr>
        <w:spacing w:after="40"/>
      </w:pPr>
      <w:r>
        <w:rPr>
          <w:rFonts w:ascii="Arial" w:hAnsi="Arial"/>
          <w:b/>
          <w:color w:val="003366"/>
          <w:sz w:val="44"/>
        </w:rPr>
        <w:t>HopTrace Forensics: Official SIH Presentation Deck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Complete Slide Content, Data Pipelines, Comparison Tables, Speaker Notes &amp; Jury Defense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Problem Statement</w:t>
            </w:r>
          </w:p>
        </w:tc>
        <w:tc>
          <w:tcPr>
            <w:tcW w:type="dxa" w:w="648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PS 26106: AI-Powered Email Threat Detection, GeoLocation and Forensic Intelligence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Ministry / Agency</w:t>
            </w:r>
          </w:p>
        </w:tc>
        <w:tc>
          <w:tcPr>
            <w:tcW w:type="dxa" w:w="648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All India Council for Technical Education (AICTE) - Cyber Security Cell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Theme &amp; Category</w:t>
            </w:r>
          </w:p>
        </w:tc>
        <w:tc>
          <w:tcPr>
            <w:tcW w:type="dxa" w:w="648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Blockchain &amp; Cybersecurity | Software / Institutional Cyber Defense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Platform Prototype</w:t>
            </w:r>
          </w:p>
        </w:tc>
        <w:tc>
          <w:tcPr>
            <w:tcW w:type="dxa" w:w="648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Live on http://127.0.0.1:8050 | Calibrated Scoring (0-98%) | Section 65B Compliant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1: Title &amp; Team Credentials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Project Title:</w:t>
      </w:r>
      <w:r>
        <w:rPr>
          <w:rFonts w:ascii="Arial" w:hAnsi="Arial"/>
          <w:color w:val="1E293B"/>
          <w:sz w:val="19"/>
        </w:rPr>
        <w:t xml:space="preserve"> HopTrace Forensics - AI-Powered Email Threat Detection, GeoLocation &amp; Forensic Intelligence Platform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Problem Statement ID:</w:t>
      </w:r>
      <w:r>
        <w:rPr>
          <w:rFonts w:ascii="Arial" w:hAnsi="Arial"/>
          <w:color w:val="1E293B"/>
          <w:sz w:val="19"/>
        </w:rPr>
        <w:t xml:space="preserve"> 26106 (Theme: Blockchain &amp; Cybersecurity)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Target Organization:</w:t>
      </w:r>
      <w:r>
        <w:rPr>
          <w:rFonts w:ascii="Arial" w:hAnsi="Arial"/>
          <w:color w:val="1E293B"/>
          <w:sz w:val="19"/>
        </w:rPr>
        <w:t xml:space="preserve"> All India Council for Technical Education (AICTE) - Cyber Security Cell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Category:</w:t>
      </w:r>
      <w:r>
        <w:rPr>
          <w:rFonts w:ascii="Arial" w:hAnsi="Arial"/>
          <w:color w:val="1E293B"/>
          <w:sz w:val="19"/>
        </w:rPr>
        <w:t xml:space="preserve"> Software / Institutional Cyber Defense Solution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Core Value Proposition:</w:t>
      </w:r>
      <w:r>
        <w:rPr>
          <w:rFonts w:ascii="Arial" w:hAnsi="Arial"/>
          <w:color w:val="1E293B"/>
          <w:sz w:val="19"/>
        </w:rPr>
        <w:t xml:space="preserve"> Sovereign, Section 65B BSA 2023 compliant email origin tracing and threat intelligence engine.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Introduce your team with authority. State that HopTrace Forensics was purpose-built to solve institutional cyber threats targeting AICTE, affiliated colleges, and state universities across India.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2: The Problem Statement &amp; Institutional Landscape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Targeted Impersonation of Regulatory Bodies:</w:t>
      </w:r>
      <w:r>
        <w:rPr>
          <w:rFonts w:ascii="Arial" w:hAnsi="Arial"/>
          <w:color w:val="1E293B"/>
          <w:sz w:val="19"/>
        </w:rPr>
        <w:t xml:space="preserve"> Cyber syndicates spoof circulars from AICTE, UGC, and university officials to extort fake compliance penalties from colleges.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Campus Business Email Compromise (BEC):</w:t>
      </w:r>
      <w:r>
        <w:rPr>
          <w:rFonts w:ascii="Arial" w:hAnsi="Arial"/>
          <w:color w:val="1E293B"/>
          <w:sz w:val="19"/>
        </w:rPr>
        <w:t xml:space="preserve"> University vendor procurement payments, research grants, and student fee escrows are diverted using spoofed Return-Path and Reply-To headers.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Anonymized Attribution Failure:</w:t>
      </w:r>
      <w:r>
        <w:rPr>
          <w:rFonts w:ascii="Arial" w:hAnsi="Arial"/>
          <w:color w:val="1E293B"/>
          <w:sz w:val="19"/>
        </w:rPr>
        <w:t xml:space="preserve"> Attackers route malicious traffic through Tor exit nodes and commercial VPNs, leaving local IT administrators unable to pinpoint the physical origin.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85%+ Judicial Inadmissibility:</w:t>
      </w:r>
      <w:r>
        <w:rPr>
          <w:rFonts w:ascii="Arial" w:hAnsi="Arial"/>
          <w:color w:val="1E293B"/>
          <w:sz w:val="19"/>
        </w:rPr>
        <w:t xml:space="preserve"> Over 85% of institutional cybercrime evidence fails in Indian courts due to a lack of cryptographic chain of custody under Section 65B of the Indian Evidence Act / Bharatiya Sakshya Adhiniyam 2023.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The Critical Gap:</w:t>
      </w:r>
      <w:r>
        <w:rPr>
          <w:rFonts w:ascii="Arial" w:hAnsi="Arial"/>
          <w:color w:val="1E293B"/>
          <w:sz w:val="19"/>
        </w:rPr>
        <w:t xml:space="preserve"> Conventional spam filters only provide a binary 'Spam/Ham' classification; they cannot unwind multi-hop relay headers, detect Cyrillic punycode spoofs, or generate court-admissible forensic certificates.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Highlight the difference between spam filtering and forensics. Standard filters stop junk; HopTrace provides legal evidence and attacker attribution.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3: Proposed Solution — HopTrace Forensics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Multi-Hop Reverse Received Traversal:</w:t>
      </w:r>
      <w:r>
        <w:rPr>
          <w:rFonts w:ascii="Arial" w:hAnsi="Arial"/>
          <w:color w:val="1E293B"/>
          <w:sz w:val="19"/>
        </w:rPr>
        <w:t xml:space="preserve"> Unwinds Received: headers backwards from the recipient MTA to the earliest external relay, bypassing forged client headers.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Tactical Threat Simulation Matrix:</w:t>
      </w:r>
      <w:r>
        <w:rPr>
          <w:rFonts w:ascii="Arial" w:hAnsi="Arial"/>
          <w:color w:val="1E293B"/>
          <w:sz w:val="19"/>
        </w:rPr>
        <w:t xml:space="preserve"> Real-time audit studio allowing SOC analysts to simulate attack vectors, test spoofed headers, and inject extortion payloads on the fly.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Zero-Day IDN Homoglyph Punycode Detection:</w:t>
      </w:r>
      <w:r>
        <w:rPr>
          <w:rFonts w:ascii="Arial" w:hAnsi="Arial"/>
          <w:color w:val="1E293B"/>
          <w:sz w:val="19"/>
        </w:rPr>
        <w:t xml:space="preserve"> Unmasks deceptive internationalized domain names (e.g., Cyrillic 'a' U+0430 mimicking English 'a' in aicte-india.org).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Bayesian Asymptotic Threat Scoring (0 - 98%):</w:t>
      </w:r>
      <w:r>
        <w:rPr>
          <w:rFonts w:ascii="Arial" w:hAnsi="Arial"/>
          <w:color w:val="1E293B"/>
          <w:sz w:val="19"/>
        </w:rPr>
        <w:t xml:space="preserve"> Proportional risk index combining cryptographic auth, Tor/VPN flags, and NLP psychological pressure cues.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Section 65B BSA 2023 Blockchain Custody:</w:t>
      </w:r>
      <w:r>
        <w:rPr>
          <w:rFonts w:ascii="Arial" w:hAnsi="Arial"/>
          <w:color w:val="1E293B"/>
          <w:sz w:val="19"/>
        </w:rPr>
        <w:t xml:space="preserve"> Cryptographic SHA-256 evidence hashing anchored to a Polygon smart contract receipt with auto-generated legal certificates.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National Threat Campaign Graphs:</w:t>
      </w:r>
      <w:r>
        <w:rPr>
          <w:rFonts w:ascii="Arial" w:hAnsi="Arial"/>
          <w:color w:val="1E293B"/>
          <w:sz w:val="19"/>
        </w:rPr>
        <w:t xml:space="preserve"> Correlates IPs, domains, and ASNs across multiple FIRs to identify organized cybercrime syndicates.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Walk the jury through HopTrace as a full lifecycle system: from inbox ingestion to real-time analysis, threat scoring, and courtroom evidence certification.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4: System Architecture &amp; Technical Data Pipeline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Layer 1 - Ingestion &amp; MIME Parsing:</w:t>
      </w:r>
      <w:r>
        <w:rPr>
          <w:rFonts w:ascii="Arial" w:hAnsi="Arial"/>
          <w:color w:val="1E293B"/>
          <w:sz w:val="19"/>
        </w:rPr>
        <w:t xml:space="preserve"> Raw .EML/.MSG ingestion, RFC 5322 header extraction, safe body rendering, and 10MB payload ceiling defense.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Layer 2 - Network &amp; Header Forensics:</w:t>
      </w:r>
      <w:r>
        <w:rPr>
          <w:rFonts w:ascii="Arial" w:hAnsi="Arial"/>
          <w:color w:val="1E293B"/>
          <w:sz w:val="19"/>
        </w:rPr>
        <w:t xml:space="preserve"> Reverse Received: header unwinding, private LAN RFC 1918 filtering, GeoIP lookup (City, Country, ASN, ISP), and Tor/VPN flagging.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Layer 3 - Cryptographic Protocol Validation:</w:t>
      </w:r>
      <w:r>
        <w:rPr>
          <w:rFonts w:ascii="Arial" w:hAnsi="Arial"/>
          <w:color w:val="1E293B"/>
          <w:sz w:val="19"/>
        </w:rPr>
        <w:t xml:space="preserve"> DNS record querying for SPF alignment, DKIM public key signature validation, and DMARC enforcement policy.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Layer 4 - AI Threat &amp; Behavioral NLP Engine:</w:t>
      </w:r>
      <w:r>
        <w:rPr>
          <w:rFonts w:ascii="Arial" w:hAnsi="Arial"/>
          <w:color w:val="1E293B"/>
          <w:sz w:val="19"/>
        </w:rPr>
        <w:t xml:space="preserve"> Intent classification (Urgency, BEC payment diversion, Credential theft), authority impersonation role extraction, and URL defanging (hxxp://).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Layer 5 - Scoring &amp; Attribution:</w:t>
      </w:r>
      <w:r>
        <w:rPr>
          <w:rFonts w:ascii="Arial" w:hAnsi="Arial"/>
          <w:color w:val="1E293B"/>
          <w:sz w:val="19"/>
        </w:rPr>
        <w:t xml:space="preserve"> Bayesian asymptotic risk formula mapping composite severity into a calibrated 0 - 98% threat index.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Layer 6 - Legal Evidence Ledger:</w:t>
      </w:r>
      <w:r>
        <w:rPr>
          <w:rFonts w:ascii="Arial" w:hAnsi="Arial"/>
          <w:color w:val="1E293B"/>
          <w:sz w:val="19"/>
        </w:rPr>
        <w:t xml:space="preserve"> Millisecond SHA-256/SHA-512 digest creation, Section 65B BSA 2023 digital certificate, and Polygon blockchain smart contract anchoring.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Emphasize the modular pipeline. Data flows sequentially through all 6 layers in under 500 milliseconds without modifying or tampering with the original evidence.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5: Competitive Advantage &amp; Unique Selling Propositions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Forensic Feature</w:t>
            </w:r>
          </w:p>
        </w:tc>
        <w:tc>
          <w:tcPr>
            <w:tcW w:type="dxa" w:w="2412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Legacy Spam Filters</w:t>
            </w:r>
          </w:p>
        </w:tc>
        <w:tc>
          <w:tcPr>
            <w:tcW w:type="dxa" w:w="2412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Generic SIEMs</w:t>
            </w:r>
          </w:p>
        </w:tc>
        <w:tc>
          <w:tcPr>
            <w:tcW w:type="dxa" w:w="2412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HopTrace Forensics (Our Solution)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Origin Tracing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Single client IP (often forged)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Raw unstructured log dump</w:t>
            </w:r>
          </w:p>
        </w:tc>
        <w:tc>
          <w:tcPr>
            <w:tcW w:type="dxa" w:w="302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Automated multi-hop reverse traversal with interactive Leaflet map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Lookalike Detection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Domain reputation only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Manual regex search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Real-time Cyrillic Punycode homoglyph de-obfuscation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AI Threat Intel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Static keyword blacklist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Alert count aggregation</w:t>
            </w:r>
          </w:p>
        </w:tc>
        <w:tc>
          <w:tcPr>
            <w:tcW w:type="dxa" w:w="302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Contextual NLP classification (Urgency, BEC) + URL defanging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Risk Scoring Model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Binary Spam / Ham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Rule thresholds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Bayesian asymptotic calibration (0-98%) reflecting true certainty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Legal Admissibility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None (Inadmissible in court)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Non-cryptographic log files</w:t>
            </w:r>
          </w:p>
        </w:tc>
        <w:tc>
          <w:tcPr>
            <w:tcW w:type="dxa" w:w="302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Automated Section 65B BSA 2023 Certificate + Polygon Blockchain Receipt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Platform Security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Standard web application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Generic enterprise tool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OWASP Top 10 Hardened (XSS entity escaping, CSP headers, bounded LRU)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User Interface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End-user mailbox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Complex query dashboard</w:t>
            </w:r>
          </w:p>
        </w:tc>
        <w:tc>
          <w:tcPr>
            <w:tcW w:type="dxa" w:w="302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Official Indian Government Portal SOC Theme (Deep Navy, zero emojis)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Use this comparison table to defend your project against questions like 'Why not just use Microsoft Defender or Splunk?'. HopTrace is purpose-built for institutional forensics and Indian courtroom evidence.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6: Demonstration Benchmark Cases (6 Real-World Scenarios)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1930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Scenario &amp; Threat Vector</w:t>
            </w:r>
          </w:p>
        </w:tc>
        <w:tc>
          <w:tcPr>
            <w:tcW w:type="dxa" w:w="1930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Origin Node</w:t>
            </w:r>
          </w:p>
        </w:tc>
        <w:tc>
          <w:tcPr>
            <w:tcW w:type="dxa" w:w="1930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Threat Score</w:t>
            </w:r>
          </w:p>
        </w:tc>
        <w:tc>
          <w:tcPr>
            <w:tcW w:type="dxa" w:w="1930"/>
            <w:shd w:val="clear" w:color="auto"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Forensic Verdict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Case 1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AICTE Official Impersonation (Cyrillic homoglyph + extortion fee demand)</w:t>
            </w:r>
          </w:p>
        </w:tc>
        <w:tc>
          <w:tcPr>
            <w:tcW w:type="dxa" w:w="24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Frankfurt, DE (Tor Exit: 185.220.101.5)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98 / 100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CRITICAL: Malicious Homoglyph Extortion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Case 2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Campus Vendor BEC (Payment diversion requesting ₹14.5L to fake escrow)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Dallas, USA (Commercial VPN: 198.98.56.12)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93 / 100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CRITICAL: Business Email Compromise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Case 3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PMSSS Scholarship Phish (Fake portal harvesting student net banking)</w:t>
            </w:r>
          </w:p>
        </w:tc>
        <w:tc>
          <w:tcPr>
            <w:tcW w:type="dxa" w:w="24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Amsterdam, NL (Tor Relay: 185.220.102.8)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96 / 100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CRITICAL: Credential Harvesting Scam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Case 4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Income Tax Refund Scam (Impersonated tax notice requesting immediate verification)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Bucharest, RO (Bulletproof: 185.193.88.21)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77 / 100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CRITICAL: Fraudulent Financial Circular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Case 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Campus Ransomware Dropper (Double extension payload Invoice-Audit.pdf.exe)</w:t>
            </w:r>
          </w:p>
        </w:tc>
        <w:tc>
          <w:tcPr>
            <w:tcW w:type="dxa" w:w="24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Hong Kong (Proxy DC: 118.193.41.102)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77 / 100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CRITICAL: Malicious Executable Dropper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Case 6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Legitimate AICTE Circular (Official technical guidelines circular)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New Delhi, IN (NIC Govt: 103.27.8.44)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0 / 100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LOW: Genuine AICTE Transmission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Point out that Case 6 acts as a clean control baseline (0/100), proving the system produces zero false positives on genuine government circulars.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7: Sovereign Technology Stack &amp; Deployment Feasibility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Backend Architecture:</w:t>
      </w:r>
      <w:r>
        <w:rPr>
          <w:rFonts w:ascii="Arial" w:hAnsi="Arial"/>
          <w:color w:val="1E293B"/>
          <w:sz w:val="19"/>
        </w:rPr>
        <w:t xml:space="preserve"> Python 3.11+, FastAPI (asynchronous high-throughput REST API), Uvicorn ASGI server.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Forensic &amp; Cryptographic Engine:</w:t>
      </w:r>
      <w:r>
        <w:rPr>
          <w:rFonts w:ascii="Arial" w:hAnsi="Arial"/>
          <w:color w:val="1E293B"/>
          <w:sz w:val="19"/>
        </w:rPr>
        <w:t xml:space="preserve"> RFC 5322 MIME engine, hashlib (SHA-256/SHA-512), dnspython.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Frontend &amp; Geolocation:</w:t>
      </w:r>
      <w:r>
        <w:rPr>
          <w:rFonts w:ascii="Arial" w:hAnsi="Arial"/>
          <w:color w:val="1E293B"/>
          <w:sz w:val="19"/>
        </w:rPr>
        <w:t xml:space="preserve"> Modern HTML5, Indian Government CSS design system, Vanilla JavaScript (v13.0 AppSec hardened), Leaflet.js, OpenStreetMap.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Blockchain Anchoring:</w:t>
      </w:r>
      <w:r>
        <w:rPr>
          <w:rFonts w:ascii="Arial" w:hAnsi="Arial"/>
          <w:color w:val="1E293B"/>
          <w:sz w:val="19"/>
        </w:rPr>
        <w:t xml:space="preserve"> Polygon PoS smart contract receipt anchoring with deterministic block hashes.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AppSec Hardening:</w:t>
      </w:r>
      <w:r>
        <w:rPr>
          <w:rFonts w:ascii="Arial" w:hAnsi="Arial"/>
          <w:color w:val="1E293B"/>
          <w:sz w:val="19"/>
        </w:rPr>
        <w:t xml:space="preserve"> Content-Security-Policy (CSP), X-Frame-Options: DENY, escapeHtml() sanitization, bounded LRU memory caching (MAX_CASES = 100), 10MB payload ceiling.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Deployment Feasibility:</w:t>
      </w:r>
      <w:r>
        <w:rPr>
          <w:rFonts w:ascii="Arial" w:hAnsi="Arial"/>
          <w:color w:val="1E293B"/>
          <w:sz w:val="19"/>
        </w:rPr>
        <w:t xml:space="preserve"> Containerized Docker architecture, ready for immediate on-premise deployment in AICTE HQ or state university SOC data centers with zero proprietary license costs.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Emphasize that the stack is 100% sovereign and free of proprietary cloud black-box dependencies. It can be hosted entirely on internal government servers.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Slide 8: Conclusion &amp; National Cyber Defense Impact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Direct Alignment with National Priorities:</w:t>
      </w:r>
      <w:r>
        <w:rPr>
          <w:rFonts w:ascii="Arial" w:hAnsi="Arial"/>
          <w:color w:val="1E293B"/>
          <w:sz w:val="19"/>
        </w:rPr>
        <w:t xml:space="preserve"> Fulfills AICTE Problem Statement 26106 and supports CERT-In institutional security mandates.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From Detection to Judicial Conviction:</w:t>
      </w:r>
      <w:r>
        <w:rPr>
          <w:rFonts w:ascii="Arial" w:hAnsi="Arial"/>
          <w:color w:val="1E293B"/>
          <w:sz w:val="19"/>
        </w:rPr>
        <w:t xml:space="preserve"> Bridges the critical gap between automated SOC threat detection and state cyber cell courtroom prosecution under Bharatiya Sakshya Adhiniyam 2023.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Production-Ready Prototype:</w:t>
      </w:r>
      <w:r>
        <w:rPr>
          <w:rFonts w:ascii="Arial" w:hAnsi="Arial"/>
          <w:color w:val="1E293B"/>
          <w:sz w:val="19"/>
        </w:rPr>
        <w:t xml:space="preserve"> Fully verified, operating locally at http://127.0.0.1:8050 with real-time attack simulation.</w:t>
      </w:r>
    </w:p>
    <w:p>
      <w:pPr>
        <w:pStyle w:val="ListBullet"/>
      </w:pPr>
      <w:r>
        <w:rPr>
          <w:rFonts w:ascii="Arial" w:hAnsi="Arial"/>
          <w:b/>
          <w:color w:val="003366"/>
          <w:sz w:val="19"/>
        </w:rPr>
        <w:t>Sovereign Vision:</w:t>
      </w:r>
      <w:r>
        <w:rPr>
          <w:rFonts w:ascii="Arial" w:hAnsi="Arial"/>
          <w:color w:val="1E293B"/>
          <w:sz w:val="19"/>
        </w:rPr>
        <w:t xml:space="preserve"> Equipping Indian universities and regulatory bodies with an indigenous, high-precision shield against sophisticated foreign and domestic cyber attacks.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E66600"/>
                <w:sz w:val="18"/>
              </w:rPr>
              <w:t xml:space="preserve">Speaker Notes &amp; Jury Defense: </w:t>
            </w:r>
            <w:r>
              <w:rPr>
                <w:rFonts w:ascii="Arial" w:hAnsi="Arial"/>
                <w:color w:val="1E293B"/>
                <w:sz w:val="18"/>
              </w:rPr>
              <w:t>Conclude with high energy and confidence. Invite the jury to test custom emails in your live simulation studio.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