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E66600"/>
          <w:sz w:val="17"/>
        </w:rPr>
        <w:t>SMART INDIA HACKATHON 2026 | PROBLEM STATEMENT 26106 | AICTE CYBER SECURITY CELL</w:t>
      </w:r>
    </w:p>
    <w:p>
      <w:pPr>
        <w:spacing w:after="80"/>
      </w:pPr>
      <w:r>
        <w:rPr>
          <w:rFonts w:ascii="Arial" w:hAnsi="Arial"/>
          <w:b/>
          <w:color w:val="003366"/>
          <w:sz w:val="40"/>
        </w:rPr>
        <w:t>HopTrace Forensics: Official Video Pitch &amp; Software Walkthrough Script</w:t>
      </w:r>
    </w:p>
    <w:p>
      <w:pPr>
        <w:spacing w:after="320"/>
      </w:pPr>
      <w:r>
        <w:rPr>
          <w:rFonts w:ascii="Arial" w:hAnsi="Arial"/>
          <w:i/>
          <w:color w:val="64748B"/>
          <w:sz w:val="22"/>
        </w:rPr>
        <w:t>Comprehensive 2.5 to 3.0 Minute YouTube Video Presentation &amp; Button-by-Button Demonstration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Project Name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HopTrace Forensics (AI-Powered Email Threat Detection &amp; Forensic Platform)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Target Video Duration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2 Minutes 30 Seconds to 3 Minutes (~350 - 380 spoken words)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Primary Evaluator Criteria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Technical Depth, Section 65B Legal Validity, Multi-Hop Tracing, Live Usability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Recommended Voiceover Pace</w:t>
            </w:r>
          </w:p>
        </w:tc>
        <w:tc>
          <w:tcPr>
            <w:tcW w:type="dxa" w:w="61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Confident, firm, professional delivery (approx. 130 words per minute)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003366"/>
          <w:sz w:val="26"/>
        </w:rPr>
        <w:t>1. Master Video Timeline &amp;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Timestamp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Section / Feature Focus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Core Objective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0:00 - 0:25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color w:val="1E293B"/>
                <w:sz w:val="18"/>
              </w:rPr>
              <w:t>The Institutional Threat &amp; HopTrace Solution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color w:val="1E293B"/>
                <w:sz w:val="18"/>
              </w:rPr>
              <w:t>Hook evaluators with real-world Indian cyber threat context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0:25 - 1:05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93B"/>
                <w:sz w:val="18"/>
              </w:rPr>
              <w:t>Live Email Threat Scanner &amp; Tactical Matrix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93B"/>
                <w:sz w:val="18"/>
              </w:rPr>
              <w:t>Demonstrate interactive audit, Cyrillic detection, and Bayesian scoring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1:05 - 1:40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color w:val="1E293B"/>
                <w:sz w:val="18"/>
              </w:rPr>
              <w:t>Dashboard, Dropdown Selector &amp; Multi-Hop Trace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color w:val="1E293B"/>
                <w:sz w:val="18"/>
              </w:rPr>
              <w:t>Show enterprise case triage, reverse header traversal, and Leaflet map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1:40 - 2:15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93B"/>
                <w:sz w:val="18"/>
              </w:rPr>
              <w:t>Protocol Authentication &amp; AI Threat Intel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93B"/>
                <w:sz w:val="18"/>
              </w:rPr>
              <w:t>Validate SPF/DKIM/DMARC, homoglyph punycode, and defanged URLs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2:15 - 2:45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color w:val="1E293B"/>
                <w:sz w:val="18"/>
              </w:rPr>
              <w:t>Section 65B Legal Custody &amp; Threat Campaigns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rFonts w:ascii="Arial" w:hAnsi="Arial"/>
                <w:color w:val="1E293B"/>
                <w:sz w:val="18"/>
              </w:rPr>
              <w:t>Prove courtroom admissibility (BSA 2023) and multi-FIR syndication</w:t>
            </w:r>
          </w:p>
        </w:tc>
      </w:tr>
      <w:tr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2:45 - 3:00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93B"/>
                <w:sz w:val="18"/>
              </w:rPr>
              <w:t>Conclusion &amp; National Strategic Impact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93B"/>
                <w:sz w:val="18"/>
              </w:rPr>
              <w:t>Deliver authoritative closing statement on institutional cyber defense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003366"/>
          <w:sz w:val="26"/>
        </w:rPr>
        <w:t>2. Scene-by-Scene Video Script &amp; Click Action Guide</w:t>
      </w:r>
    </w:p>
    <w:p>
      <w:pPr>
        <w:spacing w:before="200" w:after="40"/>
      </w:pPr>
      <w:r>
        <w:rPr>
          <w:rFonts w:ascii="Arial" w:hAnsi="Arial"/>
          <w:b/>
          <w:color w:val="003366"/>
          <w:sz w:val="23"/>
        </w:rPr>
        <w:t>Scene 1: Introduction &amp; Problem Statement</w:t>
      </w:r>
    </w:p>
    <w:p>
      <w:pPr>
        <w:spacing w:after="80"/>
      </w:pPr>
      <w:r>
        <w:rPr>
          <w:rFonts w:ascii="Arial" w:hAnsi="Arial"/>
          <w:b/>
          <w:color w:val="E66600"/>
          <w:sz w:val="19"/>
        </w:rPr>
        <w:t>Timing: 0:00 - 0:25 (Duration: 25s | ~45 words)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On-Screen Action: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Browser in full screen (F11). Camera/Screen captures the official Indian Government Header: Ashoka emblem, Indian Tricolor banner, Examiner Clearance badge (OFFICER: INV-7821), and the live date pill.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Spoken Script:</w:t>
            </w:r>
          </w:p>
        </w:tc>
        <w:tc>
          <w:tcPr>
            <w:tcW w:type="dxa" w:w="67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Respected Evaluators and Jury Members. In India, institutional email spoofing, Business Email Compromise, and impersonation of regulatory bodies like AICTE cause crores in financial fraud and reputational damage every month.</w:t>
              <w:br/>
              <w:br/>
              <w:t>Traditional email filters merely label messages as spam, but fail to conduct forensic attribution or trace attackers hiding behind VPNs and Tor relays.</w:t>
              <w:br/>
              <w:br/>
              <w:t>Introducing HopTrace Forensics - an AI-powered, Section 65B compliant cyber-forensic platform engineered specifically for institutional SOC teams and law enforcement agencies.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Arial" w:hAnsi="Arial"/>
          <w:b/>
          <w:color w:val="003366"/>
          <w:sz w:val="23"/>
        </w:rPr>
        <w:t>Scene 2: Email Threat Scanner &amp; Tactical Matrix</w:t>
      </w:r>
    </w:p>
    <w:p>
      <w:pPr>
        <w:spacing w:after="80"/>
      </w:pPr>
      <w:r>
        <w:rPr>
          <w:rFonts w:ascii="Arial" w:hAnsi="Arial"/>
          <w:b/>
          <w:color w:val="E66600"/>
          <w:sz w:val="19"/>
        </w:rPr>
        <w:t>Timing: 0:25 - 1:05 (Duration: 40s | ~65 words)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On-Screen Action: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Navigate to the Email Threat Scanner tab (active by default). Point cursor to the parameter form. Click 'Case 1: AICTE Homoglyph Spoof' inside the Tactical Threat Scenario Matrix. Next, click the attack injector button '+ INR 50,000 Extortion'. Click the primary button 'Audit &amp; Trace Email'. Show right column updating in real time.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Spoken Script:</w:t>
            </w:r>
          </w:p>
        </w:tc>
        <w:tc>
          <w:tcPr>
            <w:tcW w:type="dxa" w:w="67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Our primary operational gateway is the Email Threat Scanner. Here, investigators can simulate and audit live transmissions in real time.</w:t>
              <w:br/>
              <w:br/>
              <w:t>With our Tactical Threat Scenario Matrix, we instantly load real-world attacks - such as Cyrillic homoglyph spoofs or scholarship phishing. We can even inject extortion vectors dynamically.</w:t>
              <w:br/>
              <w:br/>
              <w:t>Clicking 'Audit &amp; Trace Email' activates our multi-layered telemetry engine. Instantly, our Bayesian-calibrated scoring rates the attack at 98 out of 100 Critical Risk, flags the Frankfurt Tor exit node, unmasks the punycode domain, and highlights behavioral coercion patterns.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Arial" w:hAnsi="Arial"/>
          <w:b/>
          <w:color w:val="003366"/>
          <w:sz w:val="23"/>
        </w:rPr>
        <w:t>Scene 3: Dashboard &amp; Multi-Hop Reverse Traversal</w:t>
      </w:r>
    </w:p>
    <w:p>
      <w:pPr>
        <w:spacing w:after="80"/>
      </w:pPr>
      <w:r>
        <w:rPr>
          <w:rFonts w:ascii="Arial" w:hAnsi="Arial"/>
          <w:b/>
          <w:color w:val="E66600"/>
          <w:sz w:val="19"/>
        </w:rPr>
        <w:t>Timing: 1:05 - 1:40 (Duration: 35s | ~55 words)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On-Screen Action: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Click the 'Dashboard' navigation tab. Point to the incident bar and switch the dropdown menu to 'Case 2: Campus BEC'. Click the 'Origin Map' tab showing the OpenStreetMap flight line and pins. Then click the 'Forensic Hops' tab showing each hop card.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Spoken Script:</w:t>
            </w:r>
          </w:p>
        </w:tc>
        <w:tc>
          <w:tcPr>
            <w:tcW w:type="dxa" w:w="67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Navigating to the Dashboard, our enterprise case bar allows investigators to switch between active incidents seamlessly using this compact selector, or ingest custom .eml raw files.</w:t>
              <w:br/>
              <w:br/>
              <w:t>Threat actors routinely forge From headers and insert fake Received headers. HopTrace solves this by traversing the entire Received chain backwards.</w:t>
              <w:br/>
              <w:br/>
              <w:t>Under Origin Map and Forensic Hops, we extract the true originating network node, plotting the geographical path across international relays while discarding internal LAN hops.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Arial" w:hAnsi="Arial"/>
          <w:b/>
          <w:color w:val="003366"/>
          <w:sz w:val="23"/>
        </w:rPr>
        <w:t>Scene 4: Protocol Authentication &amp; AI Threat Intelligence</w:t>
      </w:r>
    </w:p>
    <w:p>
      <w:pPr>
        <w:spacing w:after="80"/>
      </w:pPr>
      <w:r>
        <w:rPr>
          <w:rFonts w:ascii="Arial" w:hAnsi="Arial"/>
          <w:b/>
          <w:color w:val="E66600"/>
          <w:sz w:val="19"/>
        </w:rPr>
        <w:t>Timing: 1:40 - 2:15 (Duration: 35s | ~55 words)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On-Screen Action: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Click 'Protocol Auth' tab. Highlight the SPF Fail, DKIM Fail, and DMARC Fail badges. Point to the yellow/red punycode alert showing Cyrillic letter 'a'. Next, click 'AI Threat Intel' tab. Show urgency badges, BEC cues, and the defanged URLs box.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Spoken Script:</w:t>
            </w:r>
          </w:p>
        </w:tc>
        <w:tc>
          <w:tcPr>
            <w:tcW w:type="dxa" w:w="67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Next, our Protocol Auth engine performs cryptographic validation across SPF alignment, DKIM signatures, and DMARC policies.</w:t>
              <w:br/>
              <w:br/>
              <w:t>Crucially, our homoglyph detector translates deceptive Unicode characters into Punycode, exposing lookalike domains that the naked human eye cannot detect.</w:t>
              <w:br/>
              <w:br/>
              <w:t>Under AI Threat Intel, our NLP classifier flags psychological urgency tactics, payment diversion cues, and automatically defangs malicious URLs so investigators can safely inspect links without malware execution.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Arial" w:hAnsi="Arial"/>
          <w:b/>
          <w:color w:val="003366"/>
          <w:sz w:val="23"/>
        </w:rPr>
        <w:t>Scene 5: Section 65B Legal Admissibility &amp; Blockchain Ledger</w:t>
      </w:r>
    </w:p>
    <w:p>
      <w:pPr>
        <w:spacing w:after="80"/>
      </w:pPr>
      <w:r>
        <w:rPr>
          <w:rFonts w:ascii="Arial" w:hAnsi="Arial"/>
          <w:b/>
          <w:color w:val="E66600"/>
          <w:sz w:val="19"/>
        </w:rPr>
        <w:t>Timing: 2:15 - 2:45 (Duration: 30s | ~50 words)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On-Screen Action: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Click 'Evidence Ledger' tab. Show the cryptographic SHA-256 and SHA-512 hashes, the automated Section 65B Certificate text citing Bharatiya Sakshya Adhiniyam 2023, and the Polygon blockchain receipt. Then click 'Campaign Graphs' tab showing cluster nodes.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Spoken Script:</w:t>
            </w:r>
          </w:p>
        </w:tc>
        <w:tc>
          <w:tcPr>
            <w:tcW w:type="dxa" w:w="67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Now, here is what makes HopTrace a competition winner: Legal Chain of Custody.</w:t>
              <w:br/>
              <w:br/>
              <w:t>Under Section 65B of the Indian Evidence Act and Bharatiya Sakshya Adhiniyam 2023, digital evidence is inadmissible in court if integrity cannot be proven.</w:t>
              <w:br/>
              <w:br/>
              <w:t>HopTrace computes cryptographic SHA-256 digests at the exact millisecond of ingestion, anchors the hash to a tamper-proof blockchain receipt, and automatically generates a court-admissible certificate.</w:t>
              <w:br/>
              <w:br/>
              <w:t>Furthermore, our Campaign Graphs correlate infrastructure across multiple FIRs, linking isolated incidents to organized cyber syndicates.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Arial" w:hAnsi="Arial"/>
          <w:b/>
          <w:color w:val="003366"/>
          <w:sz w:val="23"/>
        </w:rPr>
        <w:t>Scene 6: Conclusion &amp; Strategic Vision</w:t>
      </w:r>
    </w:p>
    <w:p>
      <w:pPr>
        <w:spacing w:after="80"/>
      </w:pPr>
      <w:r>
        <w:rPr>
          <w:rFonts w:ascii="Arial" w:hAnsi="Arial"/>
          <w:b/>
          <w:color w:val="E66600"/>
          <w:sz w:val="19"/>
        </w:rPr>
        <w:t>Timing: 2:45 - 3:00 (Duration: 15s | ~25 words)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On-Screen Action: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Switch back to the Email Threat Scanner or Dashboard view showing the full portal. Bring cursor to rest at center. End with a professional, confident tone.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Spoken Script:</w:t>
            </w:r>
          </w:p>
        </w:tc>
        <w:tc>
          <w:tcPr>
            <w:tcW w:type="dxa" w:w="67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HopTrace Forensics bridges the critical gap between automated cyber threat detection and courtroom criminal prosecution - providing Indian educational institutions and law enforcement with a sovereign, production-ready cyber defense asset.</w:t>
              <w:br/>
              <w:br/>
              <w:t>Thank you.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03366"/>
          <w:sz w:val="26"/>
        </w:rPr>
        <w:t>3. Key Evaluation Buzzwords &amp; What Judges Look For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3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Technical Term</w:t>
            </w:r>
          </w:p>
        </w:tc>
        <w:tc>
          <w:tcPr>
            <w:tcW w:type="dxa" w:w="4680"/>
            <w:shd w:val="clear" w:color="auto" w:fill="0033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Why It Wins Smart India Hackathon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color w:val="003366"/>
                <w:sz w:val="18"/>
              </w:rPr>
              <w:t>Section 65B BSA 2023 Compliance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color w:val="1E293B"/>
                <w:sz w:val="18"/>
              </w:rPr>
              <w:t>Bharatiya Sakshya Adhiniyam 2023 replaces the Indian Evidence Act. Highlighting this proves legal domain awareness.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003366"/>
                <w:sz w:val="18"/>
              </w:rPr>
              <w:t>Bayesian Asymptotic Risk Calibration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1E293B"/>
                <w:sz w:val="18"/>
              </w:rPr>
              <w:t>Explains why the top threat score is 98/100 rather than a fake/flat 100%. Demonstrates machine learning maturity.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color w:val="003366"/>
                <w:sz w:val="18"/>
              </w:rPr>
              <w:t>Multi-Hop Reverse Received Traversal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color w:val="1E293B"/>
                <w:sz w:val="18"/>
              </w:rPr>
              <w:t>Explains how HopTrace bypasses forged client MTA headers to pinpoint true origin IPs.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003366"/>
                <w:sz w:val="18"/>
              </w:rPr>
              <w:t>Cyrillic Homoglyph Punycode Detection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1E293B"/>
                <w:sz w:val="18"/>
              </w:rPr>
              <w:t>Catches visual deception (e.g., Russian 'a' U+0430 mimicking English 'a' U+0061 in aicte-india.org).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color w:val="003366"/>
                <w:sz w:val="18"/>
              </w:rPr>
              <w:t>Defanged External Hyperlinks</w:t>
            </w:r>
          </w:p>
        </w:tc>
        <w:tc>
          <w:tcPr>
            <w:tcW w:type="dxa" w:w="604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color w:val="1E293B"/>
                <w:sz w:val="18"/>
              </w:rPr>
              <w:t>Neutralizes malicious URLs (e.g. hxxp://) so SOC analysts can safely copy IOCs without browser exploitation.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003366"/>
          <w:sz w:val="26"/>
        </w:rPr>
        <w:t>4. Practical Video Recording Checklist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Record at 1080p Full Screen: Press F11 in Microsoft Edge or Google Chrome to hide tabs and taskbar for a clean SOC dashboard visual.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Set Browser Zoom to 90% or 100%: Ensures all cards, tactical matrices, and map widgets fit comfortably on standard 16:9 widescreen format.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Synchronize Speech and Clicks: Hover your cursor over the button 1 second before speaking about it, and click right as you mention its capability.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Zero Emojis Everywhere: Maintains the strict institutional Indian Government portal theme throughout all visuals.</w:t>
      </w:r>
    </w:p>
    <w:p>
      <w:pPr>
        <w:pStyle w:val="ListBullet"/>
      </w:pPr>
      <w:r>
        <w:rPr>
          <w:rFonts w:ascii="Arial" w:hAnsi="Arial"/>
          <w:color w:val="1E293B"/>
          <w:sz w:val="19"/>
        </w:rPr>
        <w:t>Audio Clarity: Use an external headset or USB microphone to avoid room echo, and speak with steady, authoritative pacing.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