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Is the Computational Biologist</w:t>
      </w:r>
    </w:p>
    <w:p>
      <w:pPr>
        <w:jc w:val="left"/>
      </w:pPr>
      <w:r>
        <w:rPr>
          <w:i/>
          <w:color w:val="404040"/>
          <w:sz w:val="28"/>
        </w:rPr>
        <w:t>A Reproducible, Cross-Language, Live Demonstration</w:t>
      </w:r>
    </w:p>
    <w:p>
      <w:r>
        <w:rPr>
          <w:b/>
          <w:i w:val="0"/>
        </w:rPr>
        <w:t>Can an AI system independently reproduce a peer-reviewed computational biology paper — from raw data, in a different programming language, with no human writing the analysis code?</w:t>
      </w:r>
    </w:p>
    <w:p>
      <w:pPr>
        <w:spacing w:after="120"/>
      </w:pPr>
      <w:r>
        <w:rPr>
          <w:b w:val="0"/>
          <w:i/>
          <w:sz w:val="22"/>
        </w:rPr>
        <w:t>I set out to answer that question on camera. This is what happened.</w:t>
      </w:r>
    </w:p>
    <w:p>
      <w:r>
        <w:t>――――――――――――――――――――――――――――――</w:t>
      </w:r>
    </w:p>
    <w:p>
      <w:pPr>
        <w:pStyle w:val="Heading1"/>
      </w:pPr>
      <w:r>
        <w:t>Where this story begins</w:t>
      </w:r>
    </w:p>
    <w:p>
      <w:pPr>
        <w:spacing w:after="120"/>
      </w:pPr>
      <w:r>
        <w:rPr>
          <w:b w:val="0"/>
          <w:i w:val="0"/>
          <w:sz w:val="22"/>
        </w:rPr>
        <w:t>A little over a year ago, I gave Luciano Martelotto the first live demonstration of my Biomedical Operating System — an agentic framework built on Skills + MCP (Model Context Protocol) + Agentic AI that performs end-to-end computational biology tasks. Work that takes a trained specialist weeks to months was completed, in front of him, in minutes.</w:t>
      </w:r>
    </w:p>
    <w:p>
      <w:pPr>
        <w:spacing w:after="120"/>
      </w:pPr>
      <w:r>
        <w:rPr>
          <w:b w:val="0"/>
          <w:i w:val="0"/>
          <w:sz w:val="22"/>
        </w:rPr>
        <w:t>Since then, the ground has shifted dramatically under all of us working at the intersection of AI and biology. In subsequent conversations with the Anthropic Claude Code team and the OpenAI Codex team, both indicated interest in integrating my open framework:</w:t>
      </w:r>
    </w:p>
    <w:p>
      <w:pPr>
        <w:spacing w:after="120"/>
      </w:pPr>
      <w:r>
        <w:rPr>
          <w:b/>
        </w:rPr>
        <w:t xml:space="preserve">🔗 LLMs — Universal Life-Science and Clinical Skills: </w:t>
      </w:r>
      <w:hyperlink r:id="rId9">
        <w:r>
          <w:rPr>
            <w:color w:val="1155CC"/>
            <w:u w:val="single"/>
          </w:rPr>
          <w:t>github.com/mdbabumiamssm/LLMs-Universal-Life-Science-and-Clinical-Skills-</w:t>
        </w:r>
      </w:hyperlink>
    </w:p>
    <w:p>
      <w:pPr>
        <w:spacing w:after="120"/>
      </w:pPr>
      <w:r>
        <w:rPr>
          <w:b w:val="0"/>
          <w:i w:val="0"/>
          <w:sz w:val="22"/>
        </w:rPr>
        <w:t>But excitement is cheap. The field is full of impressive demos that quietly collapse the moment you ask for rigor. So I held my own system to the hardest standard I know.</w:t>
      </w:r>
    </w:p>
    <w:p>
      <w:pPr>
        <w:pStyle w:val="Heading1"/>
      </w:pPr>
      <w:r>
        <w:t>The reproducibility problem — and why it's the right test</w:t>
      </w:r>
    </w:p>
    <w:p>
      <w:pPr>
        <w:spacing w:after="120"/>
      </w:pPr>
      <w:r>
        <w:rPr>
          <w:b w:val="0"/>
          <w:i w:val="0"/>
          <w:sz w:val="22"/>
        </w:rPr>
        <w:t>Recently, Marija Cvijovic raised an important conversation around a Nature Portfolio (npj Digital Medicine) article on reproducibility in computational science:</w:t>
      </w:r>
    </w:p>
    <w:p>
      <w:pPr>
        <w:spacing w:after="120"/>
      </w:pPr>
      <w:r>
        <w:rPr>
          <w:b/>
        </w:rPr>
        <w:t xml:space="preserve">🔗 Nature npj Digital Medicine: </w:t>
      </w:r>
      <w:hyperlink r:id="rId10">
        <w:r>
          <w:rPr>
            <w:color w:val="1155CC"/>
            <w:u w:val="single"/>
          </w:rPr>
          <w:t>nature.com/articles/s41746-026-02777-1</w:t>
        </w:r>
      </w:hyperlink>
    </w:p>
    <w:p>
      <w:pPr>
        <w:spacing w:after="120"/>
      </w:pPr>
      <w:r>
        <w:rPr>
          <w:b w:val="0"/>
          <w:i w:val="0"/>
          <w:sz w:val="22"/>
        </w:rPr>
        <w:t>I agree with the premise wholeheartedly. Reproducibility is the currency of science. If AI is going to claim a seat at the computational biology bench, it cannot simply generate plausible-looking analyses — it must produce results that another scientist can independently verify.</w:t>
      </w:r>
    </w:p>
    <w:p>
      <w:pPr>
        <w:spacing w:after="120"/>
      </w:pPr>
      <w:r>
        <w:rPr>
          <w:b w:val="0"/>
          <w:i w:val="0"/>
          <w:sz w:val="22"/>
        </w:rPr>
        <w:t>So I asked a deliberately uncomfortable question:</w:t>
      </w:r>
    </w:p>
    <w:p>
      <w:pPr>
        <w:pStyle w:val="IntenseQuote"/>
      </w:pPr>
      <w:r>
        <w:rPr>
          <w:b/>
          <w:i/>
        </w:rPr>
        <w:t>Can my software independently reproduce a published result — using a different programming language — and arrive at the same biological conclusions from the same raw data?</w:t>
      </w:r>
    </w:p>
    <w:p>
      <w:pPr>
        <w:spacing w:after="120"/>
      </w:pPr>
      <w:r>
        <w:rPr>
          <w:b w:val="0"/>
          <w:i w:val="0"/>
          <w:sz w:val="22"/>
        </w:rPr>
        <w:t>This is not the easy version of reproducibility. Re-running an author's original code is computational reproducibility. Rebuilding the entire analysis with independent tools and a different language and still landing on the same conclusions is methodological reproducibility / robustness — a substantially higher bar, and the one that actually validates a scientific claim.</w:t>
      </w:r>
    </w:p>
    <w:p>
      <w:pPr>
        <w:pStyle w:val="Heading1"/>
      </w:pPr>
      <w:r>
        <w:t>The test case</w:t>
      </w:r>
    </w:p>
    <w:p>
      <w:r>
        <w:rPr>
          <w:b/>
        </w:rPr>
        <w:t xml:space="preserve">Paper: </w:t>
      </w:r>
      <w:r>
        <w:rPr>
          <w:i w:val="0"/>
        </w:rPr>
        <w:t xml:space="preserve">Hua P, Roy N, de la Fuente J, et al. “Single-cell analysis of bone marrow–derived CD34⁺ cells from children with sickle cell disease and thalassemia.” </w:t>
      </w:r>
      <w:r>
        <w:rPr>
          <w:i/>
        </w:rPr>
        <w:t>Blood</w:t>
      </w:r>
      <w:r>
        <w:t xml:space="preserve"> 2019;134(23):2111–2115.</w:t>
      </w:r>
    </w:p>
    <w:p>
      <w:pPr>
        <w:spacing w:after="120"/>
      </w:pPr>
      <w:r>
        <w:rPr>
          <w:b/>
        </w:rPr>
        <w:t xml:space="preserve">🔗 Article: </w:t>
      </w:r>
      <w:hyperlink r:id="rId11">
        <w:r>
          <w:rPr>
            <w:color w:val="1155CC"/>
            <w:u w:val="single"/>
          </w:rPr>
          <w:t>sciencedirect.com/science/article/pii/S0006497120731691</w:t>
        </w:r>
      </w:hyperlink>
    </w:p>
    <w:p>
      <w:r>
        <w:rPr>
          <w:b/>
        </w:rPr>
        <w:t xml:space="preserve">Data: </w:t>
      </w:r>
      <w:r>
        <w:t>GEO accession GSE133181 — 13 × 10x Genomics scRNA-seq samples of CD34⁺ bone-marrow cells (4 healthy controls, 3 β-thalassemia, 5 sickle cell disease).</w:t>
      </w:r>
    </w:p>
    <w:p>
      <w:pPr>
        <w:spacing w:after="120"/>
      </w:pPr>
      <w:r>
        <w:rPr>
          <w:b/>
        </w:rPr>
        <w:t xml:space="preserve">🔗 GEO: </w:t>
      </w:r>
      <w:hyperlink r:id="rId12">
        <w:r>
          <w:rPr>
            <w:color w:val="1155CC"/>
            <w:u w:val="single"/>
          </w:rPr>
          <w:t>ncbi.nlm.nih.gov/geo/query/acc.cgi?acc=GSE133181</w:t>
        </w:r>
      </w:hyperlink>
    </w:p>
    <w:p>
      <w:pPr>
        <w:spacing w:after="120"/>
      </w:pPr>
      <w:r>
        <w:rPr>
          <w:b w:val="0"/>
          <w:i w:val="0"/>
          <w:sz w:val="22"/>
        </w:rPr>
        <w:t>The original authors used an R stack — Seurat for clustering, AUCell for signature scoring, and an in-house R trajectory package.</w:t>
      </w:r>
    </w:p>
    <w:p>
      <w:pPr>
        <w:spacing w:after="120"/>
      </w:pPr>
      <w:r>
        <w:rPr>
          <w:b w:val="0"/>
          <w:i w:val="0"/>
          <w:sz w:val="22"/>
        </w:rPr>
        <w:t>My system reproduced the entire study in Python — scanpy for processing, Harmony for batch integration, Leiden for clustering, an independent AUCell implementation, and diffusion pseudotime (DPT) for trajectory inference. Different language. Different algorithms. Same data. Autonomous code generation.</w:t>
      </w:r>
    </w:p>
    <w:p>
      <w:pPr>
        <w:pStyle w:val="Heading1"/>
      </w:pPr>
      <w:r>
        <w:t>What the AI actually did</w:t>
      </w:r>
    </w:p>
    <w:p>
      <w:pPr>
        <w:spacing w:after="120"/>
      </w:pPr>
      <w:r>
        <w:rPr>
          <w:b w:val="0"/>
          <w:i w:val="0"/>
          <w:sz w:val="22"/>
        </w:rPr>
        <w:t>I pointed Claude Code at the raw matrices and the manuscript and let the agentic skills run. It autonomously:</w:t>
      </w:r>
    </w:p>
    <w:p>
      <w:pPr>
        <w:pStyle w:val="ListNumber"/>
      </w:pPr>
      <w:r>
        <w:t>Standardized and loaded all 13 raw 10x matrices (33,694 genes) into a unified object</w:t>
      </w:r>
    </w:p>
    <w:p>
      <w:pPr>
        <w:pStyle w:val="ListNumber"/>
      </w:pPr>
      <w:r>
        <w:t>Ran QC and filtering → 59,822 high-quality cells</w:t>
      </w:r>
    </w:p>
    <w:p>
      <w:pPr>
        <w:pStyle w:val="ListNumber"/>
      </w:pPr>
      <w:r>
        <w:t>Normalized, selected variable genes, and reduced dimensions</w:t>
      </w:r>
    </w:p>
    <w:p>
      <w:pPr>
        <w:pStyle w:val="ListNumber"/>
      </w:pPr>
      <w:r>
        <w:t>Integrated 13 batches with Harmony and clustered with Leiden (20 clusters)</w:t>
      </w:r>
    </w:p>
    <w:p>
      <w:pPr>
        <w:pStyle w:val="ListNumber"/>
      </w:pPr>
      <w:r>
        <w:t>Annotated cell types from canonical markers (HSPC, B-lymphoid progenitors, erythroid/megakaryocyte, granulocyte/monocyte)</w:t>
      </w:r>
    </w:p>
    <w:p>
      <w:pPr>
        <w:pStyle w:val="ListNumber"/>
      </w:pPr>
      <w:r>
        <w:t>Scored the exact lymphoid signature from the paper (CD79A, CD79B, VPREB1, VPREB3, EBF1; AUCell, AUC &gt; 0.25)</w:t>
      </w:r>
    </w:p>
    <w:p>
      <w:pPr>
        <w:pStyle w:val="ListNumber"/>
      </w:pPr>
      <w:r>
        <w:t>Tested differential abundance across conditions</w:t>
      </w:r>
    </w:p>
    <w:p>
      <w:pPr>
        <w:pStyle w:val="ListNumber"/>
      </w:pPr>
      <w:r>
        <w:t>Inferred the B-progenitor maturation trajectory</w:t>
      </w:r>
    </w:p>
    <w:p>
      <w:pPr>
        <w:pStyle w:val="ListNumber"/>
      </w:pPr>
      <w:r>
        <w:t>Wrote the figures, tables, and a claim-by-claim interpretation report — itself.</w:t>
      </w:r>
    </w:p>
    <w:p>
      <w:pPr>
        <w:spacing w:after="120"/>
      </w:pPr>
      <w:r>
        <w:rPr>
          <w:b w:val="0"/>
          <w:i/>
          <w:sz w:val="22"/>
        </w:rPr>
        <w:t>(I have used Google Gemini and OpenAI Codex on the same task — all three converge on the same biological conclusions.)</w:t>
      </w:r>
    </w:p>
    <w:p>
      <w:pPr>
        <w:pStyle w:val="Heading1"/>
      </w:pPr>
      <w:r>
        <w:t>The results — every major finding, reproduced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 in Blood (2019)</w:t>
            </w:r>
          </w:p>
        </w:tc>
        <w:tc>
          <w:tcPr>
            <w:tcW w:type="dxa" w:w="2160"/>
          </w:tcPr>
          <w:p>
            <w:r>
              <w:rPr>
                <w:b/>
              </w:rPr>
              <w:t>Original conclusion</w:t>
            </w:r>
          </w:p>
        </w:tc>
        <w:tc>
          <w:tcPr>
            <w:tcW w:type="dxa" w:w="2160"/>
          </w:tcPr>
          <w:p>
            <w:r>
              <w:rPr>
                <w:b/>
              </w:rPr>
              <w:t>Independent Python reproduction</w:t>
            </w:r>
          </w:p>
        </w:tc>
        <w:tc>
          <w:tcPr>
            <w:tcW w:type="dxa" w:w="2160"/>
          </w:tcPr>
          <w:p>
            <w:r>
              <w:rPr>
                <w:b/>
              </w:rPr>
              <w:t>Match</w:t>
            </w:r>
          </w:p>
        </w:tc>
      </w:tr>
      <w:tr>
        <w:tc>
          <w:tcPr>
            <w:tcW w:type="dxa" w:w="2160"/>
          </w:tcPr>
          <w:p>
            <w:r>
              <w:t>Expansion of CD34⁺ B-lymphoid progenitors in patients</w:t>
            </w:r>
          </w:p>
        </w:tc>
        <w:tc>
          <w:tcPr>
            <w:tcW w:type="dxa" w:w="2160"/>
          </w:tcPr>
          <w:p>
            <w:r>
              <w:t>↑ in all 8 patients</w:t>
            </w:r>
          </w:p>
        </w:tc>
        <w:tc>
          <w:tcPr>
            <w:tcW w:type="dxa" w:w="2160"/>
          </w:tcPr>
          <w:p>
            <w:r>
              <w:t>6.9% → ~44% of CD34⁺ cells; p = 0.004</w:t>
            </w:r>
          </w:p>
        </w:tc>
        <w:tc>
          <w:tcPr>
            <w:tcW w:type="dxa" w:w="2160"/>
          </w:tcPr>
          <w:p>
            <w:r>
              <w:t>✅</w:t>
            </w:r>
          </w:p>
        </w:tc>
      </w:tr>
      <w:tr>
        <w:tc>
          <w:tcPr>
            <w:tcW w:type="dxa" w:w="2160"/>
          </w:tcPr>
          <w:p>
            <w:r>
              <w:t>Lymphoid-gene signature (AUCell, AUC&gt;0.25)</w:t>
            </w:r>
          </w:p>
        </w:tc>
        <w:tc>
          <w:tcPr>
            <w:tcW w:type="dxa" w:w="2160"/>
          </w:tcPr>
          <w:p>
            <w:r>
              <w:t>&gt;65% in some children</w:t>
            </w:r>
          </w:p>
        </w:tc>
        <w:tc>
          <w:tcPr>
            <w:tcW w:type="dxa" w:w="2160"/>
          </w:tcPr>
          <w:p>
            <w:r>
              <w:t>BT2 = 73%, SCD1 = 80%</w:t>
            </w:r>
          </w:p>
        </w:tc>
        <w:tc>
          <w:tcPr>
            <w:tcW w:type="dxa" w:w="2160"/>
          </w:tcPr>
          <w:p>
            <w:r>
              <w:t>✅</w:t>
            </w:r>
          </w:p>
        </w:tc>
      </w:tr>
      <w:tr>
        <w:tc>
          <w:tcPr>
            <w:tcW w:type="dxa" w:w="2160"/>
          </w:tcPr>
          <w:p>
            <w:r>
              <w:t>No expansion of erythroid cells (transfusion-suppressed)</w:t>
            </w:r>
          </w:p>
        </w:tc>
        <w:tc>
          <w:tcPr>
            <w:tcW w:type="dxa" w:w="2160"/>
          </w:tcPr>
          <w:p>
            <w:r>
              <w:t>Not significant</w:t>
            </w:r>
          </w:p>
        </w:tc>
        <w:tc>
          <w:tcPr>
            <w:tcW w:type="dxa" w:w="2160"/>
          </w:tcPr>
          <w:p>
            <w:r>
              <w:t>11.7 / 8.8 / 9.8%; p = 0.81 (ns)</w:t>
            </w:r>
          </w:p>
        </w:tc>
        <w:tc>
          <w:tcPr>
            <w:tcW w:type="dxa" w:w="2160"/>
          </w:tcPr>
          <w:p>
            <w:r>
              <w:t>✅</w:t>
            </w:r>
          </w:p>
        </w:tc>
      </w:tr>
      <w:tr>
        <w:tc>
          <w:tcPr>
            <w:tcW w:type="dxa" w:w="2160"/>
          </w:tcPr>
          <w:p>
            <w:r>
              <w:t>Early → late B-progenitor trajectory</w:t>
            </w:r>
          </w:p>
        </w:tc>
        <w:tc>
          <w:tcPr>
            <w:tcW w:type="dxa" w:w="2160"/>
          </w:tcPr>
          <w:p>
            <w:r>
              <w:t>IL7R/IGHM → CD24</w:t>
            </w:r>
          </w:p>
        </w:tc>
        <w:tc>
          <w:tcPr>
            <w:tcW w:type="dxa" w:w="2160"/>
          </w:tcPr>
          <w:p>
            <w:r>
              <w:t>Same ordering recovered</w:t>
            </w:r>
          </w:p>
        </w:tc>
        <w:tc>
          <w:tcPr>
            <w:tcW w:type="dxa" w:w="2160"/>
          </w:tcPr>
          <w:p>
            <w:r>
              <w:t>✅</w:t>
            </w:r>
          </w:p>
        </w:tc>
      </w:tr>
      <w:tr>
        <w:tc>
          <w:tcPr>
            <w:tcW w:type="dxa" w:w="2160"/>
          </w:tcPr>
          <w:p>
            <w:r>
              <w:t>Relative reduction of multipotent HSPCs</w:t>
            </w:r>
          </w:p>
        </w:tc>
        <w:tc>
          <w:tcPr>
            <w:tcW w:type="dxa" w:w="2160"/>
          </w:tcPr>
          <w:p>
            <w:r>
              <w:t>Reduced</w:t>
            </w:r>
          </w:p>
        </w:tc>
        <w:tc>
          <w:tcPr>
            <w:tcW w:type="dxa" w:w="2160"/>
          </w:tcPr>
          <w:p>
            <w:r>
              <w:t>68.7% → 33.4%; p = 0.004</w:t>
            </w:r>
          </w:p>
        </w:tc>
        <w:tc>
          <w:tcPr>
            <w:tcW w:type="dxa" w:w="2160"/>
          </w:tcPr>
          <w:p>
            <w:r>
              <w:t>✅</w:t>
            </w:r>
          </w:p>
        </w:tc>
      </w:tr>
      <w:tr>
        <w:tc>
          <w:tcPr>
            <w:tcW w:type="dxa" w:w="2160"/>
          </w:tcPr>
          <w:p>
            <w:r>
              <w:t>CD133 (PROM1) spares B-progenitors (corrects HSC estimate)</w:t>
            </w:r>
          </w:p>
        </w:tc>
        <w:tc>
          <w:tcPr>
            <w:tcW w:type="dxa" w:w="2160"/>
          </w:tcPr>
          <w:p>
            <w:r>
              <w:t>Very few B-progenitors are CD133⁺</w:t>
            </w:r>
          </w:p>
        </w:tc>
        <w:tc>
          <w:tcPr>
            <w:tcW w:type="dxa" w:w="2160"/>
          </w:tcPr>
          <w:p>
            <w:r>
              <w:t>3.6% in B-prog vs 20.6% in HSPC</w:t>
            </w:r>
          </w:p>
        </w:tc>
        <w:tc>
          <w:tcPr>
            <w:tcW w:type="dxa" w:w="2160"/>
          </w:tcPr>
          <w:p>
            <w:r>
              <w:t>✅</w:t>
            </w:r>
          </w:p>
        </w:tc>
      </w:tr>
    </w:tbl>
    <w:p/>
    <w:p>
      <w:pPr>
        <w:spacing w:after="120"/>
      </w:pPr>
      <w:r>
        <w:rPr>
          <w:b w:val="0"/>
          <w:i w:val="0"/>
          <w:sz w:val="22"/>
        </w:rPr>
        <w:t>The system even reproduced a specific detail of the paper — that in certain children (the authors named BT2 and SCD2) more than 65% of CD34⁺ cells were B-progenitors. In my run, BT2 hit 73% and SCD1 hit 80%.</w:t>
      </w:r>
    </w:p>
    <w:p>
      <w:pPr>
        <w:spacing w:after="120"/>
      </w:pPr>
      <w:r>
        <w:rPr>
          <w:b w:val="0"/>
          <w:i w:val="0"/>
          <w:sz w:val="22"/>
        </w:rPr>
        <w:t>And critically — the central message of the paper survived: the apparent loss of HSCs is not a true loss but a dilution by the expanded B-progenitor pool, which is why CD34 alone over-counts HSCs in these patients and why CD133 gating rescues the estimate. The AI reconstructed that logic from the data, not from being told the answer.</w:t>
      </w:r>
    </w:p>
    <w:p>
      <w:pPr>
        <w:pStyle w:val="Heading1"/>
      </w:pPr>
      <w:r>
        <w:t>The intellectual honesty that makes this real</w:t>
      </w:r>
    </w:p>
    <w:p>
      <w:pPr>
        <w:spacing w:after="120"/>
      </w:pPr>
      <w:r>
        <w:rPr>
          <w:b w:val="0"/>
          <w:i w:val="0"/>
          <w:sz w:val="22"/>
        </w:rPr>
        <w:t>I will not claim “byte-identical output,” because that is not what scientific reproduction means — and claiming it would be dishonest. Two different languages running two different clustering and integration algorithms will never produce identical floating-point percentages.</w:t>
      </w:r>
    </w:p>
    <w:p>
      <w:pPr>
        <w:spacing w:after="120"/>
      </w:pPr>
      <w:r>
        <w:rPr>
          <w:b w:val="0"/>
          <w:i w:val="0"/>
          <w:sz w:val="22"/>
        </w:rPr>
        <w:t>What was reproduced is what matters: the direction, the statistical significance, the effect size, and the biological interpretation of every major finding. That is the definition of a result that holds. A low-depth sample (SCD5) behaved as the weakest patient signal — exactly as you'd expect — and changed no conclusion.</w:t>
      </w:r>
    </w:p>
    <w:p>
      <w:pPr>
        <w:spacing w:after="120"/>
      </w:pPr>
      <w:r>
        <w:rPr>
          <w:b w:val="0"/>
          <w:i w:val="0"/>
          <w:sz w:val="22"/>
        </w:rPr>
        <w:t>That distinction — reproducing conclusions, not artifacts — is precisely the standard the reproducibility literature is calling for.</w:t>
      </w:r>
    </w:p>
    <w:p>
      <w:pPr>
        <w:pStyle w:val="Heading1"/>
      </w:pPr>
      <w:r>
        <w:t>Why this matters</w:t>
      </w:r>
    </w:p>
    <w:p>
      <w:pPr>
        <w:spacing w:after="120"/>
      </w:pPr>
      <w:r>
        <w:rPr>
          <w:b w:val="0"/>
          <w:i w:val="0"/>
          <w:sz w:val="22"/>
        </w:rPr>
        <w:t>If an agentic AI can take raw GEO data + a PDF and independently regenerate a Blood paper's conclusions in a different language — with the QC, the statistics, the figures, and a written interpretation — then the role of the computational biologist is being redefined in real time. Not replaced: amplified. The scientist moves from writing pipelines to posing questions, auditing reasoning, and certifying conclusions.</w:t>
      </w:r>
    </w:p>
    <w:p>
      <w:pPr>
        <w:spacing w:after="120"/>
      </w:pPr>
      <w:r>
        <w:rPr>
          <w:b w:val="0"/>
          <w:i w:val="0"/>
          <w:sz w:val="22"/>
        </w:rPr>
        <w:t>This is what a Biomedical Operating System is for: making rigorous, reproducible, multi-omics analysis a conversation rather than a multi-week engineering project — while keeping a human firmly in the loop as the scientific authority.</w:t>
      </w:r>
    </w:p>
    <w:p>
      <w:pPr>
        <w:pStyle w:val="Heading1"/>
      </w:pPr>
      <w:r>
        <w:t>See it for yourself</w:t>
      </w:r>
    </w:p>
    <w:p>
      <w:pPr>
        <w:spacing w:after="120"/>
      </w:pPr>
      <w:r>
        <w:rPr>
          <w:b/>
        </w:rPr>
        <w:t xml:space="preserve">🎥 Full live demonstration (uncut): </w:t>
      </w:r>
      <w:hyperlink r:id="rId13">
        <w:r>
          <w:rPr>
            <w:color w:val="1155CC"/>
            <w:u w:val="single"/>
          </w:rPr>
          <w:t>youtu.be/JDZ6hx6z6Js</w:t>
        </w:r>
      </w:hyperlink>
    </w:p>
    <w:p>
      <w:r>
        <w:rPr>
          <w:b/>
        </w:rPr>
        <w:t xml:space="preserve">📦 All outputs — code, figures, tables, AnnData checkpoints, and the AI-generated interpretation report: </w:t>
      </w:r>
      <w:r>
        <w:rPr>
          <w:i/>
        </w:rPr>
        <w:t>[add repository / folder link]</w:t>
      </w:r>
    </w:p>
    <w:p>
      <w:pPr>
        <w:spacing w:after="120"/>
      </w:pPr>
      <w:r>
        <w:rPr>
          <w:b/>
        </w:rPr>
        <w:t xml:space="preserve">💻 The open framework: </w:t>
      </w:r>
      <w:hyperlink r:id="rId9">
        <w:r>
          <w:rPr>
            <w:color w:val="1155CC"/>
            <w:u w:val="single"/>
          </w:rPr>
          <w:t>github.com/mdbabumiamssm/LLMs-Universal-Life-Science-and-Clinical-Skills-</w:t>
        </w:r>
      </w:hyperlink>
    </w:p>
    <w:p>
      <w:pPr>
        <w:pStyle w:val="Heading1"/>
      </w:pPr>
      <w:r>
        <w:t>Let's discuss</w:t>
      </w:r>
    </w:p>
    <w:p>
      <w:pPr>
        <w:spacing w:after="120"/>
      </w:pPr>
      <w:r>
        <w:rPr>
          <w:b w:val="0"/>
          <w:i w:val="0"/>
          <w:sz w:val="22"/>
        </w:rPr>
        <w:t>I built this to be challenged. So I'll ask the community directly:</w:t>
      </w:r>
    </w:p>
    <w:p>
      <w:r>
        <w:rPr>
          <w:b/>
        </w:rPr>
        <w:t>What paper should the system reproduce next — and what would you accept as proof that an AI has genuinely done the work of a computational biologist?</w:t>
      </w:r>
    </w:p>
    <w:p>
      <w:pPr>
        <w:spacing w:after="120"/>
      </w:pPr>
      <w:r>
        <w:rPr>
          <w:b w:val="0"/>
          <w:i w:val="0"/>
          <w:sz w:val="22"/>
        </w:rPr>
        <w:t>Drop a GEO accession and a DOI in the comments. Let's keep raising the bar, in public, with the data open.</w:t>
      </w:r>
    </w:p>
    <w:p>
      <w:r>
        <w:rPr>
          <w:i/>
          <w:color w:val="1155CC"/>
        </w:rPr>
        <w:t>#AIinBiology #ComputationalBiology #Reproducibility #SingleCell #Bioinformatics #AgenticAI #MCP #ClaudeCode #Genomics #OpenScience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dbabumiamssm/LLMs-Universal-Life-Science-and-Clinical-Skills-" TargetMode="External"/><Relationship Id="rId10" Type="http://schemas.openxmlformats.org/officeDocument/2006/relationships/hyperlink" Target="https://www.nature.com/articles/s41746-026-02777-1" TargetMode="External"/><Relationship Id="rId11" Type="http://schemas.openxmlformats.org/officeDocument/2006/relationships/hyperlink" Target="https://www.sciencedirect.com/science/article/pii/S0006497120731691" TargetMode="External"/><Relationship Id="rId12" Type="http://schemas.openxmlformats.org/officeDocument/2006/relationships/hyperlink" Target="https://www.ncbi.nlm.nih.gov/geo/query/acc.cgi?acc=GSE133181" TargetMode="External"/><Relationship Id="rId13" Type="http://schemas.openxmlformats.org/officeDocument/2006/relationships/hyperlink" Target="https://youtu.be/JDZ6hx6z6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