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3AEE" w14:textId="217B6E83" w:rsidR="000A77CD" w:rsidRPr="008C6389" w:rsidRDefault="007E4360" w:rsidP="00D629ED">
      <w:pPr>
        <w:jc w:val="center"/>
        <w:rPr>
          <w:rFonts w:ascii="Times New Roman" w:hAnsi="Times New Roman" w:cs="Times New Roman"/>
          <w:b/>
          <w:bCs/>
          <w:sz w:val="24"/>
          <w:szCs w:val="24"/>
        </w:rPr>
      </w:pPr>
      <w:r w:rsidRPr="008C6389">
        <w:rPr>
          <w:rFonts w:ascii="Times New Roman" w:hAnsi="Times New Roman" w:cs="Times New Roman"/>
          <w:b/>
          <w:bCs/>
          <w:sz w:val="24"/>
          <w:szCs w:val="24"/>
        </w:rPr>
        <w:t>Estimating Shut-In Responses to COVID-19, Spring 2020</w:t>
      </w:r>
    </w:p>
    <w:p w14:paraId="19AB0FEB" w14:textId="7967F714" w:rsidR="007F3A8A" w:rsidRDefault="00D629ED" w:rsidP="007F3A8A">
      <w:pPr>
        <w:rPr>
          <w:rFonts w:ascii="Times New Roman" w:hAnsi="Times New Roman" w:cs="Times New Roman"/>
          <w:sz w:val="24"/>
          <w:szCs w:val="24"/>
        </w:rPr>
      </w:pPr>
      <w:r>
        <w:rPr>
          <w:rFonts w:ascii="Times New Roman" w:hAnsi="Times New Roman" w:cs="Times New Roman"/>
          <w:sz w:val="24"/>
          <w:szCs w:val="24"/>
        </w:rPr>
        <w:t xml:space="preserve">Arash Dahi, </w:t>
      </w:r>
      <w:r w:rsidR="007F3A8A">
        <w:rPr>
          <w:rFonts w:ascii="Times New Roman" w:hAnsi="Times New Roman" w:cs="Times New Roman"/>
          <w:sz w:val="24"/>
          <w:szCs w:val="24"/>
        </w:rPr>
        <w:t>arash@psu.edu</w:t>
      </w:r>
    </w:p>
    <w:p w14:paraId="05055FC7" w14:textId="37C514BA" w:rsidR="00D629ED" w:rsidRDefault="00D629ED" w:rsidP="007F3A8A">
      <w:pPr>
        <w:rPr>
          <w:rFonts w:ascii="Times New Roman" w:hAnsi="Times New Roman" w:cs="Times New Roman"/>
          <w:sz w:val="24"/>
          <w:szCs w:val="24"/>
        </w:rPr>
      </w:pPr>
      <w:r>
        <w:rPr>
          <w:rFonts w:ascii="Times New Roman" w:hAnsi="Times New Roman" w:cs="Times New Roman"/>
          <w:sz w:val="24"/>
          <w:szCs w:val="24"/>
        </w:rPr>
        <w:t>Andrew Kleit</w:t>
      </w:r>
      <w:r w:rsidR="007F3A8A">
        <w:rPr>
          <w:rFonts w:ascii="Times New Roman" w:hAnsi="Times New Roman" w:cs="Times New Roman"/>
          <w:sz w:val="24"/>
          <w:szCs w:val="24"/>
        </w:rPr>
        <w:t xml:space="preserve">, ank1@psu.edu </w:t>
      </w:r>
      <w:r>
        <w:rPr>
          <w:rFonts w:ascii="Times New Roman" w:hAnsi="Times New Roman" w:cs="Times New Roman"/>
          <w:sz w:val="24"/>
          <w:szCs w:val="24"/>
        </w:rPr>
        <w:t xml:space="preserve"> </w:t>
      </w:r>
      <w:r w:rsidR="007F3A8A">
        <w:rPr>
          <w:rFonts w:ascii="Times New Roman" w:hAnsi="Times New Roman" w:cs="Times New Roman"/>
          <w:sz w:val="24"/>
          <w:szCs w:val="24"/>
        </w:rPr>
        <w:t xml:space="preserve"> </w:t>
      </w:r>
    </w:p>
    <w:p w14:paraId="5FB78C93" w14:textId="3A103577" w:rsidR="0057474C" w:rsidRDefault="00D629ED" w:rsidP="003A4C9B">
      <w:pPr>
        <w:rPr>
          <w:rFonts w:ascii="Times New Roman" w:hAnsi="Times New Roman" w:cs="Times New Roman"/>
          <w:sz w:val="24"/>
          <w:szCs w:val="24"/>
        </w:rPr>
      </w:pPr>
      <w:r>
        <w:rPr>
          <w:rFonts w:ascii="Times New Roman" w:hAnsi="Times New Roman" w:cs="Times New Roman"/>
          <w:sz w:val="24"/>
          <w:szCs w:val="24"/>
        </w:rPr>
        <w:t>Department of Energy and Mineral Engineering</w:t>
      </w:r>
    </w:p>
    <w:p w14:paraId="1F98BF91" w14:textId="77777777" w:rsidR="0057474C" w:rsidRPr="00803BF6" w:rsidRDefault="0057474C" w:rsidP="0057474C">
      <w:pPr>
        <w:pStyle w:val="ListParagraph"/>
        <w:numPr>
          <w:ilvl w:val="0"/>
          <w:numId w:val="1"/>
        </w:numPr>
        <w:spacing w:after="120" w:line="240" w:lineRule="auto"/>
        <w:ind w:left="360" w:hanging="360"/>
        <w:contextualSpacing w:val="0"/>
        <w:jc w:val="both"/>
        <w:rPr>
          <w:rFonts w:ascii="Times New Roman" w:hAnsi="Times New Roman" w:cs="Times New Roman"/>
          <w:b/>
          <w:bCs/>
          <w:sz w:val="24"/>
          <w:szCs w:val="24"/>
        </w:rPr>
      </w:pPr>
      <w:r>
        <w:rPr>
          <w:rFonts w:ascii="Times New Roman" w:hAnsi="Times New Roman" w:cs="Times New Roman"/>
          <w:b/>
          <w:bCs/>
          <w:sz w:val="24"/>
          <w:szCs w:val="24"/>
        </w:rPr>
        <w:t>The Shut-In Option</w:t>
      </w:r>
    </w:p>
    <w:p w14:paraId="41F9E130" w14:textId="77777777" w:rsidR="0057474C" w:rsidRDefault="0057474C" w:rsidP="0057474C">
      <w:pPr>
        <w:pStyle w:val="Text1"/>
      </w:pPr>
      <w:r>
        <w:t xml:space="preserve">The 2020 </w:t>
      </w:r>
      <w:r w:rsidRPr="00350C69">
        <w:t xml:space="preserve">COVID-19 </w:t>
      </w:r>
      <w:r>
        <w:t>p</w:t>
      </w:r>
      <w:r w:rsidRPr="00350C69">
        <w:t xml:space="preserve">andemic posed new challenges to the oil and gas industry that was unique in several aspects. While previous crises in this industry were mainly dominated </w:t>
      </w:r>
      <w:r>
        <w:t xml:space="preserve">by </w:t>
      </w:r>
      <w:r w:rsidRPr="00350C69">
        <w:t>supply s</w:t>
      </w:r>
      <w:r>
        <w:t>hock</w:t>
      </w:r>
      <w:r w:rsidRPr="00350C69">
        <w:t xml:space="preserve">s, for almost the first time, the world </w:t>
      </w:r>
      <w:r>
        <w:t xml:space="preserve">encountered </w:t>
      </w:r>
      <w:r w:rsidRPr="00350C69">
        <w:t xml:space="preserve"> a sudden evaporation of the consumers around the world. Pandemics caused significant reduction of urban and air transportation, furthermore it reduced commercial and business sectors power demands. </w:t>
      </w:r>
      <w:r w:rsidRPr="00281FCC">
        <w:t>Global oil demand fell by 25% in April</w:t>
      </w:r>
      <w:r>
        <w:t>, 2020</w:t>
      </w:r>
      <w:r w:rsidRPr="00281FCC">
        <w:t xml:space="preserve"> </w:t>
      </w:r>
      <w:r>
        <w:t>(</w:t>
      </w:r>
      <w:r w:rsidRPr="00281FCC">
        <w:t>Rystad Energy, COVID-19 Report, November 12, 2020</w:t>
      </w:r>
      <w:r>
        <w:t>)</w:t>
      </w:r>
      <w:r w:rsidRPr="00281FCC">
        <w:t>.</w:t>
      </w:r>
    </w:p>
    <w:p w14:paraId="1059141A" w14:textId="3727DC69" w:rsidR="0057474C" w:rsidRDefault="0057474C" w:rsidP="00594FC4">
      <w:pPr>
        <w:pStyle w:val="Text1"/>
        <w:ind w:firstLine="720"/>
      </w:pPr>
      <w:r w:rsidRPr="00350C69">
        <w:t xml:space="preserve">These </w:t>
      </w:r>
      <w:r>
        <w:t xml:space="preserve">rapid </w:t>
      </w:r>
      <w:r w:rsidRPr="00350C69">
        <w:t xml:space="preserve">changes in the market were enough to persuade </w:t>
      </w:r>
      <w:r>
        <w:t>many</w:t>
      </w:r>
      <w:r w:rsidRPr="00350C69">
        <w:t xml:space="preserve"> producers to curtail their production after prices crashed in March 2020</w:t>
      </w:r>
      <w:r>
        <w:t xml:space="preserve">. </w:t>
      </w:r>
      <w:r w:rsidRPr="00350C69">
        <w:t xml:space="preserve"> </w:t>
      </w:r>
      <w:r>
        <w:t xml:space="preserve">(See, for example, Avery 2020, Freeman 2020, and Money, 2020.) Thus, it may be important to understand which producers reduced their production, and which type of wells were more likely to be shut in.   </w:t>
      </w:r>
      <w:r w:rsidRPr="00350C69">
        <w:t xml:space="preserve"> </w:t>
      </w:r>
      <w:r>
        <w:t>I</w:t>
      </w:r>
      <w:r w:rsidRPr="00350C69">
        <w:t>dentifying operators who cut their production</w:t>
      </w:r>
      <w:r>
        <w:t>, and at which wells, can be identified using</w:t>
      </w:r>
      <w:r w:rsidRPr="00350C69">
        <w:t xml:space="preserve"> their monthly/quarterly production reports to the state.</w:t>
      </w:r>
    </w:p>
    <w:p w14:paraId="4464D4C1" w14:textId="0F3F70C1" w:rsidR="0057474C" w:rsidRDefault="0057474C" w:rsidP="0057474C">
      <w:pPr>
        <w:pStyle w:val="Text1"/>
      </w:pPr>
      <w:r w:rsidRPr="00802FE3">
        <w:t xml:space="preserve">Energy production companies are expected to seek to maximize their profits.  In context, this means that when prices are high, they might produce more commodities from a particular well, and then produce less resource from a well when the price is low.  </w:t>
      </w:r>
      <w:r>
        <w:t xml:space="preserve">In particular, producing companies have the option of shutting </w:t>
      </w:r>
      <w:r w:rsidR="00125902">
        <w:t>in</w:t>
      </w:r>
      <w:r>
        <w:t xml:space="preserve"> their wells, giving up current income in the hope of receiving higher prices for their products in the future.</w:t>
      </w:r>
    </w:p>
    <w:p w14:paraId="6B42C980" w14:textId="77777777" w:rsidR="0057474C" w:rsidRDefault="0057474C" w:rsidP="0057474C">
      <w:pPr>
        <w:pStyle w:val="Text1"/>
      </w:pPr>
      <w:r>
        <w:t xml:space="preserve">The shut in option, however, reduces revenues in the near term for the relevant company.  This implies that shut ins will not be viable strategy for firms facing liquidity constraints.  Generally, larger firms have more access to capital, and therefore can be expected to more likely to adopt a shut in strategy.  </w:t>
      </w:r>
    </w:p>
    <w:p w14:paraId="7C392816" w14:textId="77777777" w:rsidR="0057474C" w:rsidRPr="00802FE3" w:rsidRDefault="0057474C" w:rsidP="0057474C">
      <w:pPr>
        <w:pStyle w:val="Text1"/>
      </w:pPr>
      <w:r>
        <w:t xml:space="preserve">  </w:t>
      </w:r>
      <w:r w:rsidRPr="00802FE3">
        <w:t xml:space="preserve">Conceptually, there might be two different strategies </w:t>
      </w:r>
      <w:r>
        <w:t xml:space="preserve">a firm might adopt </w:t>
      </w:r>
      <w:r w:rsidRPr="00802FE3">
        <w:t xml:space="preserve">for shutting down wells during a period of low prices.  First, a firm might wish to save its resources for higher priced periods.  This would imply a firm shutting down its more productive wells.  Alternatively, a firm might shut </w:t>
      </w:r>
      <w:r>
        <w:t>in</w:t>
      </w:r>
      <w:r w:rsidRPr="00802FE3">
        <w:t xml:space="preserve"> its least productive wells because they are not generating sufficient revenues to make them profitable in the near term.</w:t>
      </w:r>
    </w:p>
    <w:p w14:paraId="718CBF09" w14:textId="3DAE27C6" w:rsidR="0057474C" w:rsidRDefault="0057474C" w:rsidP="0057474C">
      <w:pPr>
        <w:pStyle w:val="Text1"/>
      </w:pPr>
      <w:r w:rsidRPr="0029606A">
        <w:t xml:space="preserve">The COVID-19 pandemic began to constrain life in the United States in the beginning of March 2020.  </w:t>
      </w:r>
      <w:r w:rsidRPr="00F07437">
        <w:t>The U.S. Energy Information Administration reports that petroleum sales in the U.S. fell 25.2 percent from February to April 2020, in contrast to an increase in sales of 7.4 percent from February to April 2019.</w:t>
      </w:r>
      <w:r>
        <w:t xml:space="preserve">  In contrast, natural gas sales fell 26.0 percent from February to April 2020, similar to the decline of 26.7 percent from February to April 2019. Figure 1 shows the path of oil and natural gas prices day to day during March 2020, setting prices at the end of February as the reference points.</w:t>
      </w:r>
    </w:p>
    <w:p w14:paraId="3F899FB3" w14:textId="3DAE27C6" w:rsidR="0057474C" w:rsidRDefault="0057474C" w:rsidP="0057474C">
      <w:pPr>
        <w:jc w:val="center"/>
        <w:rPr>
          <w:rFonts w:ascii="Times New Roman" w:hAnsi="Times New Roman" w:cs="Times New Roman"/>
          <w:sz w:val="24"/>
          <w:szCs w:val="24"/>
        </w:rPr>
      </w:pPr>
      <w:r>
        <w:rPr>
          <w:noProof/>
        </w:rPr>
        <w:lastRenderedPageBreak/>
        <w:drawing>
          <wp:inline distT="0" distB="0" distL="0" distR="0" wp14:anchorId="20451F12" wp14:editId="16C5A832">
            <wp:extent cx="4876800" cy="3025140"/>
            <wp:effectExtent l="0" t="0" r="0" b="3810"/>
            <wp:docPr id="8" name="Chart 8">
              <a:extLst xmlns:a="http://schemas.openxmlformats.org/drawingml/2006/main">
                <a:ext uri="{FF2B5EF4-FFF2-40B4-BE49-F238E27FC236}">
                  <a16:creationId xmlns:a16="http://schemas.microsoft.com/office/drawing/2014/main" id="{31C6F6BA-1130-4617-918E-3CCDA47B1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C0715E" w14:textId="1B7B773E" w:rsidR="0057474C" w:rsidRDefault="0057474C" w:rsidP="0057474C">
      <w:pPr>
        <w:pStyle w:val="FigureCaption"/>
      </w:pPr>
      <w:r w:rsidRPr="00851ABF">
        <w:t>Figure 1. Oil (</w:t>
      </w:r>
      <w:r>
        <w:t>WTI</w:t>
      </w:r>
      <w:r w:rsidRPr="00851ABF">
        <w:t>) prices show significant drops in March 2020 in comparison to the previous month</w:t>
      </w:r>
      <w:r>
        <w:t>,</w:t>
      </w:r>
      <w:r w:rsidR="00893A75">
        <w:t xml:space="preserve"> the</w:t>
      </w:r>
      <w:r>
        <w:t xml:space="preserve"> natural gas price is relatively stable.  Source:  Energy Information Administration.  Oil prices are for West Texas Intermediate delivered in Cushing, Oklahoma, while gas prices are for gas delivered in Henry Hub, Louisiana.</w:t>
      </w:r>
    </w:p>
    <w:p w14:paraId="7AC9E6BB" w14:textId="3B91CF44" w:rsidR="0057474C" w:rsidRPr="000C7468" w:rsidRDefault="0057474C" w:rsidP="0057474C">
      <w:pPr>
        <w:pStyle w:val="Text1"/>
      </w:pPr>
      <w:r>
        <w:t xml:space="preserve"> </w:t>
      </w:r>
    </w:p>
    <w:p w14:paraId="2EA58DFE" w14:textId="42431D7D" w:rsidR="0057474C" w:rsidRPr="000C7468" w:rsidRDefault="0057474C" w:rsidP="0057474C">
      <w:pPr>
        <w:pStyle w:val="Text1"/>
      </w:pPr>
      <w:r w:rsidRPr="00350C69">
        <w:t>We note that producers may shut in wells for a variety of other reasons than low prices</w:t>
      </w:r>
      <w:r w:rsidRPr="000C7468">
        <w:t xml:space="preserve">.  </w:t>
      </w:r>
      <w:r>
        <w:t>One of these reasons could be regular maintenance of surface facilities like pumps, separators or local pipelines that are used for transporting produced hydrocarbons. In addition, shutting in wells can pose technological risks.  In particular, plugging a well may harm the geologic features of the well, reducing further production (Gauthier, 2020).</w:t>
      </w:r>
    </w:p>
    <w:p w14:paraId="174B5555" w14:textId="77777777" w:rsidR="00D629ED" w:rsidRPr="00A23901" w:rsidRDefault="00D629ED">
      <w:pPr>
        <w:rPr>
          <w:rFonts w:ascii="Times New Roman" w:hAnsi="Times New Roman" w:cs="Times New Roman"/>
          <w:sz w:val="24"/>
          <w:szCs w:val="24"/>
        </w:rPr>
      </w:pPr>
    </w:p>
    <w:p w14:paraId="31EB7D48" w14:textId="4C14CCB9" w:rsidR="007E4360" w:rsidRDefault="00FF582E">
      <w:pPr>
        <w:rPr>
          <w:rFonts w:ascii="Times New Roman" w:hAnsi="Times New Roman" w:cs="Times New Roman"/>
          <w:b/>
          <w:bCs/>
          <w:sz w:val="24"/>
          <w:szCs w:val="24"/>
        </w:rPr>
      </w:pPr>
      <w:r>
        <w:rPr>
          <w:rFonts w:ascii="Times New Roman" w:hAnsi="Times New Roman" w:cs="Times New Roman"/>
          <w:b/>
          <w:bCs/>
          <w:sz w:val="24"/>
          <w:szCs w:val="24"/>
        </w:rPr>
        <w:t>Project</w:t>
      </w:r>
      <w:r w:rsidR="00640CB5">
        <w:rPr>
          <w:rFonts w:ascii="Times New Roman" w:hAnsi="Times New Roman" w:cs="Times New Roman"/>
          <w:b/>
          <w:bCs/>
          <w:sz w:val="24"/>
          <w:szCs w:val="24"/>
        </w:rPr>
        <w:t xml:space="preserve"> Directions</w:t>
      </w:r>
    </w:p>
    <w:p w14:paraId="7AEB4A94" w14:textId="05EAD655" w:rsidR="000710E7" w:rsidRDefault="000710E7">
      <w:pPr>
        <w:rPr>
          <w:rFonts w:ascii="Times New Roman" w:hAnsi="Times New Roman" w:cs="Times New Roman"/>
          <w:sz w:val="24"/>
          <w:szCs w:val="24"/>
        </w:rPr>
      </w:pPr>
      <w:r>
        <w:rPr>
          <w:rFonts w:ascii="Times New Roman" w:hAnsi="Times New Roman" w:cs="Times New Roman"/>
          <w:sz w:val="24"/>
          <w:szCs w:val="24"/>
        </w:rPr>
        <w:tab/>
        <w:t xml:space="preserve">Our preliminary research has identified three firms that adopted shut in strategies in response to the COVID-19 outbreak in </w:t>
      </w:r>
      <w:r w:rsidR="005A22FC">
        <w:rPr>
          <w:rFonts w:ascii="Times New Roman" w:hAnsi="Times New Roman" w:cs="Times New Roman"/>
          <w:sz w:val="24"/>
          <w:szCs w:val="24"/>
        </w:rPr>
        <w:t xml:space="preserve">early 2020.  In the Bakken field of North Dakota, those companies are Whiting and XTO. </w:t>
      </w:r>
      <w:r w:rsidR="008E1C98">
        <w:rPr>
          <w:rFonts w:ascii="Times New Roman" w:hAnsi="Times New Roman" w:cs="Times New Roman"/>
          <w:sz w:val="24"/>
          <w:szCs w:val="24"/>
        </w:rPr>
        <w:t xml:space="preserve"> </w:t>
      </w:r>
      <w:r w:rsidR="00D417CC">
        <w:rPr>
          <w:rFonts w:ascii="Times New Roman" w:hAnsi="Times New Roman" w:cs="Times New Roman"/>
          <w:sz w:val="24"/>
          <w:szCs w:val="24"/>
        </w:rPr>
        <w:t>In the Marcellus, the company is EQT</w:t>
      </w:r>
      <w:r w:rsidR="00B606CB">
        <w:rPr>
          <w:rFonts w:ascii="Times New Roman" w:hAnsi="Times New Roman" w:cs="Times New Roman"/>
          <w:sz w:val="24"/>
          <w:szCs w:val="24"/>
        </w:rPr>
        <w:t>, which operated under several names starting with “EQT”</w:t>
      </w:r>
      <w:r w:rsidR="005B03D4">
        <w:rPr>
          <w:rFonts w:ascii="Times New Roman" w:hAnsi="Times New Roman" w:cs="Times New Roman"/>
          <w:sz w:val="24"/>
          <w:szCs w:val="24"/>
        </w:rPr>
        <w:t xml:space="preserve">  </w:t>
      </w:r>
    </w:p>
    <w:p w14:paraId="54109FC6" w14:textId="0F7AB95A" w:rsidR="00F117F3" w:rsidRDefault="00F117F3">
      <w:pPr>
        <w:rPr>
          <w:rFonts w:ascii="Times New Roman" w:hAnsi="Times New Roman" w:cs="Times New Roman"/>
          <w:sz w:val="24"/>
          <w:szCs w:val="24"/>
        </w:rPr>
      </w:pPr>
      <w:r>
        <w:rPr>
          <w:rFonts w:ascii="Times New Roman" w:hAnsi="Times New Roman" w:cs="Times New Roman"/>
          <w:sz w:val="24"/>
          <w:szCs w:val="24"/>
        </w:rPr>
        <w:tab/>
        <w:t xml:space="preserve">Our directions are for you to </w:t>
      </w:r>
      <w:r w:rsidR="00593056">
        <w:rPr>
          <w:rFonts w:ascii="Times New Roman" w:hAnsi="Times New Roman" w:cs="Times New Roman"/>
          <w:sz w:val="24"/>
          <w:szCs w:val="24"/>
        </w:rPr>
        <w:t>first show shut in percentage by month in 2020 for each of these firms</w:t>
      </w:r>
      <w:r w:rsidR="00B91498">
        <w:rPr>
          <w:rFonts w:ascii="Times New Roman" w:hAnsi="Times New Roman" w:cs="Times New Roman"/>
          <w:sz w:val="24"/>
          <w:szCs w:val="24"/>
        </w:rPr>
        <w:t xml:space="preserve"> FOR THEIR HORIZONTAL WELLS</w:t>
      </w:r>
      <w:r w:rsidR="00593056">
        <w:rPr>
          <w:rFonts w:ascii="Times New Roman" w:hAnsi="Times New Roman" w:cs="Times New Roman"/>
          <w:sz w:val="24"/>
          <w:szCs w:val="24"/>
        </w:rPr>
        <w:t>.</w:t>
      </w:r>
      <w:r w:rsidR="00693A91">
        <w:rPr>
          <w:rFonts w:ascii="Times New Roman" w:hAnsi="Times New Roman" w:cs="Times New Roman"/>
          <w:sz w:val="24"/>
          <w:szCs w:val="24"/>
        </w:rPr>
        <w:t xml:space="preserve">  Then </w:t>
      </w:r>
      <w:r>
        <w:rPr>
          <w:rFonts w:ascii="Times New Roman" w:hAnsi="Times New Roman" w:cs="Times New Roman"/>
          <w:sz w:val="24"/>
          <w:szCs w:val="24"/>
        </w:rPr>
        <w:t xml:space="preserve">estimate probit models </w:t>
      </w:r>
      <w:r w:rsidR="00D417CC">
        <w:rPr>
          <w:rFonts w:ascii="Times New Roman" w:hAnsi="Times New Roman" w:cs="Times New Roman"/>
          <w:sz w:val="24"/>
          <w:szCs w:val="24"/>
        </w:rPr>
        <w:t>on which wells were shut in</w:t>
      </w:r>
      <w:r w:rsidR="00593056">
        <w:rPr>
          <w:rFonts w:ascii="Times New Roman" w:hAnsi="Times New Roman" w:cs="Times New Roman"/>
          <w:sz w:val="24"/>
          <w:szCs w:val="24"/>
        </w:rPr>
        <w:t xml:space="preserve"> after February 2020</w:t>
      </w:r>
      <w:r w:rsidR="00D417CC">
        <w:rPr>
          <w:rFonts w:ascii="Times New Roman" w:hAnsi="Times New Roman" w:cs="Times New Roman"/>
          <w:sz w:val="24"/>
          <w:szCs w:val="24"/>
        </w:rPr>
        <w:t xml:space="preserve">. </w:t>
      </w:r>
      <w:r w:rsidR="00A50AE8">
        <w:rPr>
          <w:rFonts w:ascii="Times New Roman" w:hAnsi="Times New Roman" w:cs="Times New Roman"/>
          <w:sz w:val="24"/>
          <w:szCs w:val="24"/>
        </w:rPr>
        <w:t xml:space="preserve"> (Wells shut in prior to that data should not be included in the dataset.)</w:t>
      </w:r>
      <w:r w:rsidR="00D417CC">
        <w:rPr>
          <w:rFonts w:ascii="Times New Roman" w:hAnsi="Times New Roman" w:cs="Times New Roman"/>
          <w:sz w:val="24"/>
          <w:szCs w:val="24"/>
        </w:rPr>
        <w:t xml:space="preserve"> </w:t>
      </w:r>
      <w:r w:rsidR="00833A36">
        <w:rPr>
          <w:rFonts w:ascii="Times New Roman" w:hAnsi="Times New Roman" w:cs="Times New Roman"/>
          <w:sz w:val="24"/>
          <w:szCs w:val="24"/>
        </w:rPr>
        <w:t xml:space="preserve">In the Bakken, you should do models with Whiting and XTO together, and then separately.  Then do a statistical test to see if whether combining firms is appropriate.  </w:t>
      </w:r>
      <w:r w:rsidR="001B6555">
        <w:rPr>
          <w:rFonts w:ascii="Times New Roman" w:hAnsi="Times New Roman" w:cs="Times New Roman"/>
          <w:sz w:val="24"/>
          <w:szCs w:val="24"/>
        </w:rPr>
        <w:t>In the probit models, we suggest you determine if shut ins are a function of the size of production</w:t>
      </w:r>
      <w:r w:rsidR="00D11E7E">
        <w:rPr>
          <w:rFonts w:ascii="Times New Roman" w:hAnsi="Times New Roman" w:cs="Times New Roman"/>
          <w:sz w:val="24"/>
          <w:szCs w:val="24"/>
        </w:rPr>
        <w:t xml:space="preserve"> from the relevant well</w:t>
      </w:r>
      <w:r w:rsidR="001B6555">
        <w:rPr>
          <w:rFonts w:ascii="Times New Roman" w:hAnsi="Times New Roman" w:cs="Times New Roman"/>
          <w:sz w:val="24"/>
          <w:szCs w:val="24"/>
        </w:rPr>
        <w:t xml:space="preserve">, the amount of </w:t>
      </w:r>
      <w:r w:rsidR="006119FD">
        <w:rPr>
          <w:rFonts w:ascii="Times New Roman" w:hAnsi="Times New Roman" w:cs="Times New Roman"/>
          <w:sz w:val="24"/>
          <w:szCs w:val="24"/>
        </w:rPr>
        <w:t>wastewater</w:t>
      </w:r>
      <w:r w:rsidR="001B6555">
        <w:rPr>
          <w:rFonts w:ascii="Times New Roman" w:hAnsi="Times New Roman" w:cs="Times New Roman"/>
          <w:sz w:val="24"/>
          <w:szCs w:val="24"/>
        </w:rPr>
        <w:t xml:space="preserve"> or other liquids produced, and the geographic location of the wells.  </w:t>
      </w:r>
    </w:p>
    <w:p w14:paraId="3BA026B8" w14:textId="4856BCCA" w:rsidR="00C14044" w:rsidRDefault="00C14044">
      <w:pPr>
        <w:rPr>
          <w:rFonts w:ascii="Times New Roman" w:hAnsi="Times New Roman" w:cs="Times New Roman"/>
          <w:sz w:val="24"/>
          <w:szCs w:val="24"/>
        </w:rPr>
      </w:pPr>
      <w:r>
        <w:rPr>
          <w:rFonts w:ascii="Times New Roman" w:hAnsi="Times New Roman" w:cs="Times New Roman"/>
          <w:sz w:val="24"/>
          <w:szCs w:val="24"/>
        </w:rPr>
        <w:lastRenderedPageBreak/>
        <w:tab/>
        <w:t xml:space="preserve">Once the probit models are complete, we request that you conduct “time to failure” models on how long </w:t>
      </w:r>
      <w:r w:rsidR="002949DF">
        <w:rPr>
          <w:rFonts w:ascii="Times New Roman" w:hAnsi="Times New Roman" w:cs="Times New Roman"/>
          <w:sz w:val="24"/>
          <w:szCs w:val="24"/>
        </w:rPr>
        <w:t>wells are shut in.  This should be done for all three companies.  You will want to test whether Whiting and XTO should be combined in your estimations.</w:t>
      </w:r>
      <w:r w:rsidR="00244E34">
        <w:rPr>
          <w:rFonts w:ascii="Times New Roman" w:hAnsi="Times New Roman" w:cs="Times New Roman"/>
          <w:sz w:val="24"/>
          <w:szCs w:val="24"/>
        </w:rPr>
        <w:t xml:space="preserve">  Again, you will want to use the size of production, the amount of waste liquids produced, and the geographic location of the wells.</w:t>
      </w:r>
    </w:p>
    <w:p w14:paraId="02ACB28D" w14:textId="4CA8B761" w:rsidR="00612AC0" w:rsidRPr="00715839" w:rsidRDefault="00E52721" w:rsidP="00B91498">
      <w:r>
        <w:rPr>
          <w:sz w:val="24"/>
          <w:szCs w:val="24"/>
        </w:rPr>
        <w:tab/>
      </w:r>
      <w:r w:rsidRPr="00B91498">
        <w:rPr>
          <w:rFonts w:ascii="Times New Roman" w:hAnsi="Times New Roman" w:cs="Times New Roman"/>
          <w:sz w:val="24"/>
          <w:szCs w:val="24"/>
        </w:rPr>
        <w:t>Information on well production in North Dakota is available th</w:t>
      </w:r>
      <w:r w:rsidR="009C3083" w:rsidRPr="00B91498">
        <w:rPr>
          <w:rFonts w:ascii="Times New Roman" w:hAnsi="Times New Roman" w:cs="Times New Roman"/>
          <w:sz w:val="24"/>
          <w:szCs w:val="24"/>
        </w:rPr>
        <w:t>r</w:t>
      </w:r>
      <w:r w:rsidRPr="00B91498">
        <w:rPr>
          <w:rFonts w:ascii="Times New Roman" w:hAnsi="Times New Roman" w:cs="Times New Roman"/>
          <w:sz w:val="24"/>
          <w:szCs w:val="24"/>
        </w:rPr>
        <w:t xml:space="preserve">ough </w:t>
      </w:r>
      <w:r w:rsidR="006869B2" w:rsidRPr="00B91498">
        <w:rPr>
          <w:rFonts w:ascii="Times New Roman" w:hAnsi="Times New Roman" w:cs="Times New Roman"/>
          <w:sz w:val="24"/>
          <w:szCs w:val="24"/>
        </w:rPr>
        <w:t>North Dakota Drilling and Production Statistics</w:t>
      </w:r>
      <w:r w:rsidR="00486917" w:rsidRPr="00F67963">
        <w:rPr>
          <w:rFonts w:ascii="Times New Roman" w:hAnsi="Times New Roman" w:cs="Times New Roman"/>
          <w:sz w:val="24"/>
          <w:szCs w:val="24"/>
        </w:rPr>
        <w:t xml:space="preserve"> at </w:t>
      </w:r>
      <w:hyperlink r:id="rId12" w:history="1">
        <w:r w:rsidR="00486917" w:rsidRPr="00B91498">
          <w:rPr>
            <w:rStyle w:val="Hyperlink"/>
            <w:rFonts w:ascii="Times New Roman" w:hAnsi="Times New Roman" w:cs="Times New Roman"/>
            <w:sz w:val="24"/>
            <w:szCs w:val="24"/>
          </w:rPr>
          <w:t>https://www.dmr.nd.gov/oilgas/mprindex.asp</w:t>
        </w:r>
      </w:hyperlink>
      <w:r w:rsidR="00486917" w:rsidRPr="00F67963">
        <w:rPr>
          <w:rFonts w:ascii="Times New Roman" w:hAnsi="Times New Roman" w:cs="Times New Roman"/>
          <w:sz w:val="24"/>
          <w:szCs w:val="24"/>
        </w:rPr>
        <w:t xml:space="preserve">.  </w:t>
      </w:r>
      <w:r w:rsidR="00486917" w:rsidRPr="00B91498">
        <w:rPr>
          <w:rFonts w:ascii="Times New Roman" w:hAnsi="Times New Roman" w:cs="Times New Roman"/>
          <w:sz w:val="24"/>
          <w:szCs w:val="24"/>
        </w:rPr>
        <w:t xml:space="preserve"> </w:t>
      </w:r>
      <w:r w:rsidR="009C3083" w:rsidRPr="00B91498">
        <w:rPr>
          <w:rFonts w:ascii="Times New Roman" w:hAnsi="Times New Roman" w:cs="Times New Roman"/>
          <w:sz w:val="24"/>
          <w:szCs w:val="24"/>
        </w:rPr>
        <w:t>.  Information on well production in Pennsylvania is available through</w:t>
      </w:r>
      <w:r w:rsidR="00612AC0" w:rsidRPr="00B91498">
        <w:rPr>
          <w:rFonts w:ascii="Times New Roman" w:hAnsi="Times New Roman" w:cs="Times New Roman"/>
          <w:sz w:val="24"/>
          <w:szCs w:val="24"/>
        </w:rPr>
        <w:t xml:space="preserve"> the Pennsylvania Department of Environmental Protection.</w:t>
      </w:r>
      <w:r w:rsidR="00F67963" w:rsidRPr="00F67963">
        <w:rPr>
          <w:rFonts w:ascii="Times New Roman" w:hAnsi="Times New Roman" w:cs="Times New Roman"/>
          <w:sz w:val="24"/>
          <w:szCs w:val="24"/>
        </w:rPr>
        <w:t xml:space="preserve"> </w:t>
      </w:r>
      <w:r w:rsidR="00B94DBA" w:rsidRPr="00B91498">
        <w:rPr>
          <w:rFonts w:ascii="Times New Roman" w:hAnsi="Times New Roman" w:cs="Times New Roman"/>
          <w:sz w:val="24"/>
          <w:szCs w:val="24"/>
        </w:rPr>
        <w:t xml:space="preserve"> at </w:t>
      </w:r>
      <w:hyperlink r:id="rId13" w:history="1">
        <w:r w:rsidR="00B94DBA" w:rsidRPr="00B91498">
          <w:rPr>
            <w:rStyle w:val="Hyperlink"/>
            <w:rFonts w:ascii="Times New Roman" w:hAnsi="Times New Roman" w:cs="Times New Roman"/>
            <w:sz w:val="24"/>
            <w:szCs w:val="24"/>
          </w:rPr>
          <w:t>https://www.depgreenport.state.pa.us/ReportExtracts/OG/OilGasWellProdReport</w:t>
        </w:r>
      </w:hyperlink>
      <w:r w:rsidR="00B94DBA" w:rsidRPr="00F67963">
        <w:rPr>
          <w:rFonts w:ascii="Times New Roman" w:hAnsi="Times New Roman" w:cs="Times New Roman"/>
          <w:sz w:val="24"/>
          <w:szCs w:val="24"/>
        </w:rPr>
        <w:t>.</w:t>
      </w:r>
      <w:r w:rsidR="00B94DBA" w:rsidRPr="00B91498">
        <w:rPr>
          <w:rFonts w:ascii="Times New Roman" w:hAnsi="Times New Roman" w:cs="Times New Roman"/>
          <w:sz w:val="24"/>
          <w:szCs w:val="24"/>
        </w:rPr>
        <w:t xml:space="preserve">  </w:t>
      </w:r>
      <w:r w:rsidR="00F67963" w:rsidRPr="00B91498">
        <w:rPr>
          <w:rFonts w:ascii="Times New Roman" w:hAnsi="Times New Roman" w:cs="Times New Roman"/>
          <w:sz w:val="24"/>
          <w:szCs w:val="24"/>
        </w:rPr>
        <w:t xml:space="preserve">Again, </w:t>
      </w:r>
      <w:r w:rsidR="00B94DBA" w:rsidRPr="00B91498">
        <w:rPr>
          <w:rFonts w:ascii="Times New Roman" w:hAnsi="Times New Roman" w:cs="Times New Roman"/>
          <w:sz w:val="24"/>
          <w:szCs w:val="24"/>
        </w:rPr>
        <w:t>Make sure for both states you are using data for horizontal (not vertical) wells.</w:t>
      </w:r>
    </w:p>
    <w:p w14:paraId="467F6861" w14:textId="5ED1A7E8" w:rsidR="007E4360" w:rsidRPr="00A23901" w:rsidRDefault="00A15BCC" w:rsidP="00893A75">
      <w:pPr>
        <w:ind w:firstLine="720"/>
        <w:rPr>
          <w:rFonts w:ascii="Times New Roman" w:hAnsi="Times New Roman" w:cs="Times New Roman"/>
          <w:sz w:val="24"/>
          <w:szCs w:val="24"/>
        </w:rPr>
      </w:pPr>
      <w:r w:rsidRPr="00A23901">
        <w:rPr>
          <w:rFonts w:ascii="Times New Roman" w:hAnsi="Times New Roman" w:cs="Times New Roman"/>
          <w:sz w:val="24"/>
          <w:szCs w:val="24"/>
        </w:rPr>
        <w:t xml:space="preserve"> </w:t>
      </w:r>
      <w:r w:rsidR="008C6389">
        <w:rPr>
          <w:rFonts w:ascii="Times New Roman" w:hAnsi="Times New Roman" w:cs="Times New Roman"/>
          <w:sz w:val="24"/>
          <w:szCs w:val="24"/>
        </w:rPr>
        <w:t xml:space="preserve">We define a well as being shut-in if its production is less than half of its production in </w:t>
      </w:r>
      <w:r w:rsidR="00794A51">
        <w:rPr>
          <w:rFonts w:ascii="Times New Roman" w:hAnsi="Times New Roman" w:cs="Times New Roman"/>
          <w:sz w:val="24"/>
          <w:szCs w:val="24"/>
        </w:rPr>
        <w:t>latest</w:t>
      </w:r>
      <w:r w:rsidR="008C6389">
        <w:rPr>
          <w:rFonts w:ascii="Times New Roman" w:hAnsi="Times New Roman" w:cs="Times New Roman"/>
          <w:sz w:val="24"/>
          <w:szCs w:val="24"/>
        </w:rPr>
        <w:t xml:space="preserve"> previous month.  </w:t>
      </w:r>
      <w:r w:rsidR="00794A51">
        <w:rPr>
          <w:rFonts w:ascii="Times New Roman" w:hAnsi="Times New Roman" w:cs="Times New Roman"/>
          <w:sz w:val="24"/>
          <w:szCs w:val="24"/>
        </w:rPr>
        <w:t>We define a well as having return to production if its production rises to 75 percent of its level in the pre-shut in month.</w:t>
      </w:r>
    </w:p>
    <w:sectPr w:rsidR="007E4360" w:rsidRPr="00A239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0C70" w14:textId="77777777" w:rsidR="005A3B4F" w:rsidRDefault="005A3B4F" w:rsidP="00D629ED">
      <w:pPr>
        <w:spacing w:after="0" w:line="240" w:lineRule="auto"/>
      </w:pPr>
      <w:r>
        <w:separator/>
      </w:r>
    </w:p>
  </w:endnote>
  <w:endnote w:type="continuationSeparator" w:id="0">
    <w:p w14:paraId="7C1B1282" w14:textId="77777777" w:rsidR="005A3B4F" w:rsidRDefault="005A3B4F" w:rsidP="00D6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EE00" w14:textId="77777777" w:rsidR="005A3B4F" w:rsidRDefault="005A3B4F" w:rsidP="00D629ED">
      <w:pPr>
        <w:spacing w:after="0" w:line="240" w:lineRule="auto"/>
      </w:pPr>
      <w:r>
        <w:separator/>
      </w:r>
    </w:p>
  </w:footnote>
  <w:footnote w:type="continuationSeparator" w:id="0">
    <w:p w14:paraId="1B0C49A8" w14:textId="77777777" w:rsidR="005A3B4F" w:rsidRDefault="005A3B4F" w:rsidP="00D6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A6D"/>
    <w:multiLevelType w:val="hybridMultilevel"/>
    <w:tmpl w:val="2C5E79C2"/>
    <w:lvl w:ilvl="0" w:tplc="E2C689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60"/>
    <w:rsid w:val="000710E7"/>
    <w:rsid w:val="000A77CD"/>
    <w:rsid w:val="001019FB"/>
    <w:rsid w:val="00125902"/>
    <w:rsid w:val="001B6555"/>
    <w:rsid w:val="00244E34"/>
    <w:rsid w:val="002949DF"/>
    <w:rsid w:val="002D165D"/>
    <w:rsid w:val="00391437"/>
    <w:rsid w:val="003A4C9B"/>
    <w:rsid w:val="00486917"/>
    <w:rsid w:val="0057474C"/>
    <w:rsid w:val="00593056"/>
    <w:rsid w:val="00594FC4"/>
    <w:rsid w:val="005A22FC"/>
    <w:rsid w:val="005A3B4F"/>
    <w:rsid w:val="005B03D4"/>
    <w:rsid w:val="005C338F"/>
    <w:rsid w:val="006000B6"/>
    <w:rsid w:val="006119FD"/>
    <w:rsid w:val="00612AC0"/>
    <w:rsid w:val="00640CB5"/>
    <w:rsid w:val="00646E45"/>
    <w:rsid w:val="006869B2"/>
    <w:rsid w:val="00693A91"/>
    <w:rsid w:val="006F5A20"/>
    <w:rsid w:val="00715839"/>
    <w:rsid w:val="00794A51"/>
    <w:rsid w:val="007E4360"/>
    <w:rsid w:val="007F3A8A"/>
    <w:rsid w:val="00833A36"/>
    <w:rsid w:val="00846690"/>
    <w:rsid w:val="00893A75"/>
    <w:rsid w:val="008C40EF"/>
    <w:rsid w:val="008C6389"/>
    <w:rsid w:val="008E1C98"/>
    <w:rsid w:val="009C3083"/>
    <w:rsid w:val="00A15BCC"/>
    <w:rsid w:val="00A23901"/>
    <w:rsid w:val="00A50AE8"/>
    <w:rsid w:val="00AA0825"/>
    <w:rsid w:val="00B606CB"/>
    <w:rsid w:val="00B91498"/>
    <w:rsid w:val="00B94DBA"/>
    <w:rsid w:val="00C14044"/>
    <w:rsid w:val="00CB06AB"/>
    <w:rsid w:val="00CD6B96"/>
    <w:rsid w:val="00D11E7E"/>
    <w:rsid w:val="00D37369"/>
    <w:rsid w:val="00D417CC"/>
    <w:rsid w:val="00D629ED"/>
    <w:rsid w:val="00DE6782"/>
    <w:rsid w:val="00E52721"/>
    <w:rsid w:val="00F117F3"/>
    <w:rsid w:val="00F67963"/>
    <w:rsid w:val="00FF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CD70"/>
  <w15:chartTrackingRefBased/>
  <w15:docId w15:val="{3BE5CAEA-52C7-4F63-868D-F80D64A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629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9ED"/>
    <w:rPr>
      <w:sz w:val="20"/>
      <w:szCs w:val="20"/>
    </w:rPr>
  </w:style>
  <w:style w:type="character" w:styleId="FootnoteReference">
    <w:name w:val="footnote reference"/>
    <w:basedOn w:val="DefaultParagraphFont"/>
    <w:uiPriority w:val="99"/>
    <w:semiHidden/>
    <w:unhideWhenUsed/>
    <w:rsid w:val="00D629ED"/>
    <w:rPr>
      <w:vertAlign w:val="superscript"/>
    </w:rPr>
  </w:style>
  <w:style w:type="character" w:styleId="CommentReference">
    <w:name w:val="annotation reference"/>
    <w:basedOn w:val="DefaultParagraphFont"/>
    <w:uiPriority w:val="99"/>
    <w:semiHidden/>
    <w:unhideWhenUsed/>
    <w:rsid w:val="0057474C"/>
    <w:rPr>
      <w:sz w:val="16"/>
      <w:szCs w:val="16"/>
    </w:rPr>
  </w:style>
  <w:style w:type="paragraph" w:styleId="CommentText">
    <w:name w:val="annotation text"/>
    <w:basedOn w:val="Normal"/>
    <w:link w:val="CommentTextChar"/>
    <w:uiPriority w:val="99"/>
    <w:semiHidden/>
    <w:unhideWhenUsed/>
    <w:rsid w:val="0057474C"/>
    <w:pPr>
      <w:spacing w:line="240" w:lineRule="auto"/>
    </w:pPr>
    <w:rPr>
      <w:sz w:val="20"/>
      <w:szCs w:val="20"/>
    </w:rPr>
  </w:style>
  <w:style w:type="character" w:customStyle="1" w:styleId="CommentTextChar">
    <w:name w:val="Comment Text Char"/>
    <w:basedOn w:val="DefaultParagraphFont"/>
    <w:link w:val="CommentText"/>
    <w:uiPriority w:val="99"/>
    <w:semiHidden/>
    <w:rsid w:val="0057474C"/>
    <w:rPr>
      <w:sz w:val="20"/>
      <w:szCs w:val="20"/>
    </w:rPr>
  </w:style>
  <w:style w:type="paragraph" w:styleId="ListParagraph">
    <w:name w:val="List Paragraph"/>
    <w:basedOn w:val="Normal"/>
    <w:uiPriority w:val="34"/>
    <w:qFormat/>
    <w:rsid w:val="0057474C"/>
    <w:pPr>
      <w:ind w:left="720"/>
      <w:contextualSpacing/>
    </w:pPr>
  </w:style>
  <w:style w:type="paragraph" w:customStyle="1" w:styleId="FigureCaption">
    <w:name w:val="Figure Caption"/>
    <w:basedOn w:val="Normal"/>
    <w:qFormat/>
    <w:rsid w:val="0057474C"/>
    <w:pPr>
      <w:spacing w:after="240" w:line="240" w:lineRule="auto"/>
      <w:jc w:val="both"/>
    </w:pPr>
    <w:rPr>
      <w:rFonts w:ascii="Times New Roman" w:eastAsia="Times New Roman" w:hAnsi="Times New Roman" w:cs="Times New Roman"/>
      <w:b/>
      <w:bCs/>
      <w:color w:val="000000" w:themeColor="text1"/>
    </w:rPr>
  </w:style>
  <w:style w:type="paragraph" w:customStyle="1" w:styleId="Text1">
    <w:name w:val="Text1"/>
    <w:basedOn w:val="Normal"/>
    <w:qFormat/>
    <w:rsid w:val="0057474C"/>
    <w:pPr>
      <w:spacing w:after="120" w:line="240" w:lineRule="auto"/>
      <w:ind w:firstLine="288"/>
      <w:jc w:val="both"/>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15839"/>
    <w:rPr>
      <w:b/>
      <w:bCs/>
    </w:rPr>
  </w:style>
  <w:style w:type="character" w:customStyle="1" w:styleId="CommentSubjectChar">
    <w:name w:val="Comment Subject Char"/>
    <w:basedOn w:val="CommentTextChar"/>
    <w:link w:val="CommentSubject"/>
    <w:uiPriority w:val="99"/>
    <w:semiHidden/>
    <w:rsid w:val="00715839"/>
    <w:rPr>
      <w:b/>
      <w:bCs/>
      <w:sz w:val="20"/>
      <w:szCs w:val="20"/>
    </w:rPr>
  </w:style>
  <w:style w:type="character" w:styleId="Hyperlink">
    <w:name w:val="Hyperlink"/>
    <w:basedOn w:val="DefaultParagraphFont"/>
    <w:uiPriority w:val="99"/>
    <w:unhideWhenUsed/>
    <w:rsid w:val="00AA0825"/>
    <w:rPr>
      <w:color w:val="0563C1" w:themeColor="hyperlink"/>
      <w:u w:val="single"/>
    </w:rPr>
  </w:style>
  <w:style w:type="character" w:styleId="UnresolvedMention">
    <w:name w:val="Unresolved Mention"/>
    <w:basedOn w:val="DefaultParagraphFont"/>
    <w:uiPriority w:val="99"/>
    <w:semiHidden/>
    <w:unhideWhenUsed/>
    <w:rsid w:val="00AA0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pgreenport.state.pa.us/ReportExtracts/OG/OilGasWellProdRepor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mr.nd.gov/oilgas/mprindex.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pennstateoffice365-my.sharepoint.com/personal/ank1_psu_edu/Documents/Documents/refracturing/march%20energy%20pric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Energy</a:t>
            </a:r>
            <a:r>
              <a:rPr lang="en-US" b="1" baseline="0">
                <a:solidFill>
                  <a:sysClr val="windowText" lastClr="000000"/>
                </a:solidFill>
                <a:latin typeface="Times New Roman" panose="02020603050405020304" pitchFamily="18" charset="0"/>
                <a:cs typeface="Times New Roman" panose="02020603050405020304" pitchFamily="18" charset="0"/>
              </a:rPr>
              <a:t> Prices in March 2020</a:t>
            </a:r>
          </a:p>
          <a:p>
            <a:pPr>
              <a:defRPr b="1">
                <a:solidFill>
                  <a:sysClr val="windowText" lastClr="000000"/>
                </a:solidFill>
              </a:defRPr>
            </a:pPr>
            <a:r>
              <a:rPr lang="en-US" b="1" baseline="0">
                <a:solidFill>
                  <a:sysClr val="windowText" lastClr="000000"/>
                </a:solidFill>
                <a:latin typeface="Times New Roman" panose="02020603050405020304" pitchFamily="18" charset="0"/>
                <a:cs typeface="Times New Roman" panose="02020603050405020304" pitchFamily="18" charset="0"/>
              </a:rPr>
              <a:t>As a Percentage of the February 28, 2020 Price</a:t>
            </a:r>
            <a:endParaRPr lang="en-US"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2418067956816403"/>
          <c:y val="0.23166581450046017"/>
          <c:w val="0.82859711286089244"/>
          <c:h val="0.62281733253000371"/>
        </c:manualLayout>
      </c:layout>
      <c:scatterChart>
        <c:scatterStyle val="lineMarker"/>
        <c:varyColors val="0"/>
        <c:ser>
          <c:idx val="0"/>
          <c:order val="0"/>
          <c:tx>
            <c:v>Oil</c:v>
          </c:tx>
          <c:spPr>
            <a:ln w="19050" cap="rnd">
              <a:solidFill>
                <a:schemeClr val="tx1"/>
              </a:solidFill>
              <a:prstDash val="sysDash"/>
              <a:round/>
            </a:ln>
            <a:effectLst/>
          </c:spPr>
          <c:marker>
            <c:symbol val="none"/>
          </c:marker>
          <c:xVal>
            <c:numRef>
              <c:f>Sheet1!$K$5:$K$26</c:f>
              <c:numCache>
                <c:formatCode>General</c:formatCode>
                <c:ptCount val="22"/>
                <c:pt idx="0">
                  <c:v>2</c:v>
                </c:pt>
                <c:pt idx="1">
                  <c:v>3</c:v>
                </c:pt>
                <c:pt idx="2">
                  <c:v>4</c:v>
                </c:pt>
                <c:pt idx="3">
                  <c:v>5</c:v>
                </c:pt>
                <c:pt idx="4">
                  <c:v>6</c:v>
                </c:pt>
                <c:pt idx="5">
                  <c:v>9</c:v>
                </c:pt>
                <c:pt idx="6">
                  <c:v>10</c:v>
                </c:pt>
                <c:pt idx="7">
                  <c:v>11</c:v>
                </c:pt>
                <c:pt idx="8">
                  <c:v>12</c:v>
                </c:pt>
                <c:pt idx="9">
                  <c:v>13</c:v>
                </c:pt>
                <c:pt idx="10">
                  <c:v>16</c:v>
                </c:pt>
                <c:pt idx="11">
                  <c:v>17</c:v>
                </c:pt>
                <c:pt idx="12">
                  <c:v>18</c:v>
                </c:pt>
                <c:pt idx="13">
                  <c:v>19</c:v>
                </c:pt>
                <c:pt idx="14">
                  <c:v>20</c:v>
                </c:pt>
                <c:pt idx="15">
                  <c:v>23</c:v>
                </c:pt>
                <c:pt idx="16">
                  <c:v>24</c:v>
                </c:pt>
                <c:pt idx="17">
                  <c:v>25</c:v>
                </c:pt>
                <c:pt idx="18">
                  <c:v>26</c:v>
                </c:pt>
                <c:pt idx="19">
                  <c:v>27</c:v>
                </c:pt>
                <c:pt idx="20">
                  <c:v>30</c:v>
                </c:pt>
                <c:pt idx="21">
                  <c:v>31</c:v>
                </c:pt>
              </c:numCache>
            </c:numRef>
          </c:xVal>
          <c:yVal>
            <c:numRef>
              <c:f>Sheet1!$L$5:$L$26</c:f>
              <c:numCache>
                <c:formatCode>0%</c:formatCode>
                <c:ptCount val="22"/>
                <c:pt idx="0">
                  <c:v>1.0434976578184252</c:v>
                </c:pt>
                <c:pt idx="1">
                  <c:v>1.054427838501004</c:v>
                </c:pt>
                <c:pt idx="2">
                  <c:v>1.0434976578184252</c:v>
                </c:pt>
                <c:pt idx="3">
                  <c:v>1.0238679455721615</c:v>
                </c:pt>
                <c:pt idx="4">
                  <c:v>0.91768904751282632</c:v>
                </c:pt>
                <c:pt idx="5">
                  <c:v>0.69261655141646228</c:v>
                </c:pt>
                <c:pt idx="6">
                  <c:v>0.76890475128262326</c:v>
                </c:pt>
                <c:pt idx="7">
                  <c:v>0.73901405308944912</c:v>
                </c:pt>
                <c:pt idx="8">
                  <c:v>0.70399286192281951</c:v>
                </c:pt>
                <c:pt idx="9">
                  <c:v>0.70756190051304935</c:v>
                </c:pt>
                <c:pt idx="10">
                  <c:v>0.64599598483158605</c:v>
                </c:pt>
                <c:pt idx="11">
                  <c:v>0.60138300245371412</c:v>
                </c:pt>
                <c:pt idx="12">
                  <c:v>0.4568369395494089</c:v>
                </c:pt>
                <c:pt idx="13">
                  <c:v>0.55966986393040374</c:v>
                </c:pt>
                <c:pt idx="14">
                  <c:v>0.43453044836047294</c:v>
                </c:pt>
                <c:pt idx="15">
                  <c:v>0.52041043943787635</c:v>
                </c:pt>
                <c:pt idx="16">
                  <c:v>0.46910550970332371</c:v>
                </c:pt>
                <c:pt idx="17">
                  <c:v>0.46285969217042161</c:v>
                </c:pt>
                <c:pt idx="18">
                  <c:v>0.37028775373633732</c:v>
                </c:pt>
                <c:pt idx="19">
                  <c:v>0.34530448360472898</c:v>
                </c:pt>
                <c:pt idx="20">
                  <c:v>0.31452152576399733</c:v>
                </c:pt>
                <c:pt idx="21">
                  <c:v>0.45750613428507703</c:v>
                </c:pt>
              </c:numCache>
            </c:numRef>
          </c:yVal>
          <c:smooth val="0"/>
          <c:extLst>
            <c:ext xmlns:c16="http://schemas.microsoft.com/office/drawing/2014/chart" uri="{C3380CC4-5D6E-409C-BE32-E72D297353CC}">
              <c16:uniqueId val="{00000000-D8A0-450E-A568-B7B1F973909C}"/>
            </c:ext>
          </c:extLst>
        </c:ser>
        <c:ser>
          <c:idx val="1"/>
          <c:order val="1"/>
          <c:tx>
            <c:v>Natural Gas</c:v>
          </c:tx>
          <c:spPr>
            <a:ln w="19050" cap="rnd" cmpd="dbl">
              <a:solidFill>
                <a:schemeClr val="tx1"/>
              </a:solidFill>
              <a:round/>
            </a:ln>
            <a:effectLst/>
          </c:spPr>
          <c:marker>
            <c:symbol val="none"/>
          </c:marker>
          <c:xVal>
            <c:numRef>
              <c:f>Sheet1!$K$5:$K$26</c:f>
              <c:numCache>
                <c:formatCode>General</c:formatCode>
                <c:ptCount val="22"/>
                <c:pt idx="0">
                  <c:v>2</c:v>
                </c:pt>
                <c:pt idx="1">
                  <c:v>3</c:v>
                </c:pt>
                <c:pt idx="2">
                  <c:v>4</c:v>
                </c:pt>
                <c:pt idx="3">
                  <c:v>5</c:v>
                </c:pt>
                <c:pt idx="4">
                  <c:v>6</c:v>
                </c:pt>
                <c:pt idx="5">
                  <c:v>9</c:v>
                </c:pt>
                <c:pt idx="6">
                  <c:v>10</c:v>
                </c:pt>
                <c:pt idx="7">
                  <c:v>11</c:v>
                </c:pt>
                <c:pt idx="8">
                  <c:v>12</c:v>
                </c:pt>
                <c:pt idx="9">
                  <c:v>13</c:v>
                </c:pt>
                <c:pt idx="10">
                  <c:v>16</c:v>
                </c:pt>
                <c:pt idx="11">
                  <c:v>17</c:v>
                </c:pt>
                <c:pt idx="12">
                  <c:v>18</c:v>
                </c:pt>
                <c:pt idx="13">
                  <c:v>19</c:v>
                </c:pt>
                <c:pt idx="14">
                  <c:v>20</c:v>
                </c:pt>
                <c:pt idx="15">
                  <c:v>23</c:v>
                </c:pt>
                <c:pt idx="16">
                  <c:v>24</c:v>
                </c:pt>
                <c:pt idx="17">
                  <c:v>25</c:v>
                </c:pt>
                <c:pt idx="18">
                  <c:v>26</c:v>
                </c:pt>
                <c:pt idx="19">
                  <c:v>27</c:v>
                </c:pt>
                <c:pt idx="20">
                  <c:v>30</c:v>
                </c:pt>
                <c:pt idx="21">
                  <c:v>31</c:v>
                </c:pt>
              </c:numCache>
            </c:numRef>
          </c:xVal>
          <c:yVal>
            <c:numRef>
              <c:f>Sheet1!$M$5:$M$26</c:f>
              <c:numCache>
                <c:formatCode>0%</c:formatCode>
                <c:ptCount val="22"/>
                <c:pt idx="0">
                  <c:v>0.97765363128491622</c:v>
                </c:pt>
                <c:pt idx="1">
                  <c:v>0.994413407821229</c:v>
                </c:pt>
                <c:pt idx="2">
                  <c:v>1.0223463687150838</c:v>
                </c:pt>
                <c:pt idx="3">
                  <c:v>1.0558659217877093</c:v>
                </c:pt>
                <c:pt idx="4">
                  <c:v>0.98324022346368711</c:v>
                </c:pt>
                <c:pt idx="5">
                  <c:v>0.97206703910614523</c:v>
                </c:pt>
                <c:pt idx="6">
                  <c:v>1.0670391061452513</c:v>
                </c:pt>
                <c:pt idx="7">
                  <c:v>1.0949720670391061</c:v>
                </c:pt>
                <c:pt idx="8">
                  <c:v>1.0167597765363128</c:v>
                </c:pt>
                <c:pt idx="9">
                  <c:v>1.0837988826815641</c:v>
                </c:pt>
                <c:pt idx="10">
                  <c:v>1.0558659217877093</c:v>
                </c:pt>
                <c:pt idx="11">
                  <c:v>1.0558659217877093</c:v>
                </c:pt>
                <c:pt idx="12">
                  <c:v>0.96648044692737423</c:v>
                </c:pt>
                <c:pt idx="13">
                  <c:v>0.93854748603351945</c:v>
                </c:pt>
                <c:pt idx="14">
                  <c:v>0.98324022346368711</c:v>
                </c:pt>
                <c:pt idx="15">
                  <c:v>0.94972067039106145</c:v>
                </c:pt>
                <c:pt idx="16">
                  <c:v>0.96648044692737423</c:v>
                </c:pt>
                <c:pt idx="17">
                  <c:v>1.005586592178771</c:v>
                </c:pt>
                <c:pt idx="18">
                  <c:v>0.96648044692737423</c:v>
                </c:pt>
                <c:pt idx="19">
                  <c:v>0.94972067039106145</c:v>
                </c:pt>
                <c:pt idx="20">
                  <c:v>0.92178770949720668</c:v>
                </c:pt>
                <c:pt idx="21">
                  <c:v>0.95530726256983234</c:v>
                </c:pt>
              </c:numCache>
            </c:numRef>
          </c:yVal>
          <c:smooth val="0"/>
          <c:extLst>
            <c:ext xmlns:c16="http://schemas.microsoft.com/office/drawing/2014/chart" uri="{C3380CC4-5D6E-409C-BE32-E72D297353CC}">
              <c16:uniqueId val="{00000001-D8A0-450E-A568-B7B1F973909C}"/>
            </c:ext>
          </c:extLst>
        </c:ser>
        <c:dLbls>
          <c:showLegendKey val="0"/>
          <c:showVal val="0"/>
          <c:showCatName val="0"/>
          <c:showSerName val="0"/>
          <c:showPercent val="0"/>
          <c:showBubbleSize val="0"/>
        </c:dLbls>
        <c:axId val="674750520"/>
        <c:axId val="674749864"/>
      </c:scatterChart>
      <c:valAx>
        <c:axId val="674750520"/>
        <c:scaling>
          <c:orientation val="minMax"/>
          <c:max val="31"/>
          <c:min val="1"/>
        </c:scaling>
        <c:delete val="0"/>
        <c:axPos val="b"/>
        <c:majorGridlines>
          <c:spPr>
            <a:ln w="9525" cap="flat" cmpd="sng" algn="ctr">
              <a:solidFill>
                <a:schemeClr val="tx1">
                  <a:lumMod val="15000"/>
                  <a:lumOff val="85000"/>
                </a:schemeClr>
              </a:solidFill>
              <a:prstDash val="dashDot"/>
              <a:round/>
            </a:ln>
            <a:effectLst/>
          </c:spPr>
        </c:majorGridlines>
        <c:title>
          <c:tx>
            <c:rich>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Date in March</a:t>
                </a:r>
              </a:p>
            </c:rich>
          </c:tx>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74749864"/>
        <c:crosses val="autoZero"/>
        <c:crossBetween val="midCat"/>
      </c:valAx>
      <c:valAx>
        <c:axId val="674749864"/>
        <c:scaling>
          <c:orientation val="minMax"/>
        </c:scaling>
        <c:delete val="0"/>
        <c:axPos val="l"/>
        <c:majorGridlines>
          <c:spPr>
            <a:ln w="9525" cap="flat" cmpd="sng" algn="ctr">
              <a:solidFill>
                <a:schemeClr val="tx1">
                  <a:lumMod val="15000"/>
                  <a:lumOff val="85000"/>
                </a:schemeClr>
              </a:solidFill>
              <a:prstDash val="dashDot"/>
              <a:round/>
            </a:ln>
            <a:effectLst/>
          </c:spPr>
        </c:majorGridlines>
        <c:numFmt formatCode="0%"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74750520"/>
        <c:crosses val="autoZero"/>
        <c:crossBetween val="midCat"/>
      </c:valAx>
      <c:spPr>
        <a:noFill/>
        <a:ln>
          <a:noFill/>
        </a:ln>
        <a:effectLst/>
      </c:spPr>
    </c:plotArea>
    <c:legend>
      <c:legendPos val="b"/>
      <c:layout>
        <c:manualLayout>
          <c:xMode val="edge"/>
          <c:yMode val="edge"/>
          <c:x val="0.27107502710486547"/>
          <c:y val="0.72732726590994312"/>
          <c:w val="0.453251312335958"/>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A7115AE1867C04EAF4FD244B2788278" ma:contentTypeVersion="13" ma:contentTypeDescription="Create a new document." ma:contentTypeScope="" ma:versionID="5d9a1e5c33cc9126a8a6605d2553d0e7">
  <xsd:schema xmlns:xsd="http://www.w3.org/2001/XMLSchema" xmlns:xs="http://www.w3.org/2001/XMLSchema" xmlns:p="http://schemas.microsoft.com/office/2006/metadata/properties" xmlns:ns3="a865148b-3c50-4a79-965f-7aa50e3974bd" xmlns:ns4="11c5f255-fb59-4d70-b5b0-6a46dc5d6e02" targetNamespace="http://schemas.microsoft.com/office/2006/metadata/properties" ma:root="true" ma:fieldsID="48fcf00a7311b1a9ff8758775f831d94" ns3:_="" ns4:_="">
    <xsd:import namespace="a865148b-3c50-4a79-965f-7aa50e3974bd"/>
    <xsd:import namespace="11c5f255-fb59-4d70-b5b0-6a46dc5d6e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5148b-3c50-4a79-965f-7aa50e397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c5f255-fb59-4d70-b5b0-6a46dc5d6e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AE6198-44E0-40F7-8096-3DB5196FE675}">
  <ds:schemaRefs>
    <ds:schemaRef ds:uri="http://schemas.microsoft.com/sharepoint/v3/contenttype/forms"/>
  </ds:schemaRefs>
</ds:datastoreItem>
</file>

<file path=customXml/itemProps2.xml><?xml version="1.0" encoding="utf-8"?>
<ds:datastoreItem xmlns:ds="http://schemas.openxmlformats.org/officeDocument/2006/customXml" ds:itemID="{89A5AE83-B7AC-4FC6-931F-F12C16CF9112}">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a865148b-3c50-4a79-965f-7aa50e3974bd"/>
    <ds:schemaRef ds:uri="http://schemas.microsoft.com/office/2006/documentManagement/types"/>
    <ds:schemaRef ds:uri="11c5f255-fb59-4d70-b5b0-6a46dc5d6e02"/>
    <ds:schemaRef ds:uri="http://www.w3.org/XML/1998/namespace"/>
    <ds:schemaRef ds:uri="http://purl.org/dc/dcmitype/"/>
  </ds:schemaRefs>
</ds:datastoreItem>
</file>

<file path=customXml/itemProps3.xml><?xml version="1.0" encoding="utf-8"?>
<ds:datastoreItem xmlns:ds="http://schemas.openxmlformats.org/officeDocument/2006/customXml" ds:itemID="{22506E71-D0F4-4A7C-A462-6C4D8240AB56}">
  <ds:schemaRefs>
    <ds:schemaRef ds:uri="http://schemas.openxmlformats.org/officeDocument/2006/bibliography"/>
  </ds:schemaRefs>
</ds:datastoreItem>
</file>

<file path=customXml/itemProps4.xml><?xml version="1.0" encoding="utf-8"?>
<ds:datastoreItem xmlns:ds="http://schemas.openxmlformats.org/officeDocument/2006/customXml" ds:itemID="{AA74CAF0-1D56-4483-86F3-603D3DF32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5148b-3c50-4a79-965f-7aa50e3974bd"/>
    <ds:schemaRef ds:uri="11c5f255-fb59-4d70-b5b0-6a46dc5d6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Kleit, Andrew Nathan</dc:creator>
  <cp:keywords/>
  <dc:description/>
  <cp:lastModifiedBy>Kleit, Andrew Nathan</cp:lastModifiedBy>
  <cp:revision>8</cp:revision>
  <dcterms:created xsi:type="dcterms:W3CDTF">2021-09-24T16:18:00Z</dcterms:created>
  <dcterms:modified xsi:type="dcterms:W3CDTF">2021-09-24T16:22:00Z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0x0101008A7115AE1867C04EAF4FD244B2788278</vt:lpwstr>
  </property>
</Properties>
</file>