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3779" cy="2002681"/>
            <wp:effectExtent b="0" l="0" r="0" t="0"/>
            <wp:docPr descr="Segnaposto immagine" id="1" name="image2.png"/>
            <a:graphic>
              <a:graphicData uri="http://schemas.openxmlformats.org/drawingml/2006/picture">
                <pic:pic>
                  <pic:nvPicPr>
                    <pic:cNvPr descr="Segnaposto immag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Appunti sul corso di TPS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hyvzwaknskh" w:id="1"/>
      <w:bookmarkEnd w:id="1"/>
      <w:r w:rsidDel="00000000" w:rsidR="00000000" w:rsidRPr="00000000">
        <w:rPr>
          <w:rtl w:val="0"/>
        </w:rPr>
        <w:t xml:space="preserve">Data: 14/05/2022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bsrldwybaju" w:id="2"/>
      <w:bookmarkEnd w:id="2"/>
      <w:r w:rsidDel="00000000" w:rsidR="00000000" w:rsidRPr="00000000">
        <w:rPr>
          <w:rtl w:val="0"/>
        </w:rPr>
        <w:t xml:space="preserve">Tread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#include&lt;pthread.h&gt;</w:t>
        <w:tab/>
        <w:t xml:space="preserve">QUANDO SI COMPILA → lpthread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 funzione di seguito crea un thread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pthread_create (&amp; variabile, NULL, nome_funzione, parametri funzione) → return 0 o 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scrive in una variabile di tipo pthread_t, quindi &amp;, l’identificatore del tread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per gestire in maniera di default i tread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della funzione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inserire i parametri della funzione, NULL se non ne ha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restituisce 0 se tutto è andato bene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pthread_self() → restituisce l’identificatore del thread (analogo di getpid())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pthread_join(chi, NULL)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attende che termini qualcuno (chi)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E’ l’analogo di waitpid(), non restituisce nulla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pthread_exit(NULL o un numero) → Analoga a exit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%ld → long decimal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man pthread ←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 io termino il processo padre dei thread muoiono anch’essi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ea orizzontale" id="2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