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51.png" ContentType="image/png"/>
  <Override PartName="/word/media/rId71.png" ContentType="image/png"/>
  <Override PartName="/word/media/rId67.png" ContentType="image/png"/>
  <Override PartName="/word/media/rId11.png" ContentType="image/png"/>
  <Override PartName="/word/media/rId32.png" ContentType="image/png"/>
  <Override PartName="/word/media/rId4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Shipping Failure Mode of the Nitrogen-Purged Optical Assembly</w:t>
      </w:r>
    </w:p>
    <w:p>
      <w:pPr>
        <w:pStyle w:val="Subtitle"/>
      </w:pPr>
      <w:r>
        <w:t xml:space="preserve">Return-Leg Underpressure Following Irreversible Mass Loss</w:t>
      </w:r>
    </w:p>
    <w:p>
      <w:pPr>
        <w:pStyle w:val="Author"/>
      </w:pPr>
      <w:r>
        <w:t xml:space="preserve">Opto-Mechanical Engineering Group</w:t>
      </w:r>
    </w:p>
    <w:p>
      <w:pPr>
        <w:pStyle w:val="Date"/>
      </w:pPr>
      <w:r>
        <w:t xml:space="preserve">April 15, 2026</w:t>
      </w:r>
    </w:p>
    <w:p>
      <w:pPr>
        <w:pStyle w:val="AbstractTitle"/>
      </w:pPr>
      <w:r>
        <w:t xml:space="preserve">Abstract</w:t>
      </w:r>
    </w:p>
    <w:p>
      <w:pPr>
        <w:pStyle w:val="Abstract"/>
      </w:pPr>
      <w:r>
        <w:t xml:space="preserve">The nitrogen-purged optical assembly fails by return-leg underpressure</w:t>
      </w:r>
      <w:r>
        <w:t xml:space="preserve"> </w:t>
      </w:r>
      <w:r>
        <w:t xml:space="preserve">after irreversible nitrogen mass loss during air transport, not by</w:t>
      </w:r>
      <w:r>
        <w:t xml:space="preserve"> </w:t>
      </w:r>
      <w:r>
        <w:t xml:space="preserve">outbound overpressure. Closed-form thresholds and a quasi-static</w:t>
      </w:r>
      <w:r>
        <w:t xml:space="preserve"> </w:t>
      </w:r>
      <w:r>
        <w:t xml:space="preserve">shipping-cycle model establish that the conservative as-built rigid</w:t>
      </w:r>
      <w:r>
        <w:t xml:space="preserve"> </w:t>
      </w:r>
      <w:r>
        <w:t xml:space="preserve">volume (</w:t>
      </w:r>
      <m:oMath>
        <m:sSub>
          <m:e>
            <m:r>
              <m:t>V</m:t>
            </m:r>
          </m:e>
          <m:sub>
            <m:r>
              <m:t>f</m:t>
            </m:r>
            <m:r>
              <m:t>i</m:t>
            </m:r>
            <m:r>
              <m:t>x</m:t>
            </m:r>
            <m:r>
              <m:t>e</m:t>
            </m:r>
            <m:r>
              <m:t>d</m:t>
            </m:r>
          </m:sub>
        </m:sSub>
        <m:r>
          <m:rPr>
            <m:sty m:val="p"/>
          </m:rPr>
          <m:t>≈</m:t>
        </m:r>
        <m:r>
          <m:t>35</m:t>
        </m:r>
        <m:r>
          <m:t> </m:t>
        </m:r>
        <m:r>
          <m:rPr>
            <m:nor/>
            <m:sty m:val="p"/>
          </m:rPr>
          <m:t>L</m:t>
        </m:r>
      </m:oMath>
      <w:r>
        <w:t xml:space="preserve">) with the 2 psig Swagelok</w:t>
      </w:r>
      <w:r>
        <w:t xml:space="preserve"> </w:t>
      </w:r>
      <w:r>
        <w:t xml:space="preserve">check valve is nominally safe under single-flight ideal assumptions:</w:t>
      </w:r>
      <w:r>
        <w:t xml:space="preserve"> </w:t>
      </w:r>
      <w:r>
        <w:t xml:space="preserve">the bag absorbs the full excursion without venting and the return-leg</w:t>
      </w:r>
      <w:r>
        <w:t xml:space="preserve"> </w:t>
      </w:r>
      <w:r>
        <w:t xml:space="preserve">pressure remains nonnegative. However, the as-built valve requires up</w:t>
      </w:r>
      <w:r>
        <w:t xml:space="preserve"> </w:t>
      </w:r>
      <w:r>
        <w:t xml:space="preserve">to 2 psig reverse differential to reseat, and the model produces less</w:t>
      </w:r>
      <w:r>
        <w:t xml:space="preserve"> </w:t>
      </w:r>
      <w:r>
        <w:t xml:space="preserve">than 2 psig backpressure across the full operating envelope. The valve</w:t>
      </w:r>
      <w:r>
        <w:t xml:space="preserve"> </w:t>
      </w:r>
      <w:r>
        <w:t xml:space="preserve">therefore remains open after first cracking. Multi-leg shipments</w:t>
      </w:r>
      <w:r>
        <w:t xml:space="preserve"> </w:t>
      </w:r>
      <w:r>
        <w:t xml:space="preserve">compound mass loss beyond the single-flight prediction, and handling</w:t>
      </w:r>
      <w:r>
        <w:t xml:space="preserve"> </w:t>
      </w:r>
      <w:r>
        <w:t xml:space="preserve">of the unsupported foil bag drives additional gas exchange through the</w:t>
      </w:r>
      <w:r>
        <w:t xml:space="preserve"> </w:t>
      </w:r>
      <w:r>
        <w:t xml:space="preserve">unseated valve. These mechanisms — valve non-reseat, multi-leg</w:t>
      </w:r>
      <w:r>
        <w:t xml:space="preserve"> </w:t>
      </w:r>
      <w:r>
        <w:t xml:space="preserve">ratcheting, and handling-driven breathing — are not captured by the</w:t>
      </w:r>
      <w:r>
        <w:t xml:space="preserve"> </w:t>
      </w:r>
      <w:r>
        <w:t xml:space="preserve">single-flight model and represent non-conservative gaps. Removal or</w:t>
      </w:r>
      <w:r>
        <w:t xml:space="preserve"> </w:t>
      </w:r>
      <w:r>
        <w:t xml:space="preserve">permanent sealing of the bag vent eliminates the irreversible mass-loss</w:t>
      </w:r>
      <w:r>
        <w:t xml:space="preserve"> </w:t>
      </w:r>
      <w:r>
        <w:t xml:space="preserve">pathway; the existing 0.5 bar circuit relief provides sufficient</w:t>
      </w:r>
      <w:r>
        <w:t xml:space="preserve"> </w:t>
      </w:r>
      <w:r>
        <w:t xml:space="preserve">overpressure protection at any volume and any number of flight legs.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summary"/>
    <w:p>
      <w:pPr>
        <w:pStyle w:val="Heading1"/>
      </w:pPr>
      <w:r>
        <w:t xml:space="preserve">1. Summary</w:t>
      </w:r>
    </w:p>
    <w:p>
      <w:pPr>
        <w:pStyle w:val="FirstParagraph"/>
      </w:pPr>
      <w:r>
        <w:t xml:space="preserve">The shipping concept for the nitrogen-purged optical assembly relies on a foil compliance bag and an outward-only check valve. A design review focused on the high-pressure side of the transport cycle concludes that the present 0.5 bar safety relief valve handles outbound overpressure with margin. That conclusion is correct on its own terms, but it does not address the actual failure mode.</w:t>
      </w:r>
    </w:p>
    <w:p>
      <w:pPr>
        <w:pStyle w:val="BodyText"/>
      </w:pPr>
      <w:r>
        <w:t xml:space="preserve">The actual failure is</w:t>
      </w:r>
      <w:r>
        <w:t xml:space="preserve"> </w:t>
      </w:r>
      <w:r>
        <w:rPr>
          <w:b/>
          <w:bCs/>
        </w:rPr>
        <w:t xml:space="preserve">return-leg underpressure</w:t>
      </w:r>
      <w:r>
        <w:t xml:space="preserve"> </w:t>
      </w:r>
      <w:r>
        <w:t xml:space="preserve">following</w:t>
      </w:r>
      <w:r>
        <w:t xml:space="preserve"> </w:t>
      </w:r>
      <w:r>
        <w:rPr>
          <w:b/>
          <w:bCs/>
        </w:rPr>
        <w:t xml:space="preserve">irreversible nitrogen mass loss</w:t>
      </w:r>
      <w:r>
        <w:t xml:space="preserve">. During ascent and heating, the internal nitrogen expands. If the bag saturates before reaching its maximum volume, internal pressure rises and the outward-only valve vents nitrogen to ambient. This is a one-way thermodynamic event: the retained mole inventory is permanently reduced. On descent and cooling the bag contracts, and if the bag fully collapses while the remaining nitrogen is insufficient to fill the rigid connected volume at the return temperature, the internal pressure falls below ambient. The distributed seal network of the manifolded assembly is positive-pressure energized. It is not qualified for sub-atmospheric internal conditions. Atmospheric ingress through any joint or seal is then thermodynamically favored.</w:t>
      </w:r>
    </w:p>
    <w:p>
      <w:pPr>
        <w:pStyle w:val="BodyText"/>
      </w:pPr>
      <w:r>
        <w:t xml:space="preserve">The mechanism does not depend on valve back-leakage or bag leakage. Even an ideal outward-only valve and an ideal zero-stiffness bag exhibit this failure once the rigid connected volume exceeds a critical threshold. Two closed-form expressions govern the design space: the largest rigid volume that avoids any outbound venting in Eq.</w:t>
      </w:r>
      <w:r>
        <w:t xml:space="preserve"> </w:t>
      </w:r>
      <w:hyperlink w:anchor="eq-no-vent">
        <w:r>
          <w:rPr>
            <w:rStyle w:val="Hyperlink"/>
          </w:rPr>
          <w:t xml:space="preserve">Eq. 1</w:t>
        </w:r>
      </w:hyperlink>
      <w:r>
        <w:t xml:space="preserve">, and the largest rigid volume that still returns nonnegative after venting in Eq.</w:t>
      </w:r>
      <w:r>
        <w:t xml:space="preserve"> </w:t>
      </w:r>
      <w:hyperlink w:anchor="eq-return-threshold">
        <w:r>
          <w:rPr>
            <w:rStyle w:val="Hyperlink"/>
          </w:rPr>
          <w:t xml:space="preserve">Eq. 2</w:t>
        </w:r>
      </w:hyperlink>
      <w:r>
        <w:t xml:space="preserve">. For the present 22 L bag and the standard ICAO/FAA shipping envelope, these thresholds are approximately</w:t>
      </w:r>
      <w:r>
        <w:t xml:space="preserve"> </w:t>
      </w:r>
      <w:r>
        <w:rPr>
          <w:b/>
          <w:bCs/>
        </w:rPr>
        <w:t xml:space="preserve">15.28 L</w:t>
      </w:r>
      <w:r>
        <w:t xml:space="preserve"> </w:t>
      </w:r>
      <w:r>
        <w:t xml:space="preserve">and</w:t>
      </w:r>
      <w:r>
        <w:t xml:space="preserve"> </w:t>
      </w:r>
      <w:r>
        <w:rPr>
          <w:b/>
          <w:bCs/>
        </w:rPr>
        <w:t xml:space="preserve">52.55 L</w:t>
      </w:r>
      <w:r>
        <w:t xml:space="preserve"> </w:t>
      </w:r>
      <w:r>
        <w:t xml:space="preserve">for ideal outward venting. A conservative estimate places the rigid nitrogen volume of the production hardware at</w:t>
      </w:r>
      <w:r>
        <w:t xml:space="preserve"> </w:t>
      </w:r>
      <m:oMath>
        <m:sSub>
          <m:e>
            <m:r>
              <m:t>V</m:t>
            </m:r>
          </m:e>
          <m:sub>
            <m:r>
              <m:t>f</m:t>
            </m:r>
            <m:r>
              <m:t>i</m:t>
            </m:r>
            <m:r>
              <m:t>x</m:t>
            </m:r>
            <m:r>
              <m:t>e</m:t>
            </m:r>
            <m:r>
              <m:t>d</m:t>
            </m:r>
          </m:sub>
        </m:sSub>
        <m:r>
          <m:rPr>
            <m:sty m:val="p"/>
          </m:rPr>
          <m:t>≈</m:t>
        </m:r>
        <m:r>
          <m:t>35</m:t>
        </m:r>
        <m:r>
          <m:t> </m:t>
        </m:r>
        <m:r>
          <m:rPr>
            <m:nor/>
            <m:sty m:val="p"/>
          </m:rPr>
          <m:t>L</m:t>
        </m:r>
      </m:oMath>
      <w:r>
        <w:t xml:space="preserve">. At 35 L the system lies above the no-vent threshold and will vent on the outbound leg, but remains below the nonnegative-return threshold under both the ideal-vent and 2 psig screening cases (</w:t>
      </w:r>
      <w:hyperlink w:anchor="tbl-thresholds">
        <w:r>
          <w:rPr>
            <w:rStyle w:val="Hyperlink"/>
          </w:rPr>
          <w:t xml:space="preserve">Table 4</w:t>
        </w:r>
      </w:hyperlink>
      <w:r>
        <w:t xml:space="preserve">). A traceable volume measurement is required to confirm this estimate and formally close</w:t>
      </w:r>
      <w:r>
        <w:t xml:space="preserve"> </w:t>
      </w:r>
      <w:r>
        <w:rPr>
          <w:b/>
          <w:bCs/>
        </w:rPr>
        <w:t xml:space="preserve">FND-SH-003</w:t>
      </w:r>
      <w:r>
        <w:t xml:space="preserve">.</w:t>
      </w:r>
    </w:p>
    <w:p>
      <w:pPr>
        <w:pStyle w:val="BodyText"/>
      </w:pPr>
      <w:r>
        <w:t xml:space="preserve">A subsequent analysis in</w:t>
      </w:r>
      <w:r>
        <w:t xml:space="preserve"> </w:t>
      </w:r>
      <w:hyperlink w:anchor="sec-upper-bound">
        <w:r>
          <w:rPr>
            <w:rStyle w:val="Hyperlink"/>
          </w:rPr>
          <w:t xml:space="preserve">Section 10</w:t>
        </w:r>
      </w:hyperlink>
      <w:r>
        <w:t xml:space="preserve"> </w:t>
      </w:r>
      <w:r>
        <w:t xml:space="preserve">derives an analytical upper bound on the maximum overpressure that can develop during any single-flight cycle, and demonstrates that the existing 0.5 bar circuit relief valve cannot open under physically realizable cargo temperatures. Under the validity conditions in</w:t>
      </w:r>
      <w:r>
        <w:t xml:space="preserve"> </w:t>
      </w:r>
      <w:hyperlink w:anchor="sec-validity-conditions">
        <w:r>
          <w:rPr>
            <w:rStyle w:val="Hyperlink"/>
          </w:rPr>
          <w:t xml:space="preserve">Section 10.4</w:t>
        </w:r>
      </w:hyperlink>
      <w:r>
        <w:t xml:space="preserve">, that bound supports removing the bag vent as a way to eliminate the irreversible mass-loss pathway. The explicit decision framing for that recommendation appears in</w:t>
      </w:r>
      <w:r>
        <w:t xml:space="preserve"> </w:t>
      </w:r>
      <w:hyperlink w:anchor="sec-decision-status">
        <w:r>
          <w:rPr>
            <w:rStyle w:val="Hyperlink"/>
          </w:rPr>
          <w:t xml:space="preserve">Section 16</w:t>
        </w:r>
      </w:hyperlink>
      <w:r>
        <w:t xml:space="preserve">.</w:t>
      </w:r>
    </w:p>
    <w:bookmarkEnd w:id="9"/>
    <w:bookmarkStart w:id="15" w:name="sec-system"/>
    <w:p>
      <w:pPr>
        <w:pStyle w:val="Heading1"/>
      </w:pPr>
      <w:r>
        <w:t xml:space="preserve">2. System Description</w:t>
      </w:r>
    </w:p>
    <w:p>
      <w:pPr>
        <w:pStyle w:val="FirstParagraph"/>
      </w:pPr>
      <w:r>
        <w:t xml:space="preserve">The shipped article is a manifolded optical assembly composed of multiple sealed aluminum optical modules connected to a common nitrogen space through PFA interconnect tubing and intake/exhaust manifolds. The total internal nitrogen space is the sum of the module interiors, the interconnect tubing, the manifold volumes, and the shipping-time compliance bag. All of these volumes communicate freely through the manifold network and behave thermodynamically as a single connected gas volume.</w:t>
      </w:r>
    </w:p>
    <w:p>
      <w:pPr>
        <w:pStyle w:val="BodyText"/>
      </w:pPr>
      <w:r>
        <w:t xml:space="preserve">In operation, a continuous nitrogen purge maintains positive gauge pressure throughout the assembly. Every joint and seal in the assembly is positive-pressure energized: the seating force comes from the positive internal-to-ambient pressure differential. These seals are not qualified for sub-atmospheric internal conditions. If the internal pressure ever falls below ambient, seating force is lost and the seal admits ambient air through the same path it normally exhausts nitrogen.</w:t>
      </w:r>
    </w:p>
    <w:p>
      <w:pPr>
        <w:pStyle w:val="BodyText"/>
      </w:pPr>
      <w:r>
        <w:t xml:space="preserve">During shipping, the continuous purge is unavailable. The assembly is sealed at atmospheric pressure with a fixed initial nitrogen mass, and two passive elements are responsible for managing pressure excursions across the transport cycle:</w:t>
      </w:r>
    </w:p>
    <w:p>
      <w:pPr>
        <w:numPr>
          <w:ilvl w:val="0"/>
          <w:numId w:val="1001"/>
        </w:numPr>
      </w:pPr>
      <w:r>
        <w:rPr>
          <w:b/>
          <w:bCs/>
        </w:rPr>
        <w:t xml:space="preserve">Foil compliance bag</w:t>
      </w:r>
      <w:r>
        <w:t xml:space="preserve"> </w:t>
      </w:r>
      <w:r>
        <w:t xml:space="preserve">– a CALDRY 1500 multilayer foil reservoir that can expand and contract between approximately zero and 22 L. The foil is geometrically compliant but not elastically compliant: it unfolds and refolds between hard geometric limits with negligible restoring force across its usable range.</w:t>
      </w:r>
    </w:p>
    <w:p>
      <w:pPr>
        <w:numPr>
          <w:ilvl w:val="0"/>
          <w:numId w:val="1001"/>
        </w:numPr>
      </w:pPr>
      <w:r>
        <w:rPr>
          <w:b/>
          <w:bCs/>
        </w:rPr>
        <w:t xml:space="preserve">Outward-only check/vent valve</w:t>
      </w:r>
      <w:r>
        <w:t xml:space="preserve"> </w:t>
      </w:r>
      <w:r>
        <w:t xml:space="preserve">– a Swagelok 6L-CW4VR4-P high-purity welded check valve. It permits nitrogen to escape if the internal pressure exceeds ambient by the valve’s cracking threshold, but does not admit ambient flow inward. A separate 0.5 bar gauge safety relief valve remains on the main assembly per the European pressure equipment directive.</w:t>
      </w:r>
    </w:p>
    <w:p>
      <w:pPr>
        <w:pStyle w:val="FirstParagraph"/>
      </w:pPr>
      <w:hyperlink w:anchor="tbl-vent-valve">
        <w:r>
          <w:rPr>
            <w:rStyle w:val="Hyperlink"/>
          </w:rPr>
          <w:t xml:space="preserve">Table 1</w:t>
        </w:r>
      </w:hyperlink>
      <w:r>
        <w:t xml:space="preserve"> </w:t>
      </w:r>
      <w:r>
        <w:t xml:space="preserve">lists the relevant specifications for the breather-path check valve.</w:t>
      </w:r>
    </w:p>
    <w:tbl>
      <w:tblPr>
        <w:tblStyle w:val="Table"/>
        <w:tblW w:type="pct" w:w="5000"/>
        <w:tblLayout w:type="fixed"/>
        <w:tblLook w:firstRow="0" w:lastRow="0" w:firstColumn="0" w:lastColumn="0" w:noHBand="0" w:noVBand="0" w:val="0000"/>
      </w:tblPr>
      <w:tblGrid>
        <w:gridCol w:w="7920"/>
      </w:tblGrid>
      <w:tr>
        <w:tc>
          <w:tcPr/>
          <w:bookmarkStart w:id="10" w:name="tbl-vent-valve"/>
          <w:p>
            <w:pPr>
              <w:jc w:val="center"/>
            </w:pPr>
            <w:pPr>
              <w:jc w:val="left"/>
              <w:spacing w:before="200"/>
              <w:pStyle w:val="ImageCaption"/>
            </w:pPr>
            <w:r>
              <w:t xml:space="preserve">Table 1: Breather-path check valve specifications. The 2 psig cracking pressure is the threshold used in the</w:t>
            </w:r>
            <w:r>
              <w:t xml:space="preserve"> </w:t>
            </w:r>
            <w:r>
              <w:t xml:space="preserve">“vent threshold 2 psig”</w:t>
            </w:r>
            <w:r>
              <w:t xml:space="preserve"> </w:t>
            </w:r>
            <w:r>
              <w:t xml:space="preserve">screening cases in</w:t>
            </w:r>
            <w:r>
              <w:t xml:space="preserve"> </w:t>
            </w:r>
            <w:hyperlink w:anchor="tbl-thresholds">
              <w:r>
                <w:rPr>
                  <w:rStyle w:val="Hyperlink"/>
                </w:rPr>
                <w:t xml:space="preserve">Table 4</w:t>
              </w:r>
            </w:hyperlink>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jc w:val="center"/>
                  </w:pPr>
                  <w:r>
                    <w:t xml:space="preserve">Parameter</w:t>
                  </w:r>
                </w:p>
              </w:tc>
              <w:tc>
                <w:tcPr/>
                <w:p>
                  <w:pPr>
                    <w:pStyle w:val="Compact"/>
                    <w:jc w:val="left"/>
                    <w:jc w:val="center"/>
                  </w:pPr>
                  <w:r>
                    <w:t xml:space="preserve">Value</w:t>
                  </w:r>
                </w:p>
              </w:tc>
            </w:tr>
            <w:tr>
              <w:tc>
                <w:tcPr/>
                <w:p>
                  <w:pPr>
                    <w:pStyle w:val="Compact"/>
                    <w:jc w:val="left"/>
                    <w:jc w:val="center"/>
                  </w:pPr>
                  <w:r>
                    <w:t xml:space="preserve">Part number</w:t>
                  </w:r>
                </w:p>
              </w:tc>
              <w:tc>
                <w:tcPr/>
                <w:p>
                  <w:pPr>
                    <w:pStyle w:val="Compact"/>
                    <w:jc w:val="left"/>
                    <w:jc w:val="center"/>
                  </w:pPr>
                  <w:r>
                    <w:t xml:space="preserve">Swagelok 6L-CW4VR4-P</w:t>
                  </w:r>
                </w:p>
              </w:tc>
            </w:tr>
            <w:tr>
              <w:tc>
                <w:tcPr/>
                <w:p>
                  <w:pPr>
                    <w:pStyle w:val="Compact"/>
                    <w:jc w:val="left"/>
                    <w:jc w:val="center"/>
                  </w:pPr>
                  <w:r>
                    <w:t xml:space="preserve">Description</w:t>
                  </w:r>
                </w:p>
              </w:tc>
              <w:tc>
                <w:tcPr/>
                <w:p>
                  <w:pPr>
                    <w:pStyle w:val="Compact"/>
                    <w:jc w:val="left"/>
                    <w:jc w:val="center"/>
                  </w:pPr>
                  <w:r>
                    <w:t xml:space="preserve">316L SS high-purity welded check valve, SC-01 cleaned</w:t>
                  </w:r>
                </w:p>
              </w:tc>
            </w:tr>
            <w:tr>
              <w:tc>
                <w:tcPr/>
                <w:p>
                  <w:pPr>
                    <w:pStyle w:val="Compact"/>
                    <w:jc w:val="left"/>
                    <w:jc w:val="center"/>
                  </w:pPr>
                  <w:r>
                    <w:t xml:space="preserve">Cracking pressure</w:t>
                  </w:r>
                </w:p>
              </w:tc>
              <w:tc>
                <w:tcPr/>
                <w:p>
                  <w:pPr>
                    <w:pStyle w:val="Compact"/>
                    <w:jc w:val="left"/>
                    <w:jc w:val="center"/>
                  </w:pPr>
                  <w:r>
                    <w:t xml:space="preserve">2 psig (0.14 bar)</w:t>
                  </w:r>
                </w:p>
              </w:tc>
            </w:tr>
            <w:tr>
              <w:tc>
                <w:tcPr/>
                <w:p>
                  <w:pPr>
                    <w:pStyle w:val="Compact"/>
                    <w:jc w:val="left"/>
                    <w:jc w:val="center"/>
                  </w:pPr>
                  <w:r>
                    <w:t xml:space="preserve">Flow coefficient</w:t>
                  </w:r>
                  <w:r>
                    <w:t xml:space="preserve"> </w:t>
                  </w:r>
                  <m:oMath>
                    <m:sSub>
                      <m:e>
                        <m:r>
                          <m:t>C</m:t>
                        </m:r>
                      </m:e>
                      <m:sub>
                        <m:r>
                          <m:t>v</m:t>
                        </m:r>
                      </m:sub>
                    </m:sSub>
                  </m:oMath>
                </w:p>
              </w:tc>
              <w:tc>
                <w:tcPr/>
                <w:p>
                  <w:pPr>
                    <w:pStyle w:val="Compact"/>
                    <w:jc w:val="left"/>
                    <w:jc w:val="center"/>
                  </w:pPr>
                  <w:r>
                    <w:t xml:space="preserve">0.7</w:t>
                  </w:r>
                </w:p>
              </w:tc>
            </w:tr>
            <w:tr>
              <w:tc>
                <w:tcPr/>
                <w:p>
                  <w:pPr>
                    <w:pStyle w:val="Compact"/>
                    <w:jc w:val="left"/>
                    <w:jc w:val="center"/>
                  </w:pPr>
                  <w:r>
                    <w:t xml:space="preserve">Connections</w:t>
                  </w:r>
                </w:p>
              </w:tc>
              <w:tc>
                <w:tcPr/>
                <w:p>
                  <w:pPr>
                    <w:pStyle w:val="Compact"/>
                    <w:jc w:val="left"/>
                    <w:jc w:val="center"/>
                  </w:pPr>
                  <w:r>
                    <w:t xml:space="preserve">1/4 in. integral male VCR (inlet and outlet)</w:t>
                  </w:r>
                </w:p>
              </w:tc>
            </w:tr>
            <w:tr>
              <w:tc>
                <w:tcPr/>
                <w:p>
                  <w:pPr>
                    <w:pStyle w:val="Compact"/>
                    <w:jc w:val="left"/>
                    <w:jc w:val="center"/>
                  </w:pPr>
                  <w:r>
                    <w:t xml:space="preserve">Seal material</w:t>
                  </w:r>
                </w:p>
              </w:tc>
              <w:tc>
                <w:tcPr/>
                <w:p>
                  <w:pPr>
                    <w:pStyle w:val="Compact"/>
                    <w:jc w:val="left"/>
                    <w:jc w:val="center"/>
                  </w:pPr>
                  <w:r>
                    <w:t xml:space="preserve">Fluorocarbon FKM</w:t>
                  </w:r>
                </w:p>
              </w:tc>
            </w:tr>
            <w:tr>
              <w:tc>
                <w:tcPr/>
                <w:p>
                  <w:pPr>
                    <w:pStyle w:val="Compact"/>
                    <w:jc w:val="left"/>
                    <w:jc w:val="center"/>
                  </w:pPr>
                  <w:r>
                    <w:t xml:space="preserve">Wetted surface finish</w:t>
                  </w:r>
                </w:p>
              </w:tc>
              <w:tc>
                <w:tcPr/>
                <w:p>
                  <w:pPr>
                    <w:pStyle w:val="Compact"/>
                    <w:jc w:val="left"/>
                    <w:jc w:val="center"/>
                  </w:pPr>
                  <w:r>
                    <w:t xml:space="preserve">Ra 8</w:t>
                  </w:r>
                  <w:r>
                    <w:t xml:space="preserve"> </w:t>
                  </w:r>
                  <m:oMath>
                    <m:r>
                      <m:t>μ</m:t>
                    </m:r>
                  </m:oMath>
                  <w:r>
                    <w:t xml:space="preserve">in (0.20</w:t>
                  </w:r>
                  <w:r>
                    <w:t xml:space="preserve"> </w:t>
                  </w:r>
                  <m:oMath>
                    <m:r>
                      <m:t>μ</m:t>
                    </m:r>
                  </m:oMath>
                  <w:r>
                    <w:t xml:space="preserve">m), electropolished</w:t>
                  </w:r>
                </w:p>
              </w:tc>
            </w:tr>
            <w:tr>
              <w:tc>
                <w:tcPr/>
                <w:p>
                  <w:pPr>
                    <w:pStyle w:val="Compact"/>
                    <w:jc w:val="left"/>
                    <w:jc w:val="center"/>
                  </w:pPr>
                  <w:r>
                    <w:t xml:space="preserve">Pressure rating</w:t>
                  </w:r>
                </w:p>
              </w:tc>
              <w:tc>
                <w:tcPr/>
                <w:p>
                  <w:pPr>
                    <w:pStyle w:val="Compact"/>
                    <w:jc w:val="left"/>
                    <w:jc w:val="center"/>
                  </w:pPr>
                  <w:r>
                    <w:t xml:space="preserve">3000 psig at 100 °F (206 bar at 37 °C)</w:t>
                  </w:r>
                </w:p>
              </w:tc>
            </w:tr>
          </w:tbl>
          <w:bookmarkEnd w:id="10"/>
          <w:p/>
        </w:tc>
      </w:tr>
    </w:tbl>
    <w:p>
      <w:pPr>
        <w:pStyle w:val="BodyText"/>
      </w:pPr>
      <w:hyperlink w:anchor="fig-three-regimes">
        <w:r>
          <w:rPr>
            <w:rStyle w:val="Hyperlink"/>
          </w:rPr>
          <w:t xml:space="preserve">Figure 1</w:t>
        </w:r>
      </w:hyperlink>
      <w:r>
        <w:t xml:space="preserve"> </w:t>
      </w:r>
      <w:r>
        <w:t xml:space="preserve">shows the baseline shipping cycle for the estimated 35 L rigid volume with the as-built 2 psig valve. Under these parameters the bag absorbs the full excursion without venting and no harmful pressure differential develops — the safe baseline.</w:t>
      </w:r>
      <w:r>
        <w:t xml:space="preserve"> </w:t>
      </w:r>
      <w:hyperlink w:anchor="fig-ideal-vent-cycle">
        <w:r>
          <w:rPr>
            <w:rStyle w:val="Hyperlink"/>
          </w:rPr>
          <w:t xml:space="preserve">Figure 2</w:t>
        </w:r>
      </w:hyperlink>
      <w:r>
        <w:t xml:space="preserve"> </w:t>
      </w:r>
      <w:r>
        <w:t xml:space="preserve">in</w:t>
      </w:r>
      <w:r>
        <w:t xml:space="preserve"> </w:t>
      </w:r>
      <w:hyperlink w:anchor="sec-actual-mechanism">
        <w:r>
          <w:rPr>
            <w:rStyle w:val="Hyperlink"/>
          </w:rPr>
          <w:t xml:space="preserve">Section 6</w:t>
        </w:r>
      </w:hyperlink>
      <w:r>
        <w:t xml:space="preserve"> </w:t>
      </w:r>
      <w:r>
        <w:t xml:space="preserve">shows how the failure sequence emerges at larger rigid volumes or lower vent thresholds.</w:t>
      </w:r>
    </w:p>
    <w:tbl>
      <w:tblPr>
        <w:tblStyle w:val="Table"/>
        <w:tblW w:type="pct" w:w="5000"/>
        <w:tblLayout w:type="fixed"/>
        <w:tblLook w:firstRow="0" w:lastRow="0" w:firstColumn="0" w:lastColumn="0" w:noHBand="0" w:noVBand="0" w:val="0000"/>
      </w:tblPr>
      <w:tblGrid>
        <w:gridCol w:w="7920"/>
      </w:tblGrid>
      <w:tr>
        <w:tc>
          <w:tcPr/>
          <w:bookmarkStart w:id="14" w:name="fig-three-regimes"/>
          <w:p>
            <w:pPr>
              <w:pStyle w:val="Compact"/>
              <w:jc w:val="center"/>
            </w:pPr>
            <w:r>
              <w:drawing>
                <wp:inline>
                  <wp:extent cx="5334000" cy="4585901"/>
                  <wp:effectExtent b="0" l="0" r="0" t="0"/>
                  <wp:docPr descr="" title="" id="12" name="Picture"/>
                  <a:graphic>
                    <a:graphicData uri="http://schemas.openxmlformats.org/drawingml/2006/picture">
                      <pic:pic>
                        <pic:nvPicPr>
                          <pic:cNvPr descr="failure-mechanism_files/figure-docx/fig-three-regimes-output-1.png" id="13" name="Picture"/>
                          <pic:cNvPicPr>
                            <a:picLocks noChangeArrowheads="1" noChangeAspect="1"/>
                          </pic:cNvPicPr>
                        </pic:nvPicPr>
                        <pic:blipFill>
                          <a:blip r:embed="rId11"/>
                          <a:stretch>
                            <a:fillRect/>
                          </a:stretch>
                        </pic:blipFill>
                        <pic:spPr bwMode="auto">
                          <a:xfrm>
                            <a:off x="0" y="0"/>
                            <a:ext cx="5334000" cy="45859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Two-leg shipping flight cycle for the estimated 35 L rigid volume with the as-built 2 psig Swagelok valve. Top: cabin altitude profile showing the two flight legs with a ground turnaround. Middle: ambient and internal pressure — the curves overlap throughout, confirming the bag absorbs the full excursion without venting. Bottom: bag volume approaches but does not exceed the 22 L saturation limit. Compare with</w:t>
            </w:r>
            <w:r>
              <w:t xml:space="preserve"> </w:t>
            </w:r>
            <w:hyperlink w:anchor="fig-ideal-vent-cycle">
              <w:r>
                <w:rPr>
                  <w:rStyle w:val="Hyperlink"/>
                </w:rPr>
                <w:t xml:space="preserve">Figure 2</w:t>
              </w:r>
            </w:hyperlink>
            <w:r>
              <w:t xml:space="preserve">, which shows the failure sequence at larger rigid volumes.</w:t>
            </w:r>
          </w:p>
          <w:bookmarkEnd w:id="14"/>
        </w:tc>
      </w:tr>
    </w:tbl>
    <w:bookmarkEnd w:id="15"/>
    <w:bookmarkStart w:id="18" w:name="sec-envelope"/>
    <w:p>
      <w:pPr>
        <w:pStyle w:val="Heading1"/>
      </w:pPr>
      <w:r>
        <w:t xml:space="preserve">3. Transport Envelope</w:t>
      </w:r>
    </w:p>
    <w:p>
      <w:pPr>
        <w:pStyle w:val="FirstParagraph"/>
      </w:pPr>
      <w:hyperlink w:anchor="tbl-shipping-spec">
        <w:r>
          <w:rPr>
            <w:rStyle w:val="Hyperlink"/>
          </w:rPr>
          <w:t xml:space="preserve">Table 2</w:t>
        </w:r>
      </w:hyperlink>
      <w:r>
        <w:t xml:space="preserve"> </w:t>
      </w:r>
      <w:r>
        <w:t xml:space="preserve">summarizes the official shipping and storage requirements that bound the transport design space. The pressure-gradient requirement is satisfied by compliance with standard commercial air-freight cabin-altitude limits.</w:t>
      </w:r>
    </w:p>
    <w:tbl>
      <w:tblPr>
        <w:tblStyle w:val="Table"/>
        <w:tblW w:type="pct" w:w="5000"/>
        <w:tblLayout w:type="fixed"/>
        <w:tblLook w:firstRow="0" w:lastRow="0" w:firstColumn="0" w:lastColumn="0" w:noHBand="0" w:noVBand="0" w:val="0000"/>
      </w:tblPr>
      <w:tblGrid>
        <w:gridCol w:w="7920"/>
      </w:tblGrid>
      <w:tr>
        <w:tc>
          <w:tcPr/>
          <w:bookmarkStart w:id="16" w:name="tbl-shipping-spec"/>
          <w:p>
            <w:pPr>
              <w:jc w:val="center"/>
            </w:pPr>
            <w:pPr>
              <w:jc w:val="left"/>
              <w:spacing w:before="200"/>
              <w:pStyle w:val="ImageCaption"/>
            </w:pPr>
            <w:r>
              <w:t xml:space="preserve">Table 2: Official shipping and storage requirements for the nitrogen-purged optical assembly.</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jc w:val="left"/>
                    <w:jc w:val="center"/>
                  </w:pPr>
                  <w:r>
                    <w:t xml:space="preserve">Requirement</w:t>
                  </w:r>
                </w:p>
              </w:tc>
              <w:tc>
                <w:tcPr/>
                <w:p>
                  <w:pPr>
                    <w:pStyle w:val="Compact"/>
                    <w:jc w:val="left"/>
                    <w:jc w:val="center"/>
                  </w:pPr>
                  <w:r>
                    <w:t xml:space="preserve">Value</w:t>
                  </w:r>
                </w:p>
              </w:tc>
              <w:tc>
                <w:tcPr/>
                <w:p>
                  <w:pPr>
                    <w:pStyle w:val="Compact"/>
                    <w:jc w:val="left"/>
                    <w:jc w:val="center"/>
                  </w:pPr>
                  <w:r>
                    <w:t xml:space="preserve">Source</w:t>
                  </w:r>
                </w:p>
              </w:tc>
            </w:tr>
            <w:tr>
              <w:tc>
                <w:tcPr/>
                <w:p>
                  <w:pPr>
                    <w:pStyle w:val="Compact"/>
                    <w:jc w:val="left"/>
                    <w:jc w:val="center"/>
                  </w:pPr>
                  <w:r>
                    <w:t xml:space="preserve">Temperature range</w:t>
                  </w:r>
                </w:p>
              </w:tc>
              <w:tc>
                <w:tcPr/>
                <w:p>
                  <w:pPr>
                    <w:pStyle w:val="Compact"/>
                    <w:jc w:val="left"/>
                    <w:jc w:val="center"/>
                  </w:pPr>
                  <w:r>
                    <w:t xml:space="preserve">10 °C to 40 °C</w:t>
                  </w:r>
                </w:p>
              </w:tc>
              <w:tc>
                <w:tcPr/>
                <w:p>
                  <w:pPr>
                    <w:pStyle w:val="Compact"/>
                    <w:jc w:val="left"/>
                    <w:jc w:val="center"/>
                  </w:pPr>
                  <w:r>
                    <w:t xml:space="preserve">Shipping specification</w:t>
                  </w:r>
                </w:p>
              </w:tc>
            </w:tr>
            <w:tr>
              <w:tc>
                <w:tcPr/>
                <w:p>
                  <w:pPr>
                    <w:pStyle w:val="Compact"/>
                    <w:jc w:val="left"/>
                    <w:jc w:val="center"/>
                  </w:pPr>
                  <w:r>
                    <w:t xml:space="preserve">Maximum pressure gradient</w:t>
                  </w:r>
                </w:p>
              </w:tc>
              <w:tc>
                <w:tcPr/>
                <w:p>
                  <w:pPr>
                    <w:pStyle w:val="Compact"/>
                    <w:jc w:val="left"/>
                    <w:jc w:val="center"/>
                  </w:pPr>
                  <w:r>
                    <w:t xml:space="preserve">Aerial transport</w:t>
                  </w:r>
                </w:p>
              </w:tc>
              <w:tc>
                <w:tcPr/>
                <w:p>
                  <w:pPr>
                    <w:pStyle w:val="Compact"/>
                    <w:jc w:val="left"/>
                    <w:jc w:val="center"/>
                  </w:pPr>
                  <w:r>
                    <w:t xml:space="preserve">Shipping specification</w:t>
                  </w:r>
                </w:p>
              </w:tc>
            </w:tr>
            <w:tr>
              <w:tc>
                <w:tcPr/>
                <w:p>
                  <w:pPr>
                    <w:pStyle w:val="Compact"/>
                    <w:jc w:val="left"/>
                    <w:jc w:val="center"/>
                  </w:pPr>
                  <w:r>
                    <w:t xml:space="preserve">Maximum acceleration</w:t>
                  </w:r>
                </w:p>
              </w:tc>
              <w:tc>
                <w:tcPr/>
                <w:p>
                  <w:pPr>
                    <w:pStyle w:val="Compact"/>
                    <w:jc w:val="left"/>
                    <w:jc w:val="center"/>
                  </w:pPr>
                  <w:r>
                    <w:t xml:space="preserve">10 g</w:t>
                  </w:r>
                </w:p>
              </w:tc>
              <w:tc>
                <w:tcPr/>
                <w:p>
                  <w:pPr>
                    <w:pStyle w:val="Compact"/>
                    <w:jc w:val="left"/>
                    <w:jc w:val="center"/>
                  </w:pPr>
                  <w:r>
                    <w:t xml:space="preserve">Shipping specification</w:t>
                  </w:r>
                </w:p>
              </w:tc>
            </w:tr>
          </w:tbl>
          <w:bookmarkEnd w:id="16"/>
          <w:p/>
        </w:tc>
      </w:tr>
    </w:tbl>
    <w:p>
      <w:pPr>
        <w:pStyle w:val="BodyText"/>
      </w:pPr>
      <w:r>
        <w:t xml:space="preserve">The transport state space derived from these requirements and the applicable regulatory limits is summarized in</w:t>
      </w:r>
      <w:r>
        <w:t xml:space="preserve"> </w:t>
      </w:r>
      <w:hyperlink w:anchor="tbl-transport-envelope">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 w:name="tbl-transport-envelope"/>
          <w:p>
            <w:pPr>
              <w:jc w:val="center"/>
            </w:pPr>
            <w:pPr>
              <w:jc w:val="left"/>
              <w:spacing w:before="200"/>
              <w:pStyle w:val="ImageCaption"/>
            </w:pPr>
            <w:r>
              <w:t xml:space="preserve">Table 3: Transport envelope and key system parameters. The rigid system volume</w:t>
            </w:r>
            <w:r>
              <w:t xml:space="preserve"> </w:t>
            </w:r>
            <m:oMath>
              <m:sSub>
                <m:e>
                  <m:r>
                    <m:t>V</m:t>
                  </m:r>
                </m:e>
                <m:sub>
                  <m:r>
                    <m:t>f</m:t>
                  </m:r>
                  <m:r>
                    <m:t>i</m:t>
                  </m:r>
                  <m:r>
                    <m:t>x</m:t>
                  </m:r>
                  <m:r>
                    <m:t>e</m:t>
                  </m:r>
                  <m:r>
                    <m:t>d</m:t>
                  </m:r>
                </m:sub>
              </m:sSub>
            </m:oMath>
            <w:r>
              <w:t xml:space="preserve"> </w:t>
            </w:r>
            <w:r>
              <w:t xml:space="preserve">is a conservative estimate pending traceable measurement (</w:t>
            </w:r>
            <w:hyperlink w:anchor="sec-critical-unknowns">
              <w:r>
                <w:rPr>
                  <w:rStyle w:val="Hyperlink"/>
                </w:rPr>
                <w:t xml:space="preserve">Section 14</w:t>
              </w:r>
            </w:hyperlink>
            <w:r>
              <w:t xml:space="preserv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jc w:val="left"/>
                    <w:jc w:val="center"/>
                  </w:pPr>
                  <w:r>
                    <w:t xml:space="preserve">Parameter</w:t>
                  </w:r>
                </w:p>
              </w:tc>
              <w:tc>
                <w:tcPr/>
                <w:p>
                  <w:pPr>
                    <w:pStyle w:val="Compact"/>
                    <w:jc w:val="left"/>
                    <w:jc w:val="center"/>
                  </w:pPr>
                  <w:r>
                    <w:t xml:space="preserve">Value</w:t>
                  </w:r>
                </w:p>
              </w:tc>
              <w:tc>
                <w:tcPr/>
                <w:p>
                  <w:pPr>
                    <w:pStyle w:val="Compact"/>
                    <w:jc w:val="left"/>
                    <w:jc w:val="center"/>
                  </w:pPr>
                  <w:r>
                    <w:t xml:space="preserve">Basis</w:t>
                  </w:r>
                </w:p>
              </w:tc>
            </w:tr>
            <w:tr>
              <w:tc>
                <w:tcPr/>
                <w:p>
                  <w:pPr>
                    <w:pStyle w:val="Compact"/>
                    <w:jc w:val="left"/>
                    <w:jc w:val="center"/>
                  </w:pPr>
                  <w:r>
                    <w:t xml:space="preserve">Temperature range</w:t>
                  </w:r>
                </w:p>
              </w:tc>
              <w:tc>
                <w:tcPr/>
                <w:p>
                  <w:pPr>
                    <w:pStyle w:val="Compact"/>
                    <w:jc w:val="left"/>
                    <w:jc w:val="center"/>
                  </w:pPr>
                  <w:r>
                    <w:t xml:space="preserve">10 °C to 40 °C</w:t>
                  </w:r>
                </w:p>
              </w:tc>
              <w:tc>
                <w:tcPr/>
                <w:p>
                  <w:pPr>
                    <w:pStyle w:val="Compact"/>
                    <w:jc w:val="left"/>
                    <w:jc w:val="center"/>
                  </w:pPr>
                  <w:r>
                    <w:t xml:space="preserve">Shipping specification</w:t>
                  </w:r>
                </w:p>
              </w:tc>
            </w:tr>
            <w:tr>
              <w:tc>
                <w:tcPr/>
                <w:p>
                  <w:pPr>
                    <w:pStyle w:val="Compact"/>
                    <w:jc w:val="left"/>
                    <w:jc w:val="center"/>
                  </w:pPr>
                  <w:r>
                    <w:t xml:space="preserve">Maximum cabin altitude</w:t>
                  </w:r>
                </w:p>
              </w:tc>
              <w:tc>
                <w:tcPr/>
                <w:p>
                  <w:pPr>
                    <w:pStyle w:val="Compact"/>
                    <w:jc w:val="left"/>
                    <w:jc w:val="center"/>
                  </w:pPr>
                  <w:r>
                    <w:t xml:space="preserve">~8,000 ft (2,440 m)</w:t>
                  </w:r>
                </w:p>
              </w:tc>
              <w:tc>
                <w:tcPr/>
                <w:p>
                  <w:pPr>
                    <w:pStyle w:val="Compact"/>
                    <w:jc w:val="left"/>
                    <w:jc w:val="center"/>
                  </w:pPr>
                  <w:r>
                    <w:t xml:space="preserve">FAA 14 CFR 25.841</w:t>
                  </w:r>
                </w:p>
              </w:tc>
            </w:tr>
            <w:tr>
              <w:tc>
                <w:tcPr/>
                <w:p>
                  <w:pPr>
                    <w:pStyle w:val="Compact"/>
                    <w:jc w:val="left"/>
                    <w:jc w:val="center"/>
                  </w:pPr>
                  <w:r>
                    <w:t xml:space="preserve">Ambient pressure at cabin altitude</w:t>
                  </w:r>
                </w:p>
              </w:tc>
              <w:tc>
                <w:tcPr/>
                <w:p>
                  <w:pPr>
                    <w:pStyle w:val="Compact"/>
                    <w:jc w:val="left"/>
                    <w:jc w:val="center"/>
                  </w:pPr>
                  <w:r>
                    <w:t xml:space="preserve">75.26 kPa (0.743 atm)</w:t>
                  </w:r>
                </w:p>
              </w:tc>
              <w:tc>
                <w:tcPr/>
                <w:p>
                  <w:pPr>
                    <w:pStyle w:val="Compact"/>
                    <w:jc w:val="left"/>
                    <w:jc w:val="center"/>
                  </w:pPr>
                  <w:r>
                    <w:t xml:space="preserve">ICAO standard atmosphere at 8000 ft</w:t>
                  </w:r>
                </w:p>
              </w:tc>
            </w:tr>
            <w:tr>
              <w:tc>
                <w:tcPr/>
                <w:p>
                  <w:pPr>
                    <w:pStyle w:val="Compact"/>
                    <w:jc w:val="left"/>
                    <w:jc w:val="center"/>
                  </w:pPr>
                  <w:r>
                    <w:t xml:space="preserve">Internal gas</w:t>
                  </w:r>
                </w:p>
              </w:tc>
              <w:tc>
                <w:tcPr/>
                <w:p>
                  <w:pPr>
                    <w:pStyle w:val="Compact"/>
                    <w:jc w:val="left"/>
                    <w:jc w:val="center"/>
                  </w:pPr>
                  <w:r>
                    <w:t xml:space="preserve">Diatomic nitrogen (N2), ultra-pure</w:t>
                  </w:r>
                </w:p>
              </w:tc>
              <w:tc>
                <w:tcPr/>
                <w:p>
                  <w:pPr>
                    <w:pStyle w:val="Compact"/>
                    <w:jc w:val="left"/>
                    <w:jc w:val="center"/>
                  </w:pPr>
                  <w:r>
                    <w:t xml:space="preserve">Purge specification</w:t>
                  </w:r>
                </w:p>
              </w:tc>
            </w:tr>
            <w:tr>
              <w:tc>
                <w:tcPr/>
                <w:p>
                  <w:pPr>
                    <w:pStyle w:val="Compact"/>
                    <w:jc w:val="left"/>
                    <w:jc w:val="center"/>
                  </w:pPr>
                  <w:r>
                    <w:t xml:space="preserve">Maximum shipping duration</w:t>
                  </w:r>
                </w:p>
              </w:tc>
              <w:tc>
                <w:tcPr/>
                <w:p>
                  <w:pPr>
                    <w:pStyle w:val="Compact"/>
                    <w:jc w:val="left"/>
                    <w:jc w:val="center"/>
                  </w:pPr>
                  <w:r>
                    <w:t xml:space="preserve">30 to 60 days</w:t>
                  </w:r>
                </w:p>
              </w:tc>
              <w:tc>
                <w:tcPr/>
                <w:p>
                  <w:pPr>
                    <w:pStyle w:val="Compact"/>
                    <w:jc w:val="left"/>
                    <w:jc w:val="center"/>
                  </w:pPr>
                  <w:r>
                    <w:t xml:space="preserve">Operational requirement</w:t>
                  </w:r>
                </w:p>
              </w:tc>
            </w:tr>
            <w:tr>
              <w:tc>
                <w:tcPr/>
                <w:p>
                  <w:pPr>
                    <w:pStyle w:val="Compact"/>
                    <w:jc w:val="left"/>
                    <w:jc w:val="center"/>
                  </w:pPr>
                  <w:r>
                    <w:t xml:space="preserve">Bag maximum volume</w:t>
                  </w:r>
                  <w:r>
                    <w:t xml:space="preserve"> </w:t>
                  </w:r>
                  <m:oMath>
                    <m:sSub>
                      <m:e>
                        <m:r>
                          <m:t>V</m:t>
                        </m:r>
                      </m:e>
                      <m:sub>
                        <m:r>
                          <m:t>b</m:t>
                        </m:r>
                        <m:r>
                          <m:t>a</m:t>
                        </m:r>
                        <m:r>
                          <m:t>g</m:t>
                        </m:r>
                        <m:r>
                          <m:rPr>
                            <m:sty m:val="p"/>
                          </m:rPr>
                          <m:t>,</m:t>
                        </m:r>
                        <m:r>
                          <m:t>m</m:t>
                        </m:r>
                        <m:r>
                          <m:t>a</m:t>
                        </m:r>
                        <m:r>
                          <m:t>x</m:t>
                        </m:r>
                      </m:sub>
                    </m:sSub>
                  </m:oMath>
                </w:p>
              </w:tc>
              <w:tc>
                <w:tcPr/>
                <w:p>
                  <w:pPr>
                    <w:pStyle w:val="Compact"/>
                    <w:jc w:val="left"/>
                    <w:jc w:val="center"/>
                  </w:pPr>
                  <w:r>
                    <w:t xml:space="preserve">22 L</w:t>
                  </w:r>
                </w:p>
              </w:tc>
              <w:tc>
                <w:tcPr/>
                <w:p>
                  <w:pPr>
                    <w:pStyle w:val="Compact"/>
                    <w:jc w:val="left"/>
                    <w:jc w:val="center"/>
                  </w:pPr>
                  <w:r>
                    <w:t xml:space="preserve">CALDRY 1500 measured capacity</w:t>
                  </w:r>
                </w:p>
              </w:tc>
            </w:tr>
            <w:tr>
              <w:tc>
                <w:tcPr/>
                <w:p>
                  <w:pPr>
                    <w:pStyle w:val="Compact"/>
                    <w:jc w:val="left"/>
                    <w:jc w:val="center"/>
                  </w:pPr>
                  <w:r>
                    <w:t xml:space="preserve">Initial bag fill</w:t>
                  </w:r>
                  <w:r>
                    <w:t xml:space="preserve"> </w:t>
                  </w:r>
                  <m:oMath>
                    <m:sSub>
                      <m:e>
                        <m:r>
                          <m:t>V</m:t>
                        </m:r>
                      </m:e>
                      <m:sub>
                        <m:r>
                          <m:t>b</m:t>
                        </m:r>
                        <m:r>
                          <m:t>a</m:t>
                        </m:r>
                        <m:r>
                          <m:t>g</m:t>
                        </m:r>
                        <m:r>
                          <m:rPr>
                            <m:sty m:val="p"/>
                          </m:rPr>
                          <m:t>,</m:t>
                        </m:r>
                        <m:r>
                          <m:t>0</m:t>
                        </m:r>
                      </m:sub>
                    </m:sSub>
                  </m:oMath>
                </w:p>
              </w:tc>
              <w:tc>
                <w:tcPr/>
                <w:p>
                  <w:pPr>
                    <w:pStyle w:val="Compact"/>
                    <w:jc w:val="left"/>
                    <w:jc w:val="center"/>
                  </w:pPr>
                  <w:r>
                    <w:t xml:space="preserve">~11 L (nominal 50 percent fill)</w:t>
                  </w:r>
                </w:p>
              </w:tc>
              <w:tc>
                <w:tcPr/>
                <w:p>
                  <w:pPr>
                    <w:pStyle w:val="Compact"/>
                    <w:jc w:val="left"/>
                    <w:jc w:val="center"/>
                  </w:pPr>
                  <w:r>
                    <w:t xml:space="preserve">Documented practice; uncontrolled</w:t>
                  </w:r>
                </w:p>
              </w:tc>
            </w:tr>
            <w:tr>
              <w:tc>
                <w:tcPr/>
                <w:p>
                  <w:pPr>
                    <w:pStyle w:val="Compact"/>
                    <w:jc w:val="left"/>
                    <w:jc w:val="center"/>
                  </w:pPr>
                  <w:r>
                    <w:t xml:space="preserve">Rigid system volume</w:t>
                  </w:r>
                  <w:r>
                    <w:t xml:space="preserve"> </w:t>
                  </w:r>
                  <m:oMath>
                    <m:sSub>
                      <m:e>
                        <m:r>
                          <m:t>V</m:t>
                        </m:r>
                      </m:e>
                      <m:sub>
                        <m:r>
                          <m:t>f</m:t>
                        </m:r>
                        <m:r>
                          <m:t>i</m:t>
                        </m:r>
                        <m:r>
                          <m:t>x</m:t>
                        </m:r>
                        <m:r>
                          <m:t>e</m:t>
                        </m:r>
                        <m:r>
                          <m:t>d</m:t>
                        </m:r>
                      </m:sub>
                    </m:sSub>
                  </m:oMath>
                </w:p>
              </w:tc>
              <w:tc>
                <w:tcPr/>
                <w:p>
                  <w:pPr>
                    <w:pStyle w:val="Compact"/>
                    <w:jc w:val="left"/>
                    <w:jc w:val="center"/>
                  </w:pPr>
                  <w:r>
                    <w:t xml:space="preserve">~35 L (conservative estimate)</w:t>
                  </w:r>
                </w:p>
              </w:tc>
              <w:tc>
                <w:tcPr/>
                <w:p>
                  <w:pPr>
                    <w:pStyle w:val="Compact"/>
                    <w:jc w:val="left"/>
                    <w:jc w:val="center"/>
                  </w:pPr>
                  <w:r>
                    <w:t xml:space="preserve">Total of modules + tubing + manifolds</w:t>
                  </w:r>
                </w:p>
              </w:tc>
            </w:tr>
          </w:tbl>
          <w:bookmarkEnd w:id="17"/>
          <w:p/>
        </w:tc>
      </w:tr>
    </w:tbl>
    <w:p>
      <w:pPr>
        <w:pStyle w:val="BodyText"/>
      </w:pPr>
      <w:r>
        <w:t xml:space="preserve">The 30 to 60 day shipping duration is significant. Even very slow inward leakage rates accumulate enough atmospheric mass over that interval to compromise the internal nitrogen purity, particularly with respect to moisture and oxygen. The analysis that follows treats</w:t>
      </w:r>
      <w:r>
        <w:t xml:space="preserve"> </w:t>
      </w:r>
      <w:r>
        <w:rPr>
          <w:i/>
          <w:iCs/>
        </w:rPr>
        <w:t xml:space="preserve">any</w:t>
      </w:r>
      <w:r>
        <w:t xml:space="preserve"> </w:t>
      </w:r>
      <w:r>
        <w:t xml:space="preserve">sub-atmospheric internal condition as a failure, on the basis that the duration of the shipping cycle is long enough to convert any quasi-static pressure deficit into a measurable contamination event.</w:t>
      </w:r>
    </w:p>
    <w:bookmarkEnd w:id="18"/>
    <w:bookmarkStart w:id="22" w:name="sec-field-history"/>
    <w:p>
      <w:pPr>
        <w:pStyle w:val="Heading1"/>
      </w:pPr>
      <w:r>
        <w:t xml:space="preserve">4. Field Contamination History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C:\Program Files\Quarto\share\formats\docx\important.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Confirmed field failures motivate this analysis</w:t>
            </w:r>
          </w:p>
        </w:tc>
      </w:tr>
      <w:tr>
        <w:trPr>
          <w:cantSplit/>
        </w:trPr>
        <w:tc>
          <w:tcPr>
            <w:tcMar>
              <w:top w:w="108" w:type="dxa"/>
              <w:bottom w:w="108" w:type="dxa"/>
            </w:tcMar>
          </w:tcPr>
          <w:p>
            <w:pPr>
              <w:pStyle w:val="BodyText"/>
            </w:pPr>
            <w:pPr>
              <w:spacing w:before="16"/>
            </w:pPr>
            <w:r>
              <w:t xml:space="preserve">Optical assemblies sealed and purged with ultra-pure nitrogen prior to shipment have returned from air transport with confirmed</w:t>
            </w:r>
            <w:r>
              <w:t xml:space="preserve"> </w:t>
            </w:r>
            <w:r>
              <w:rPr>
                <w:b/>
                <w:bCs/>
              </w:rPr>
              <w:t xml:space="preserve">moisture ingress</w:t>
            </w:r>
            <w:r>
              <w:t xml:space="preserve"> </w:t>
            </w:r>
            <w:r>
              <w:t xml:space="preserve">and</w:t>
            </w:r>
            <w:r>
              <w:t xml:space="preserve"> </w:t>
            </w:r>
            <w:r>
              <w:rPr>
                <w:b/>
                <w:bCs/>
              </w:rPr>
              <w:t xml:space="preserve">biological contamination</w:t>
            </w:r>
            <w:r>
              <w:t xml:space="preserve"> </w:t>
            </w:r>
            <w:r>
              <w:t xml:space="preserve">inside the sealed modules. Disassembly, inspection, cleaning, and re-qualification were required.</w:t>
            </w:r>
          </w:p>
          <w:p>
            <w:pPr>
              <w:pStyle w:val="BodyText"/>
            </w:pPr>
            <w:pPr>
              <w:spacing w:after="16"/>
            </w:pPr>
            <w:r>
              <w:t xml:space="preserve">The contamination is not present at seal-up, and no operational use occurs between seal-up and the post-shipment inspection. The contamination is therefore attributable to events during the transport cycle.</w:t>
            </w:r>
          </w:p>
          <w:p/>
        </w:tc>
      </w:tr>
    </w:tbl>
    <w:p>
      <w:pPr>
        <w:pStyle w:val="BodyText"/>
      </w:pPr>
      <w:r>
        <w:t xml:space="preserve">These field failures predate the introduction of the present breather bag and check valve. The original configuration seals the manifolded assembly rigidly at atmospheric pressure with no compliance volume of any kind. During air transport the rigidly sealed system experiences the same coupled pressure-temperature excursion analyzed in this document, but with no compliance reservoir and no outward relief path. Internal pressure rises and falls with the ambient pressure and temperature cycle during air transport. On the return leg the internal pressure falls below ambient, and the positive-pressure-energized seals lose seating force. Atmospheric ingress through the distributed seal network introduces moisture, oxygen, and particulates to the high-purity nitrogen space.</w:t>
      </w:r>
    </w:p>
    <w:p>
      <w:pPr>
        <w:pStyle w:val="BodyText"/>
      </w:pPr>
      <w:r>
        <w:t xml:space="preserve">The breather bag and check valve concept is introduced as a passive mitigation of this observed failure. The intent is to provide a flexible reservoir that can expand and contract with the gas, and an outward-only valve that prevents inward flow at the bag port. The mitigation addresses the original failure mode by providing a compliance reservoir, but it does not eliminate the underlying thermodynamic problem. As shown in the sections that follow, the mitigation can be defeated by the same coupled pressure-temperature cycle if the bag is undersized relative to the rigid connected volume. Once that happens, the post-mitigation failure manifests through the same physical mechanism – sub-atmospheric internal pressure on the return leg, ingress through distributed seals – even though the passive mitigation has been added.</w:t>
      </w:r>
    </w:p>
    <w:p>
      <w:pPr>
        <w:pStyle w:val="BodyText"/>
      </w:pPr>
      <w:r>
        <w:t xml:space="preserve">The history establishes two facts that the rest of the document relies on. First, the seal network is</w:t>
      </w:r>
      <w:r>
        <w:t xml:space="preserve"> </w:t>
      </w:r>
      <w:r>
        <w:rPr>
          <w:b/>
          <w:bCs/>
        </w:rPr>
        <w:t xml:space="preserve">observably permeable</w:t>
      </w:r>
      <w:r>
        <w:t xml:space="preserve"> </w:t>
      </w:r>
      <w:r>
        <w:t xml:space="preserve">to atmospheric ingress under sub-atmospheric internal conditions; this is not a hypothetical concern. Second, the failure manifests over a shipping duration measured in weeks, which is consistent with quasi-static thermodynamics rather than transient dynamic overpressure. Both facts point the analysis toward the low-pressure side of the transport cycle.</w:t>
      </w:r>
    </w:p>
    <w:bookmarkEnd w:id="22"/>
    <w:bookmarkStart w:id="26" w:name="sec-high-pressure-review"/>
    <w:p>
      <w:pPr>
        <w:pStyle w:val="Heading1"/>
      </w:pPr>
      <w:r>
        <w:t xml:space="preserve">5. Why the Existing High-Pressure Review Is Incomplete</w:t>
      </w:r>
    </w:p>
    <w:p>
      <w:pPr>
        <w:pStyle w:val="FirstParagraph"/>
      </w:pPr>
      <w:r>
        <w:t xml:space="preserve">The current review path asks whether the outbound leg can exceed the allowable structural pressure of the assembly. The answer is no: the existing 0.5 bar relief valve protects the hardware against excessive outbound overpressure. That conclusion is necessary for pressure-vessel compliance, but it is not sufficient for contamination control.</w:t>
      </w:r>
    </w:p>
    <w:p>
      <w:pPr>
        <w:pStyle w:val="BodyText"/>
      </w:pPr>
      <w:r>
        <w:t xml:space="preserve">Any device that vents nitrogen outward can protect hardware while still making the contamination problem worse. Each vent event lowers the retained nitrogen inventory. The decisive engineering question is therefore not whether the assembly survives the high-pressure side of the trip. The decisive question is whether the assembly completes the full shipping cycle without ever crossing below ambient pressure on the return leg. However,</w:t>
      </w:r>
      <w:r>
        <w:t xml:space="preserve"> </w:t>
      </w:r>
      <w:hyperlink w:anchor="sec-upper-bound">
        <w:r>
          <w:rPr>
            <w:rStyle w:val="Hyperlink"/>
          </w:rPr>
          <w:t xml:space="preserve">Section 10</w:t>
        </w:r>
      </w:hyperlink>
      <w:r>
        <w:t xml:space="preserve"> </w:t>
      </w:r>
      <w:r>
        <w:t xml:space="preserve">demonstrates that if the bag vent is removed entirely, the 0.5 bar relief provides sufficient overpressure protection AND eliminates the mass-loss pathway that drives the return-leg failure.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 File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structural criterion and the contamination criterion are different</w:t>
            </w:r>
          </w:p>
        </w:tc>
      </w:tr>
      <w:tr>
        <w:trPr>
          <w:cantSplit/>
        </w:trPr>
        <w:tc>
          <w:tcPr>
            <w:tcMar>
              <w:top w:w="108" w:type="dxa"/>
              <w:bottom w:w="108" w:type="dxa"/>
            </w:tcMar>
          </w:tcPr>
          <w:p>
            <w:pPr>
              <w:pStyle w:val="BodyText"/>
            </w:pPr>
            <w:pPr>
              <w:spacing w:before="16" w:after="16"/>
            </w:pPr>
            <w:r>
              <w:t xml:space="preserve">Structural protection asks whether internal pressure stays below an allowable limit. Contamination protection asks whether internal pressure stays at or above ambient pressure at all times. An outward vent can help the first criterion while harming the second.</w:t>
            </w:r>
          </w:p>
          <w:p/>
        </w:tc>
      </w:tr>
    </w:tbl>
    <w:bookmarkEnd w:id="26"/>
    <w:bookmarkStart w:id="37" w:name="sec-actual-mechanism"/>
    <w:p>
      <w:pPr>
        <w:pStyle w:val="Heading1"/>
      </w:pPr>
      <w:r>
        <w:t xml:space="preserve">6. Actual Failure Mechanism</w:t>
      </w:r>
    </w:p>
    <w:p>
      <w:pPr>
        <w:pStyle w:val="FirstParagraph"/>
      </w:pPr>
      <w:r>
        <w:t xml:space="preserve">The governing mechanism has three regimes.</w:t>
      </w:r>
      <w:r>
        <w:t xml:space="preserve"> </w:t>
      </w:r>
      <w:hyperlink w:anchor="fig-three-regimes">
        <w:r>
          <w:rPr>
            <w:rStyle w:val="Hyperlink"/>
          </w:rPr>
          <w:t xml:space="preserve">Figure 1</w:t>
        </w:r>
      </w:hyperlink>
      <w:r>
        <w:t xml:space="preserve"> </w:t>
      </w:r>
      <w:r>
        <w:t xml:space="preserve">shows the safe baseline (35 L, 2 psig valve) where the bag absorbs the full excursion.</w:t>
      </w:r>
      <w:r>
        <w:t xml:space="preserve"> </w:t>
      </w:r>
      <w:hyperlink w:anchor="fig-ideal-vent-cycle">
        <w:r>
          <w:rPr>
            <w:rStyle w:val="Hyperlink"/>
          </w:rPr>
          <w:t xml:space="preserve">Figure 2</w:t>
        </w:r>
      </w:hyperlink>
      <w:r>
        <w:t xml:space="preserve"> </w:t>
      </w:r>
      <w:r>
        <w:t xml:space="preserve">shows the failure sequence that emerges when the rigid volume exceeds the nonnegative-return threshold or the vent cracking pressure is low enough to permit outbound venting.</w:t>
      </w:r>
    </w:p>
    <w:bookmarkStart w:id="27" w:name="regime-1-bag-absorbs-expansion"/>
    <w:p>
      <w:pPr>
        <w:pStyle w:val="Heading2"/>
      </w:pPr>
      <w:r>
        <w:t xml:space="preserve">6.1 Regime 1: Bag Absorbs Expansion</w:t>
      </w:r>
    </w:p>
    <w:p>
      <w:pPr>
        <w:pStyle w:val="FirstParagraph"/>
      </w:pPr>
      <w:r>
        <w:t xml:space="preserve">During ascent and heating, the nitrogen attempts to expand. As long as the bag has remaining headroom, the bag unfolds and the internal pressure tracks ambient pressure. No harmful differential pressure develops in this regime.</w:t>
      </w:r>
    </w:p>
    <w:bookmarkEnd w:id="27"/>
    <w:bookmarkStart w:id="28" w:name="X758403d1fe513fc7041bf236e73558b6ad910ec"/>
    <w:p>
      <w:pPr>
        <w:pStyle w:val="Heading2"/>
      </w:pPr>
      <w:r>
        <w:t xml:space="preserve">6.2 Regime 2: Bag Saturates and the Valve Vents Nitrogen</w:t>
      </w:r>
    </w:p>
    <w:p>
      <w:pPr>
        <w:pStyle w:val="FirstParagraph"/>
      </w:pPr>
      <w:r>
        <w:t xml:space="preserve">Once the bag reaches maximum volume, the system has no remaining geometric compliance. Continued expansion appears as pressure rise. If the outward-only valve opens, nitrogen leaves the system. This is the irreversible step in the cycle. The system now contains less nitrogen than it does at seal-up.</w:t>
      </w:r>
    </w:p>
    <w:bookmarkEnd w:id="28"/>
    <w:bookmarkStart w:id="36" w:name="X003cca25642a2f30c7eb556c359d76b57e1d9f4"/>
    <w:p>
      <w:pPr>
        <w:pStyle w:val="Heading2"/>
      </w:pPr>
      <w:r>
        <w:t xml:space="preserve">6.3 Regime 3: Return Leg, Bag Collapse, and Sub-Atmospheric Pressure</w:t>
      </w:r>
    </w:p>
    <w:p>
      <w:pPr>
        <w:pStyle w:val="FirstParagraph"/>
      </w:pPr>
      <w:r>
        <w:t xml:space="preserve">During descent and cooling, ambient pressure rises and gas temperature falls. The bag collapses. If the bag reaches zero volume before the remaining nitrogen inventory can support ambient pressure in the rigid connected volume, internal pressure falls below ambient. Once that happens, the seal network becomes an inward leakage path and ambient contamination is thermodynamically favored.</w:t>
      </w:r>
    </w:p>
    <w:bookmarkStart w:id="35" w:name="fig-ideal-vent-cycle"/>
    <w:tbl>
      <w:tblPr>
        <w:tblStyle w:val="Table"/>
        <w:tblW w:type="pct" w:w="4900"/>
        <w:tblLayout w:type="fixed"/>
        <w:tblLook w:firstRow="0" w:lastRow="0" w:firstColumn="0" w:lastColumn="0" w:noHBand="0" w:noVBand="0" w:val="0000"/>
      </w:tblPr>
      <w:tblGrid>
        <w:gridCol w:w="3880"/>
        <w:gridCol w:w="3880"/>
      </w:tblGrid>
      <w:tr>
        <w:tc>
          <w:tcPr/>
          <w:p>
            <w:pPr>
              <w:jc w:val="center"/>
            </w:pPr>
            <w:r>
              <w:drawing>
                <wp:inline>
                  <wp:extent cx="2971800" cy="2566302"/>
                  <wp:effectExtent b="0" l="0" r="0" t="0"/>
                  <wp:docPr descr="" title="" id="30" name="Picture"/>
                  <a:graphic>
                    <a:graphicData uri="http://schemas.openxmlformats.org/drawingml/2006/picture">
                      <pic:pic>
                        <pic:nvPicPr>
                          <pic:cNvPr descr="generated/PIR-SH-001_quasistatic_pressure_examples_ideal_vent.png" id="31" name="Picture"/>
                          <pic:cNvPicPr>
                            <a:picLocks noChangeArrowheads="1" noChangeAspect="1"/>
                          </pic:cNvPicPr>
                        </pic:nvPicPr>
                        <pic:blipFill>
                          <a:blip r:embed="rId29"/>
                          <a:stretch>
                            <a:fillRect/>
                          </a:stretch>
                        </pic:blipFill>
                        <pic:spPr bwMode="auto">
                          <a:xfrm>
                            <a:off x="0" y="0"/>
                            <a:ext cx="2971800" cy="2566302"/>
                          </a:xfrm>
                          <a:prstGeom prst="rect">
                            <a:avLst/>
                          </a:prstGeom>
                          <a:noFill/>
                          <a:ln w="9525">
                            <a:noFill/>
                            <a:headEnd/>
                            <a:tailEnd/>
                          </a:ln>
                        </pic:spPr>
                      </pic:pic>
                    </a:graphicData>
                  </a:graphic>
                </wp:inline>
              </w:drawing>
            </w:r>
          </w:p>
        </w:tc>
        <w:tc>
          <w:tcPr/>
          <w:p>
            <w:pPr>
              <w:jc w:val="center"/>
            </w:pPr>
            <w:r>
              <w:drawing>
                <wp:inline>
                  <wp:extent cx="2971800" cy="2595409"/>
                  <wp:effectExtent b="0" l="0" r="0" t="0"/>
                  <wp:docPr descr="" title="" id="33" name="Picture"/>
                  <a:graphic>
                    <a:graphicData uri="http://schemas.openxmlformats.org/drawingml/2006/picture">
                      <pic:pic>
                        <pic:nvPicPr>
                          <pic:cNvPr descr="generated/PIR-SH-001_quasistatic_bag_examples_ideal_vent.png" id="34" name="Picture"/>
                          <pic:cNvPicPr>
                            <a:picLocks noChangeArrowheads="1" noChangeAspect="1"/>
                          </pic:cNvPicPr>
                        </pic:nvPicPr>
                        <pic:blipFill>
                          <a:blip r:embed="rId32"/>
                          <a:stretch>
                            <a:fillRect/>
                          </a:stretch>
                        </pic:blipFill>
                        <pic:spPr bwMode="auto">
                          <a:xfrm>
                            <a:off x="0" y="0"/>
                            <a:ext cx="2971800" cy="2595409"/>
                          </a:xfrm>
                          <a:prstGeom prst="rect">
                            <a:avLst/>
                          </a:prstGeom>
                          <a:noFill/>
                          <a:ln w="9525">
                            <a:noFill/>
                            <a:headEnd/>
                            <a:tailEnd/>
                          </a:ln>
                        </pic:spPr>
                      </pic:pic>
                    </a:graphicData>
                  </a:graphic>
                </wp:inline>
              </w:drawing>
            </w:r>
          </w:p>
        </w:tc>
      </w:tr>
    </w:tbl>
    <w:p>
      <w:pPr>
        <w:pStyle w:val="BodyText"/>
      </w:pPr>
      <w:pPr>
        <w:spacing w:before="200"/>
        <w:pStyle w:val="ImageCaption"/>
      </w:pPr>
      <w:r>
        <w:t xml:space="preserve">Figure 2: Representative ideal-vent cases from the MATLAB quasi-static model. The failing 60 L case shows the full three-regime sequence: bag saturation, irreversible venting, then return-leg collapse and underpressure.</w:t>
      </w:r>
    </w:p>
    <w:bookmarkEnd w:id="35"/>
    <w:bookmarkEnd w:id="36"/>
    <w:bookmarkEnd w:id="37"/>
    <w:bookmarkStart w:id="38" w:name="sec-model"/>
    <w:p>
      <w:pPr>
        <w:pStyle w:val="Heading1"/>
      </w:pPr>
      <w:r>
        <w:t xml:space="preserve">7. Governing Model</w:t>
      </w:r>
    </w:p>
    <w:p>
      <w:pPr>
        <w:pStyle w:val="FirstParagraph"/>
      </w:pPr>
      <w:r>
        <w:t xml:space="preserve">The analysis uses the minimum model needed to distinguish safe compliance behavior from irreversible mass loss and return-leg underpressure. The retained nitrogen inventory and the occupied gas volume satisfy</w:t>
      </w:r>
    </w:p>
    <w:p>
      <w:pPr>
        <w:pStyle w:val="BodyText"/>
      </w:pPr>
      <m:oMathPara>
        <m:oMathParaPr>
          <m:jc m:val="center"/>
        </m:oMathParaPr>
        <m:oMath>
          <m:sSub>
            <m:e>
              <m:r>
                <m:t>V</m:t>
              </m:r>
            </m:e>
            <m:sub>
              <m:r>
                <m:t>t</m:t>
              </m:r>
              <m:r>
                <m:t>o</m:t>
              </m:r>
              <m:r>
                <m:t>t</m:t>
              </m:r>
            </m:sub>
          </m:sSub>
          <m:r>
            <m:rPr>
              <m:sty m:val="p"/>
            </m:rPr>
            <m:t>(</m:t>
          </m:r>
          <m:r>
            <m:t>t</m:t>
          </m:r>
          <m:r>
            <m:rPr>
              <m:sty m:val="p"/>
            </m:rPr>
            <m:t>)</m:t>
          </m:r>
          <m:r>
            <m:rPr>
              <m:sty m:val="p"/>
            </m:rPr>
            <m:t>=</m:t>
          </m:r>
          <m:sSub>
            <m:e>
              <m:r>
                <m:t>V</m:t>
              </m:r>
            </m:e>
            <m:sub>
              <m:r>
                <m:t>f</m:t>
              </m:r>
              <m:r>
                <m:t>i</m:t>
              </m:r>
              <m:r>
                <m:t>x</m:t>
              </m:r>
              <m:r>
                <m:t>e</m:t>
              </m:r>
              <m:r>
                <m:t>d</m:t>
              </m:r>
            </m:sub>
          </m:sSub>
          <m:r>
            <m:rPr>
              <m:sty m:val="p"/>
            </m:rPr>
            <m:t>+</m:t>
          </m:r>
          <m:sSub>
            <m:e>
              <m:r>
                <m:t>V</m:t>
              </m:r>
            </m:e>
            <m:sub>
              <m:r>
                <m:t>b</m:t>
              </m:r>
              <m:r>
                <m:t>a</m:t>
              </m:r>
              <m:r>
                <m:t>g</m:t>
              </m:r>
            </m:sub>
          </m:sSub>
          <m:r>
            <m:rPr>
              <m:sty m:val="p"/>
            </m:rPr>
            <m:t>(</m:t>
          </m:r>
          <m:r>
            <m:t>t</m:t>
          </m:r>
          <m:r>
            <m:rPr>
              <m:sty m:val="p"/>
            </m:rPr>
            <m:t>)</m:t>
          </m:r>
        </m:oMath>
      </m:oMathPara>
    </w:p>
    <w:p>
      <w:pPr>
        <w:pStyle w:val="FirstParagraph"/>
      </w:pPr>
      <w:r>
        <w:t xml:space="preserve">{#eq-vtot}</w:t>
      </w:r>
    </w:p>
    <w:p>
      <w:pPr>
        <w:pStyle w:val="BodyText"/>
      </w:pPr>
      <w:r>
        <w:t xml:space="preserve">and</w:t>
      </w:r>
    </w:p>
    <w:p>
      <w:pPr>
        <w:pStyle w:val="BodyText"/>
      </w:pPr>
      <m:oMathPara>
        <m:oMathParaPr>
          <m:jc m:val="center"/>
        </m:oMathParaPr>
        <m:oMath>
          <m:sSub>
            <m:e>
              <m:r>
                <m:t>P</m:t>
              </m:r>
            </m:e>
            <m:sub>
              <m:r>
                <m:t>i</m:t>
              </m:r>
              <m:r>
                <m:t>n</m:t>
              </m:r>
              <m:r>
                <m:t>t</m:t>
              </m:r>
            </m:sub>
          </m:sSub>
          <m:r>
            <m:rPr>
              <m:sty m:val="p"/>
            </m:rPr>
            <m:t>(</m:t>
          </m:r>
          <m:r>
            <m:t>t</m:t>
          </m:r>
          <m:r>
            <m:rPr>
              <m:sty m:val="p"/>
            </m:rPr>
            <m:t>)</m:t>
          </m:r>
          <m:r>
            <m:t> </m:t>
          </m:r>
          <m:sSub>
            <m:e>
              <m:r>
                <m:t>V</m:t>
              </m:r>
            </m:e>
            <m:sub>
              <m:r>
                <m:t>t</m:t>
              </m:r>
              <m:r>
                <m:t>o</m:t>
              </m:r>
              <m:r>
                <m:t>t</m:t>
              </m:r>
            </m:sub>
          </m:sSub>
          <m:r>
            <m:rPr>
              <m:sty m:val="p"/>
            </m:rPr>
            <m:t>(</m:t>
          </m:r>
          <m:r>
            <m:t>t</m:t>
          </m:r>
          <m:r>
            <m:rPr>
              <m:sty m:val="p"/>
            </m:rPr>
            <m:t>)</m:t>
          </m:r>
          <m:r>
            <m:rPr>
              <m:sty m:val="p"/>
            </m:rPr>
            <m:t>=</m:t>
          </m:r>
          <m:r>
            <m:t>n</m:t>
          </m:r>
          <m:r>
            <m:rPr>
              <m:sty m:val="p"/>
            </m:rPr>
            <m:t>(</m:t>
          </m:r>
          <m:r>
            <m:t>t</m:t>
          </m:r>
          <m:r>
            <m:rPr>
              <m:sty m:val="p"/>
            </m:rPr>
            <m:t>)</m:t>
          </m:r>
          <m:r>
            <m:t> </m:t>
          </m:r>
          <m:r>
            <m:t>R</m:t>
          </m:r>
          <m:r>
            <m:t> </m:t>
          </m:r>
          <m:r>
            <m:t>T</m:t>
          </m:r>
          <m:r>
            <m:rPr>
              <m:sty m:val="p"/>
            </m:rPr>
            <m:t>(</m:t>
          </m:r>
          <m:r>
            <m:t>t</m:t>
          </m:r>
          <m:r>
            <m:rPr>
              <m:sty m:val="p"/>
            </m:rPr>
            <m:t>)</m:t>
          </m:r>
          <m:r>
            <m:rPr>
              <m:sty m:val="p"/>
            </m:rPr>
            <m:t>.</m:t>
          </m:r>
        </m:oMath>
      </m:oMathPara>
    </w:p>
    <w:p>
      <w:pPr>
        <w:pStyle w:val="FirstParagraph"/>
      </w:pPr>
      <w:r>
        <w:t xml:space="preserve">{#eq-state}</w:t>
      </w:r>
    </w:p>
    <w:p>
      <w:pPr>
        <w:pStyle w:val="BodyText"/>
      </w:pPr>
      <w:r>
        <w:t xml:space="preserve">The model applies the following assumptions:</w:t>
      </w:r>
    </w:p>
    <w:p>
      <w:pPr>
        <w:pStyle w:val="Compact"/>
        <w:numPr>
          <w:ilvl w:val="0"/>
          <w:numId w:val="1002"/>
        </w:numPr>
      </w:pPr>
      <w:r>
        <w:t xml:space="preserve">The nitrogen is well mixed.</w:t>
      </w:r>
    </w:p>
    <w:p>
      <w:pPr>
        <w:pStyle w:val="Compact"/>
        <w:numPr>
          <w:ilvl w:val="0"/>
          <w:numId w:val="1002"/>
        </w:numPr>
      </w:pPr>
      <w:r>
        <w:t xml:space="preserve">The foil bag is a geometric compliance element with negligible spring force.</w:t>
      </w:r>
    </w:p>
    <w:p>
      <w:pPr>
        <w:pStyle w:val="Compact"/>
        <w:numPr>
          <w:ilvl w:val="0"/>
          <w:numId w:val="1002"/>
        </w:numPr>
      </w:pPr>
      <w:r>
        <w:t xml:space="preserve">The bag volume is clamped to</w:t>
      </w:r>
      <w:r>
        <w:t xml:space="preserve"> </w:t>
      </w:r>
      <m:oMath>
        <m:r>
          <m:t>0</m:t>
        </m:r>
        <m:r>
          <m:rPr>
            <m:sty m:val="p"/>
          </m:rPr>
          <m:t>≤</m:t>
        </m:r>
        <m:sSub>
          <m:e>
            <m:r>
              <m:t>V</m:t>
            </m:r>
          </m:e>
          <m:sub>
            <m:r>
              <m:t>b</m:t>
            </m:r>
            <m:r>
              <m:t>a</m:t>
            </m:r>
            <m:r>
              <m:t>g</m:t>
            </m:r>
          </m:sub>
        </m:sSub>
        <m:r>
          <m:rPr>
            <m:sty m:val="p"/>
          </m:rPr>
          <m:t>(</m:t>
        </m:r>
        <m:r>
          <m:t>t</m:t>
        </m:r>
        <m:r>
          <m:rPr>
            <m:sty m:val="p"/>
          </m:rPr>
          <m:t>)</m:t>
        </m:r>
        <m:r>
          <m:rPr>
            <m:sty m:val="p"/>
          </m:rPr>
          <m:t>≤</m:t>
        </m:r>
        <m:sSub>
          <m:e>
            <m:r>
              <m:t>V</m:t>
            </m:r>
          </m:e>
          <m:sub>
            <m:r>
              <m:t>b</m:t>
            </m:r>
            <m:r>
              <m:t>a</m:t>
            </m:r>
            <m:r>
              <m:t>g</m:t>
            </m:r>
            <m:r>
              <m:rPr>
                <m:sty m:val="p"/>
              </m:rPr>
              <m:t>,</m:t>
            </m:r>
            <m:r>
              <m:t>m</m:t>
            </m:r>
            <m:r>
              <m:t>a</m:t>
            </m:r>
            <m:r>
              <m:t>x</m:t>
            </m:r>
          </m:sub>
        </m:sSub>
      </m:oMath>
      <w:r>
        <w:t xml:space="preserve">.</w:t>
      </w:r>
    </w:p>
    <w:p>
      <w:pPr>
        <w:pStyle w:val="Compact"/>
        <w:numPr>
          <w:ilvl w:val="0"/>
          <w:numId w:val="1002"/>
        </w:numPr>
      </w:pPr>
      <w:r>
        <w:t xml:space="preserve">The bag valve vents outward only and closes perfectly against inward flow.</w:t>
      </w:r>
    </w:p>
    <w:p>
      <w:pPr>
        <w:pStyle w:val="Compact"/>
        <w:numPr>
          <w:ilvl w:val="0"/>
          <w:numId w:val="1002"/>
        </w:numPr>
      </w:pPr>
      <w:r>
        <w:t xml:space="preserve">The shipping cycle is slow enough for a quasi-static treatment.</w:t>
      </w:r>
    </w:p>
    <w:p>
      <w:pPr>
        <w:pStyle w:val="FirstParagraph"/>
      </w:pPr>
      <w:r>
        <w:t xml:space="preserve">For any retained nitrogen inventory, the total volume required to remain exactly at ambient pressure is</w:t>
      </w:r>
    </w:p>
    <w:p>
      <w:pPr>
        <w:pStyle w:val="BodyText"/>
      </w:pPr>
      <m:oMathPara>
        <m:oMathParaPr>
          <m:jc m:val="center"/>
        </m:oMathParaPr>
        <m:oMath>
          <m:sSub>
            <m:e>
              <m:r>
                <m:t>V</m:t>
              </m:r>
            </m:e>
            <m:sub>
              <m:r>
                <m:t>r</m:t>
              </m:r>
              <m:r>
                <m:t>e</m:t>
              </m:r>
              <m:r>
                <m:t>q</m:t>
              </m:r>
            </m:sub>
          </m:sSub>
          <m:r>
            <m:rPr>
              <m:sty m:val="p"/>
            </m:rPr>
            <m:t>(</m:t>
          </m:r>
          <m:r>
            <m:t>t</m:t>
          </m:r>
          <m:r>
            <m:rPr>
              <m:sty m:val="p"/>
            </m:rPr>
            <m:t>)</m:t>
          </m:r>
          <m:r>
            <m:rPr>
              <m:sty m:val="p"/>
            </m:rPr>
            <m:t>=</m:t>
          </m:r>
          <m:f>
            <m:fPr>
              <m:type m:val="bar"/>
            </m:fPr>
            <m:num>
              <m:r>
                <m:t>n</m:t>
              </m:r>
              <m:r>
                <m:rPr>
                  <m:sty m:val="p"/>
                </m:rPr>
                <m:t>(</m:t>
              </m:r>
              <m:r>
                <m:t>t</m:t>
              </m:r>
              <m:r>
                <m:rPr>
                  <m:sty m:val="p"/>
                </m:rPr>
                <m:t>)</m:t>
              </m:r>
              <m:r>
                <m:t> </m:t>
              </m:r>
              <m:r>
                <m:t>R</m:t>
              </m:r>
              <m:r>
                <m:t> </m:t>
              </m:r>
              <m:r>
                <m:t>T</m:t>
              </m:r>
              <m:r>
                <m:rPr>
                  <m:sty m:val="p"/>
                </m:rPr>
                <m:t>(</m:t>
              </m:r>
              <m:r>
                <m:t>t</m:t>
              </m:r>
              <m:r>
                <m:rPr>
                  <m:sty m:val="p"/>
                </m:rPr>
                <m:t>)</m:t>
              </m:r>
            </m:num>
            <m:den>
              <m:sSub>
                <m:e>
                  <m:r>
                    <m:t>P</m:t>
                  </m:r>
                </m:e>
                <m:sub>
                  <m:r>
                    <m:t>a</m:t>
                  </m:r>
                  <m:r>
                    <m:t>m</m:t>
                  </m:r>
                  <m:r>
                    <m:t>b</m:t>
                  </m:r>
                </m:sub>
              </m:sSub>
              <m:r>
                <m:rPr>
                  <m:sty m:val="p"/>
                </m:rPr>
                <m:t>(</m:t>
              </m:r>
              <m:r>
                <m:t>t</m:t>
              </m:r>
              <m:r>
                <m:rPr>
                  <m:sty m:val="p"/>
                </m:rPr>
                <m:t>)</m:t>
              </m:r>
            </m:den>
          </m:f>
          <m:r>
            <m:rPr>
              <m:sty m:val="p"/>
            </m:rPr>
            <m:t>,</m:t>
          </m:r>
          <m:r>
            <m:t>  </m:t>
          </m:r>
          <m:sSub>
            <m:e>
              <m:r>
                <m:t>V</m:t>
              </m:r>
            </m:e>
            <m:sub>
              <m:r>
                <m:t>b</m:t>
              </m:r>
              <m:r>
                <m:t>a</m:t>
              </m:r>
              <m:r>
                <m:t>g</m:t>
              </m:r>
              <m:r>
                <m:rPr>
                  <m:sty m:val="p"/>
                </m:rPr>
                <m:t>,</m:t>
              </m:r>
              <m:r>
                <m:t>r</m:t>
              </m:r>
              <m:r>
                <m:t>e</m:t>
              </m:r>
              <m:r>
                <m:t>q</m:t>
              </m:r>
            </m:sub>
          </m:sSub>
          <m:r>
            <m:rPr>
              <m:sty m:val="p"/>
            </m:rPr>
            <m:t>(</m:t>
          </m:r>
          <m:r>
            <m:t>t</m:t>
          </m:r>
          <m:r>
            <m:rPr>
              <m:sty m:val="p"/>
            </m:rPr>
            <m:t>)</m:t>
          </m:r>
          <m:r>
            <m:rPr>
              <m:sty m:val="p"/>
            </m:rPr>
            <m:t>=</m:t>
          </m:r>
          <m:sSub>
            <m:e>
              <m:r>
                <m:t>V</m:t>
              </m:r>
            </m:e>
            <m:sub>
              <m:r>
                <m:t>r</m:t>
              </m:r>
              <m:r>
                <m:t>e</m:t>
              </m:r>
              <m:r>
                <m:t>q</m:t>
              </m:r>
            </m:sub>
          </m:sSub>
          <m:r>
            <m:rPr>
              <m:sty m:val="p"/>
            </m:rPr>
            <m:t>(</m:t>
          </m:r>
          <m:r>
            <m:t>t</m:t>
          </m:r>
          <m:r>
            <m:rPr>
              <m:sty m:val="p"/>
            </m:rPr>
            <m:t>)</m:t>
          </m:r>
          <m:r>
            <m:rPr>
              <m:sty m:val="p"/>
            </m:rPr>
            <m:t>−</m:t>
          </m:r>
          <m:sSub>
            <m:e>
              <m:r>
                <m:t>V</m:t>
              </m:r>
            </m:e>
            <m:sub>
              <m:r>
                <m:t>f</m:t>
              </m:r>
              <m:r>
                <m:t>i</m:t>
              </m:r>
              <m:r>
                <m:t>x</m:t>
              </m:r>
              <m:r>
                <m:t>e</m:t>
              </m:r>
              <m:r>
                <m:t>d</m:t>
              </m:r>
            </m:sub>
          </m:sSub>
          <m:r>
            <m:rPr>
              <m:sty m:val="p"/>
            </m:rPr>
            <m:t>.</m:t>
          </m:r>
        </m:oMath>
      </m:oMathPara>
    </w:p>
    <w:p>
      <w:pPr>
        <w:pStyle w:val="FirstParagraph"/>
      </w:pPr>
      <w:r>
        <w:t xml:space="preserve">{#eq-vreq}</w:t>
      </w:r>
    </w:p>
    <w:p>
      <w:pPr>
        <w:pStyle w:val="BodyText"/>
      </w:pPr>
      <w:r>
        <w:t xml:space="preserve">The system then resolves piecewise:</w:t>
      </w:r>
    </w:p>
    <w:p>
      <w:pPr>
        <w:numPr>
          <w:ilvl w:val="0"/>
          <w:numId w:val="1003"/>
        </w:numPr>
      </w:pPr>
      <w:r>
        <w:t xml:space="preserve">If</w:t>
      </w:r>
      <w:r>
        <w:t xml:space="preserve"> </w:t>
      </w:r>
      <m:oMath>
        <m:r>
          <m:t>0</m:t>
        </m:r>
        <m:r>
          <m:rPr>
            <m:sty m:val="p"/>
          </m:rPr>
          <m:t>≤</m:t>
        </m:r>
        <m:sSub>
          <m:e>
            <m:r>
              <m:t>V</m:t>
            </m:r>
          </m:e>
          <m:sub>
            <m:r>
              <m:t>b</m:t>
            </m:r>
            <m:r>
              <m:t>a</m:t>
            </m:r>
            <m:r>
              <m:t>g</m:t>
            </m:r>
            <m:r>
              <m:rPr>
                <m:sty m:val="p"/>
              </m:rPr>
              <m:t>,</m:t>
            </m:r>
            <m:r>
              <m:t>r</m:t>
            </m:r>
            <m:r>
              <m:t>e</m:t>
            </m:r>
            <m:r>
              <m:t>q</m:t>
            </m:r>
          </m:sub>
        </m:sSub>
        <m:r>
          <m:rPr>
            <m:sty m:val="p"/>
          </m:rPr>
          <m:t>(</m:t>
        </m:r>
        <m:r>
          <m:t>t</m:t>
        </m:r>
        <m:r>
          <m:rPr>
            <m:sty m:val="p"/>
          </m:rPr>
          <m:t>)</m:t>
        </m:r>
        <m:r>
          <m:rPr>
            <m:sty m:val="p"/>
          </m:rPr>
          <m:t>≤</m:t>
        </m:r>
        <m:sSub>
          <m:e>
            <m:r>
              <m:t>V</m:t>
            </m:r>
          </m:e>
          <m:sub>
            <m:r>
              <m:t>b</m:t>
            </m:r>
            <m:r>
              <m:t>a</m:t>
            </m:r>
            <m:r>
              <m:t>g</m:t>
            </m:r>
            <m:r>
              <m:rPr>
                <m:sty m:val="p"/>
              </m:rPr>
              <m:t>,</m:t>
            </m:r>
            <m:r>
              <m:t>m</m:t>
            </m:r>
            <m:r>
              <m:t>a</m:t>
            </m:r>
            <m:r>
              <m:t>x</m:t>
            </m:r>
          </m:sub>
        </m:sSub>
      </m:oMath>
      <w:r>
        <w:t xml:space="preserve">, the bag supplies the needed compliance and</w:t>
      </w:r>
      <w:r>
        <w:t xml:space="preserve"> </w:t>
      </w:r>
      <m:oMath>
        <m:sSub>
          <m:e>
            <m:r>
              <m:t>P</m:t>
            </m:r>
          </m:e>
          <m:sub>
            <m:r>
              <m:t>i</m:t>
            </m:r>
            <m:r>
              <m:t>n</m:t>
            </m:r>
            <m:r>
              <m:t>t</m:t>
            </m:r>
          </m:sub>
        </m:sSub>
        <m:r>
          <m:rPr>
            <m:sty m:val="p"/>
          </m:rPr>
          <m:t>(</m:t>
        </m:r>
        <m:r>
          <m:t>t</m:t>
        </m:r>
        <m:r>
          <m:rPr>
            <m:sty m:val="p"/>
          </m:rPr>
          <m:t>)</m:t>
        </m:r>
        <m:r>
          <m:rPr>
            <m:sty m:val="p"/>
          </m:rPr>
          <m:t>=</m:t>
        </m:r>
        <m:sSub>
          <m:e>
            <m:r>
              <m:t>P</m:t>
            </m:r>
          </m:e>
          <m:sub>
            <m:r>
              <m:t>a</m:t>
            </m:r>
            <m:r>
              <m:t>m</m:t>
            </m:r>
            <m:r>
              <m:t>b</m:t>
            </m:r>
          </m:sub>
        </m:sSub>
        <m:r>
          <m:rPr>
            <m:sty m:val="p"/>
          </m:rPr>
          <m:t>(</m:t>
        </m:r>
        <m:r>
          <m:t>t</m:t>
        </m:r>
        <m:r>
          <m:rPr>
            <m:sty m:val="p"/>
          </m:rPr>
          <m:t>)</m:t>
        </m:r>
      </m:oMath>
      <w:r>
        <w:t xml:space="preserve">.</w:t>
      </w:r>
    </w:p>
    <w:p>
      <w:pPr>
        <w:numPr>
          <w:ilvl w:val="0"/>
          <w:numId w:val="1003"/>
        </w:numPr>
      </w:pPr>
      <w:r>
        <w:t xml:space="preserve">If</w:t>
      </w:r>
      <w:r>
        <w:t xml:space="preserve"> </w:t>
      </w:r>
      <m:oMath>
        <m:sSub>
          <m:e>
            <m:r>
              <m:t>V</m:t>
            </m:r>
          </m:e>
          <m:sub>
            <m:r>
              <m:t>b</m:t>
            </m:r>
            <m:r>
              <m:t>a</m:t>
            </m:r>
            <m:r>
              <m:t>g</m:t>
            </m:r>
            <m:r>
              <m:rPr>
                <m:sty m:val="p"/>
              </m:rPr>
              <m:t>,</m:t>
            </m:r>
            <m:r>
              <m:t>r</m:t>
            </m:r>
            <m:r>
              <m:t>e</m:t>
            </m:r>
            <m:r>
              <m:t>q</m:t>
            </m:r>
          </m:sub>
        </m:sSub>
        <m:r>
          <m:rPr>
            <m:sty m:val="p"/>
          </m:rPr>
          <m:t>(</m:t>
        </m:r>
        <m:r>
          <m:t>t</m:t>
        </m:r>
        <m:r>
          <m:rPr>
            <m:sty m:val="p"/>
          </m:rPr>
          <m:t>)</m:t>
        </m:r>
        <m:r>
          <m:rPr>
            <m:sty m:val="p"/>
          </m:rPr>
          <m:t>&gt;</m:t>
        </m:r>
        <m:sSub>
          <m:e>
            <m:r>
              <m:t>V</m:t>
            </m:r>
          </m:e>
          <m:sub>
            <m:r>
              <m:t>b</m:t>
            </m:r>
            <m:r>
              <m:t>a</m:t>
            </m:r>
            <m:r>
              <m:t>g</m:t>
            </m:r>
            <m:r>
              <m:rPr>
                <m:sty m:val="p"/>
              </m:rPr>
              <m:t>,</m:t>
            </m:r>
            <m:r>
              <m:t>m</m:t>
            </m:r>
            <m:r>
              <m:t>a</m:t>
            </m:r>
            <m:r>
              <m:t>x</m:t>
            </m:r>
          </m:sub>
        </m:sSub>
      </m:oMath>
      <w:r>
        <w:t xml:space="preserve">, the bag is full and the trial pressure becomes</w:t>
      </w:r>
    </w:p>
    <w:p>
      <w:pPr>
        <w:pStyle w:val="FirstParagraph"/>
      </w:pPr>
      <m:oMathPara>
        <m:oMathParaPr>
          <m:jc m:val="center"/>
        </m:oMathParaPr>
        <m:oMath>
          <m:sSub>
            <m:e>
              <m:r>
                <m:t>P</m:t>
              </m:r>
            </m:e>
            <m:sub>
              <m:r>
                <m:t>t</m:t>
              </m:r>
              <m:r>
                <m:t>r</m:t>
              </m:r>
              <m:r>
                <m:t>i</m:t>
              </m:r>
              <m:r>
                <m:t>a</m:t>
              </m:r>
              <m:r>
                <m:t>l</m:t>
              </m:r>
            </m:sub>
          </m:sSub>
          <m:r>
            <m:rPr>
              <m:sty m:val="p"/>
            </m:rPr>
            <m:t>(</m:t>
          </m:r>
          <m:r>
            <m:t>t</m:t>
          </m:r>
          <m:r>
            <m:rPr>
              <m:sty m:val="p"/>
            </m:rPr>
            <m:t>)</m:t>
          </m:r>
          <m:r>
            <m:rPr>
              <m:sty m:val="p"/>
            </m:rPr>
            <m:t>=</m:t>
          </m:r>
          <m:f>
            <m:fPr>
              <m:type m:val="bar"/>
            </m:fPr>
            <m:num>
              <m:r>
                <m:t>n</m:t>
              </m:r>
              <m:r>
                <m:rPr>
                  <m:sty m:val="p"/>
                </m:rPr>
                <m:t>(</m:t>
              </m:r>
              <m:r>
                <m:t>t</m:t>
              </m:r>
              <m:r>
                <m:rPr>
                  <m:sty m:val="p"/>
                </m:rPr>
                <m:t>)</m:t>
              </m:r>
              <m:r>
                <m:t> </m:t>
              </m:r>
              <m:r>
                <m:t>R</m:t>
              </m:r>
              <m:r>
                <m:t> </m:t>
              </m:r>
              <m:r>
                <m:t>T</m:t>
              </m:r>
              <m:r>
                <m:rPr>
                  <m:sty m:val="p"/>
                </m:rPr>
                <m:t>(</m:t>
              </m:r>
              <m:r>
                <m:t>t</m:t>
              </m:r>
              <m:r>
                <m:rPr>
                  <m:sty m:val="p"/>
                </m:rPr>
                <m:t>)</m:t>
              </m:r>
            </m:num>
            <m:den>
              <m:sSub>
                <m:e>
                  <m:r>
                    <m:t>V</m:t>
                  </m:r>
                </m:e>
                <m:sub>
                  <m:r>
                    <m:t>f</m:t>
                  </m:r>
                  <m:r>
                    <m:t>i</m:t>
                  </m:r>
                  <m:r>
                    <m:t>x</m:t>
                  </m:r>
                  <m:r>
                    <m:t>e</m:t>
                  </m:r>
                  <m:r>
                    <m:t>d</m:t>
                  </m:r>
                </m:sub>
              </m:sSub>
              <m:r>
                <m:rPr>
                  <m:sty m:val="p"/>
                </m:rPr>
                <m:t>+</m:t>
              </m:r>
              <m:sSub>
                <m:e>
                  <m:r>
                    <m:t>V</m:t>
                  </m:r>
                </m:e>
                <m:sub>
                  <m:r>
                    <m:t>b</m:t>
                  </m:r>
                  <m:r>
                    <m:t>a</m:t>
                  </m:r>
                  <m:r>
                    <m:t>g</m:t>
                  </m:r>
                  <m:r>
                    <m:rPr>
                      <m:sty m:val="p"/>
                    </m:rPr>
                    <m:t>,</m:t>
                  </m:r>
                  <m:r>
                    <m:t>m</m:t>
                  </m:r>
                  <m:r>
                    <m:t>a</m:t>
                  </m:r>
                  <m:r>
                    <m:t>x</m:t>
                  </m:r>
                </m:sub>
              </m:sSub>
            </m:den>
          </m:f>
          <m:r>
            <m:rPr>
              <m:sty m:val="p"/>
            </m:rPr>
            <m:t>.</m:t>
          </m:r>
        </m:oMath>
      </m:oMathPara>
    </w:p>
    <w:p>
      <w:pPr>
        <w:pStyle w:val="FirstParagraph"/>
      </w:pPr>
      <w:r>
        <w:t xml:space="preserve">{#eq-ptrial}</w:t>
      </w:r>
    </w:p>
    <w:p>
      <w:pPr>
        <w:pStyle w:val="BodyText"/>
      </w:pPr>
      <w:r>
        <w:t xml:space="preserve">If</w:t>
      </w:r>
      <w:r>
        <w:t xml:space="preserve"> </w:t>
      </w:r>
      <m:oMath>
        <m:sSub>
          <m:e>
            <m:r>
              <m:t>P</m:t>
            </m:r>
          </m:e>
          <m:sub>
            <m:r>
              <m:t>t</m:t>
            </m:r>
            <m:r>
              <m:t>r</m:t>
            </m:r>
            <m:r>
              <m:t>i</m:t>
            </m:r>
            <m:r>
              <m:t>a</m:t>
            </m:r>
            <m:r>
              <m:t>l</m:t>
            </m:r>
          </m:sub>
        </m:sSub>
        <m:r>
          <m:rPr>
            <m:sty m:val="p"/>
          </m:rPr>
          <m:t>(</m:t>
        </m:r>
        <m:r>
          <m:t>t</m:t>
        </m:r>
        <m:r>
          <m:rPr>
            <m:sty m:val="p"/>
          </m:rPr>
          <m:t>)</m:t>
        </m:r>
      </m:oMath>
      <w:r>
        <w:t xml:space="preserve"> </w:t>
      </w:r>
      <w:r>
        <w:t xml:space="preserve">exceeds the vent setpoint</w:t>
      </w:r>
      <w:r>
        <w:t xml:space="preserve"> </w:t>
      </w:r>
      <m:oMath>
        <m:sSub>
          <m:e>
            <m:r>
              <m:t>P</m:t>
            </m:r>
          </m:e>
          <m:sub>
            <m:r>
              <m:t>v</m:t>
            </m:r>
            <m:r>
              <m:t>e</m:t>
            </m:r>
            <m:r>
              <m:t>n</m:t>
            </m:r>
            <m:r>
              <m:t>t</m:t>
            </m:r>
            <m:r>
              <m:rPr>
                <m:sty m:val="p"/>
              </m:rPr>
              <m:t>,</m:t>
            </m:r>
            <m:r>
              <m:t>a</m:t>
            </m:r>
            <m:r>
              <m:t>b</m:t>
            </m:r>
            <m:r>
              <m:t>s</m:t>
            </m:r>
          </m:sub>
        </m:sSub>
        <m:r>
          <m:rPr>
            <m:sty m:val="p"/>
          </m:rPr>
          <m:t>(</m:t>
        </m:r>
        <m:r>
          <m:t>t</m:t>
        </m:r>
        <m:r>
          <m:rPr>
            <m:sty m:val="p"/>
          </m:rPr>
          <m:t>)</m:t>
        </m:r>
        <m:r>
          <m:rPr>
            <m:sty m:val="p"/>
          </m:rPr>
          <m:t>=</m:t>
        </m:r>
        <m:sSub>
          <m:e>
            <m:r>
              <m:t>P</m:t>
            </m:r>
          </m:e>
          <m:sub>
            <m:r>
              <m:t>a</m:t>
            </m:r>
            <m:r>
              <m:t>m</m:t>
            </m:r>
            <m:r>
              <m:t>b</m:t>
            </m:r>
          </m:sub>
        </m:sSub>
        <m:r>
          <m:rPr>
            <m:sty m:val="p"/>
          </m:rPr>
          <m:t>(</m:t>
        </m:r>
        <m:r>
          <m:t>t</m:t>
        </m:r>
        <m:r>
          <m:rPr>
            <m:sty m:val="p"/>
          </m:rPr>
          <m:t>)</m:t>
        </m:r>
        <m:r>
          <m:rPr>
            <m:sty m:val="p"/>
          </m:rPr>
          <m:t>+</m:t>
        </m:r>
        <m:sSub>
          <m:e>
            <m:r>
              <m:t>P</m:t>
            </m:r>
          </m:e>
          <m:sub>
            <m:r>
              <m:t>v</m:t>
            </m:r>
            <m:r>
              <m:t>e</m:t>
            </m:r>
            <m:r>
              <m:t>n</m:t>
            </m:r>
            <m:r>
              <m:t>t</m:t>
            </m:r>
            <m:r>
              <m:rPr>
                <m:sty m:val="p"/>
              </m:rPr>
              <m:t>,</m:t>
            </m:r>
            <m:r>
              <m:t>g</m:t>
            </m:r>
          </m:sub>
        </m:sSub>
      </m:oMath>
      <w:r>
        <w:t xml:space="preserve">, the valve vents until</w:t>
      </w:r>
    </w:p>
    <w:p>
      <w:pPr>
        <w:pStyle w:val="BodyText"/>
      </w:pPr>
      <m:oMathPara>
        <m:oMathParaPr>
          <m:jc m:val="center"/>
        </m:oMathParaPr>
        <m:oMath>
          <m:sSub>
            <m:e>
              <m:r>
                <m:t>P</m:t>
              </m:r>
            </m:e>
            <m:sub>
              <m:r>
                <m:t>i</m:t>
              </m:r>
              <m:r>
                <m:t>n</m:t>
              </m:r>
              <m:r>
                <m:t>t</m:t>
              </m:r>
            </m:sub>
          </m:sSub>
          <m:r>
            <m:rPr>
              <m:sty m:val="p"/>
            </m:rPr>
            <m:t>(</m:t>
          </m:r>
          <m:r>
            <m:t>t</m:t>
          </m:r>
          <m:r>
            <m:rPr>
              <m:sty m:val="p"/>
            </m:rPr>
            <m:t>)</m:t>
          </m:r>
          <m:r>
            <m:rPr>
              <m:sty m:val="p"/>
            </m:rPr>
            <m:t>=</m:t>
          </m:r>
          <m:sSub>
            <m:e>
              <m:r>
                <m:t>P</m:t>
              </m:r>
            </m:e>
            <m:sub>
              <m:r>
                <m:t>v</m:t>
              </m:r>
              <m:r>
                <m:t>e</m:t>
              </m:r>
              <m:r>
                <m:t>n</m:t>
              </m:r>
              <m:r>
                <m:t>t</m:t>
              </m:r>
              <m:r>
                <m:rPr>
                  <m:sty m:val="p"/>
                </m:rPr>
                <m:t>,</m:t>
              </m:r>
              <m:r>
                <m:t>a</m:t>
              </m:r>
              <m:r>
                <m:t>b</m:t>
              </m:r>
              <m:r>
                <m:t>s</m:t>
              </m:r>
            </m:sub>
          </m:sSub>
          <m:r>
            <m:rPr>
              <m:sty m:val="p"/>
            </m:rPr>
            <m:t>(</m:t>
          </m:r>
          <m:r>
            <m:t>t</m:t>
          </m:r>
          <m:r>
            <m:rPr>
              <m:sty m:val="p"/>
            </m:rPr>
            <m:t>)</m:t>
          </m:r>
          <m:r>
            <m:rPr>
              <m:sty m:val="p"/>
            </m:rPr>
            <m:t>,</m:t>
          </m:r>
          <m:r>
            <m:t>  </m:t>
          </m:r>
          <m:r>
            <m:t>n</m:t>
          </m:r>
          <m:r>
            <m:rPr>
              <m:sty m:val="p"/>
            </m:rPr>
            <m:t>(</m:t>
          </m:r>
          <m:sSup>
            <m:e>
              <m:r>
                <m:t>t</m:t>
              </m:r>
            </m:e>
            <m:sup>
              <m:r>
                <m:rPr>
                  <m:sty m:val="p"/>
                </m:rPr>
                <m:t>+</m:t>
              </m:r>
            </m:sup>
          </m:sSup>
          <m:r>
            <m:rPr>
              <m:sty m:val="p"/>
            </m:rPr>
            <m:t>)</m:t>
          </m:r>
          <m:r>
            <m:rPr>
              <m:sty m:val="p"/>
            </m:rPr>
            <m:t>=</m:t>
          </m:r>
          <m:f>
            <m:fPr>
              <m:type m:val="bar"/>
            </m:fPr>
            <m:num>
              <m:sSub>
                <m:e>
                  <m:r>
                    <m:t>P</m:t>
                  </m:r>
                </m:e>
                <m:sub>
                  <m:r>
                    <m:t>v</m:t>
                  </m:r>
                  <m:r>
                    <m:t>e</m:t>
                  </m:r>
                  <m:r>
                    <m:t>n</m:t>
                  </m:r>
                  <m:r>
                    <m:t>t</m:t>
                  </m:r>
                  <m:r>
                    <m:rPr>
                      <m:sty m:val="p"/>
                    </m:rPr>
                    <m:t>,</m:t>
                  </m:r>
                  <m:r>
                    <m:t>a</m:t>
                  </m:r>
                  <m:r>
                    <m:t>b</m:t>
                  </m:r>
                  <m:r>
                    <m:t>s</m:t>
                  </m:r>
                </m:sub>
              </m:sSub>
              <m:r>
                <m:rPr>
                  <m:sty m:val="p"/>
                </m:rPr>
                <m:t>(</m:t>
              </m:r>
              <m:r>
                <m:t>t</m:t>
              </m:r>
              <m:r>
                <m:rPr>
                  <m:sty m:val="p"/>
                </m:rPr>
                <m:t>)</m:t>
              </m:r>
              <m:r>
                <m:t> </m:t>
              </m:r>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m</m:t>
                      </m:r>
                      <m:r>
                        <m:t>a</m:t>
                      </m:r>
                      <m:r>
                        <m:t>x</m:t>
                      </m:r>
                    </m:sub>
                  </m:sSub>
                </m:e>
              </m:d>
            </m:num>
            <m:den>
              <m:r>
                <m:t>R</m:t>
              </m:r>
              <m:r>
                <m:t> </m:t>
              </m:r>
              <m:r>
                <m:t>T</m:t>
              </m:r>
              <m:r>
                <m:rPr>
                  <m:sty m:val="p"/>
                </m:rPr>
                <m:t>(</m:t>
              </m:r>
              <m:r>
                <m:t>t</m:t>
              </m:r>
              <m:r>
                <m:rPr>
                  <m:sty m:val="p"/>
                </m:rPr>
                <m:t>)</m:t>
              </m:r>
            </m:den>
          </m:f>
          <m:r>
            <m:rPr>
              <m:sty m:val="p"/>
            </m:rPr>
            <m:t>.</m:t>
          </m:r>
        </m:oMath>
      </m:oMathPara>
    </w:p>
    <w:p>
      <w:pPr>
        <w:pStyle w:val="FirstParagraph"/>
      </w:pPr>
      <w:r>
        <w:t xml:space="preserve">{#eq-vent-reset}</w:t>
      </w:r>
    </w:p>
    <w:p>
      <w:pPr>
        <w:pStyle w:val="Compact"/>
        <w:numPr>
          <w:ilvl w:val="0"/>
          <w:numId w:val="1004"/>
        </w:numPr>
      </w:pPr>
      <w:r>
        <w:t xml:space="preserve">If</w:t>
      </w:r>
      <w:r>
        <w:t xml:space="preserve"> </w:t>
      </w:r>
      <m:oMath>
        <m:sSub>
          <m:e>
            <m:r>
              <m:t>V</m:t>
            </m:r>
          </m:e>
          <m:sub>
            <m:r>
              <m:t>b</m:t>
            </m:r>
            <m:r>
              <m:t>a</m:t>
            </m:r>
            <m:r>
              <m:t>g</m:t>
            </m:r>
            <m:r>
              <m:rPr>
                <m:sty m:val="p"/>
              </m:rPr>
              <m:t>,</m:t>
            </m:r>
            <m:r>
              <m:t>r</m:t>
            </m:r>
            <m:r>
              <m:t>e</m:t>
            </m:r>
            <m:r>
              <m:t>q</m:t>
            </m:r>
          </m:sub>
        </m:sSub>
        <m:r>
          <m:rPr>
            <m:sty m:val="p"/>
          </m:rPr>
          <m:t>(</m:t>
        </m:r>
        <m:r>
          <m:t>t</m:t>
        </m:r>
        <m:r>
          <m:rPr>
            <m:sty m:val="p"/>
          </m:rPr>
          <m:t>)</m:t>
        </m:r>
        <m:r>
          <m:rPr>
            <m:sty m:val="p"/>
          </m:rPr>
          <m:t>&lt;</m:t>
        </m:r>
        <m:r>
          <m:t>0</m:t>
        </m:r>
      </m:oMath>
      <w:r>
        <w:t xml:space="preserve">, the bag has collapsed and the internal pressure becomes</w:t>
      </w:r>
    </w:p>
    <w:p>
      <w:pPr>
        <w:pStyle w:val="FirstParagraph"/>
      </w:pPr>
      <m:oMathPara>
        <m:oMathParaPr>
          <m:jc m:val="center"/>
        </m:oMathParaPr>
        <m:oMath>
          <m:sSub>
            <m:e>
              <m:r>
                <m:t>P</m:t>
              </m:r>
            </m:e>
            <m:sub>
              <m:r>
                <m:t>i</m:t>
              </m:r>
              <m:r>
                <m:t>n</m:t>
              </m:r>
              <m:r>
                <m:t>t</m:t>
              </m:r>
            </m:sub>
          </m:sSub>
          <m:r>
            <m:rPr>
              <m:sty m:val="p"/>
            </m:rPr>
            <m:t>(</m:t>
          </m:r>
          <m:r>
            <m:t>t</m:t>
          </m:r>
          <m:r>
            <m:rPr>
              <m:sty m:val="p"/>
            </m:rPr>
            <m:t>)</m:t>
          </m:r>
          <m:r>
            <m:rPr>
              <m:sty m:val="p"/>
            </m:rPr>
            <m:t>=</m:t>
          </m:r>
          <m:f>
            <m:fPr>
              <m:type m:val="bar"/>
            </m:fPr>
            <m:num>
              <m:r>
                <m:t>n</m:t>
              </m:r>
              <m:r>
                <m:rPr>
                  <m:sty m:val="p"/>
                </m:rPr>
                <m:t>(</m:t>
              </m:r>
              <m:r>
                <m:t>t</m:t>
              </m:r>
              <m:r>
                <m:rPr>
                  <m:sty m:val="p"/>
                </m:rPr>
                <m:t>)</m:t>
              </m:r>
              <m:r>
                <m:t> </m:t>
              </m:r>
              <m:r>
                <m:t>R</m:t>
              </m:r>
              <m:r>
                <m:t> </m:t>
              </m:r>
              <m:r>
                <m:t>T</m:t>
              </m:r>
              <m:r>
                <m:rPr>
                  <m:sty m:val="p"/>
                </m:rPr>
                <m:t>(</m:t>
              </m:r>
              <m:r>
                <m:t>t</m:t>
              </m:r>
              <m:r>
                <m:rPr>
                  <m:sty m:val="p"/>
                </m:rPr>
                <m:t>)</m:t>
              </m:r>
            </m:num>
            <m:den>
              <m:sSub>
                <m:e>
                  <m:r>
                    <m:t>V</m:t>
                  </m:r>
                </m:e>
                <m:sub>
                  <m:r>
                    <m:t>f</m:t>
                  </m:r>
                  <m:r>
                    <m:t>i</m:t>
                  </m:r>
                  <m:r>
                    <m:t>x</m:t>
                  </m:r>
                  <m:r>
                    <m:t>e</m:t>
                  </m:r>
                  <m:r>
                    <m:t>d</m:t>
                  </m:r>
                </m:sub>
              </m:sSub>
            </m:den>
          </m:f>
          <m:r>
            <m:rPr>
              <m:sty m:val="p"/>
            </m:rPr>
            <m:t>.</m:t>
          </m:r>
        </m:oMath>
      </m:oMathPara>
    </w:p>
    <w:p>
      <w:pPr>
        <w:pStyle w:val="FirstParagraph"/>
      </w:pPr>
      <w:r>
        <w:t xml:space="preserve">{#eq-bag-collapsed}</w:t>
      </w:r>
    </w:p>
    <w:p>
      <w:pPr>
        <w:pStyle w:val="BodyText"/>
      </w:pPr>
      <w:r>
        <w:t xml:space="preserve">Ingress risk exists whenever</w:t>
      </w:r>
    </w:p>
    <w:p>
      <w:pPr>
        <w:pStyle w:val="BodyText"/>
      </w:pPr>
      <m:oMathPara>
        <m:oMathParaPr>
          <m:jc m:val="center"/>
        </m:oMathParaPr>
        <m:oMath>
          <m:r>
            <m:rPr>
              <m:sty m:val="p"/>
            </m:rPr>
            <m:t>Δ</m:t>
          </m:r>
          <m:r>
            <m:t>P</m:t>
          </m:r>
          <m:r>
            <m:rPr>
              <m:sty m:val="p"/>
            </m:rPr>
            <m:t>(</m:t>
          </m:r>
          <m:r>
            <m:t>t</m:t>
          </m:r>
          <m:r>
            <m:rPr>
              <m:sty m:val="p"/>
            </m:rPr>
            <m:t>)</m:t>
          </m:r>
          <m:r>
            <m:rPr>
              <m:sty m:val="p"/>
            </m:rPr>
            <m:t>=</m:t>
          </m:r>
          <m:sSub>
            <m:e>
              <m:r>
                <m:t>P</m:t>
              </m:r>
            </m:e>
            <m:sub>
              <m:r>
                <m:t>i</m:t>
              </m:r>
              <m:r>
                <m:t>n</m:t>
              </m:r>
              <m:r>
                <m:t>t</m:t>
              </m:r>
            </m:sub>
          </m:sSub>
          <m:r>
            <m:rPr>
              <m:sty m:val="p"/>
            </m:rPr>
            <m:t>(</m:t>
          </m:r>
          <m:r>
            <m:t>t</m:t>
          </m:r>
          <m:r>
            <m:rPr>
              <m:sty m:val="p"/>
            </m:rPr>
            <m:t>)</m:t>
          </m:r>
          <m:r>
            <m:rPr>
              <m:sty m:val="p"/>
            </m:rPr>
            <m:t>−</m:t>
          </m:r>
          <m:sSub>
            <m:e>
              <m:r>
                <m:t>P</m:t>
              </m:r>
            </m:e>
            <m:sub>
              <m:r>
                <m:t>a</m:t>
              </m:r>
              <m:r>
                <m:t>m</m:t>
              </m:r>
              <m:r>
                <m:t>b</m:t>
              </m:r>
            </m:sub>
          </m:sSub>
          <m:r>
            <m:rPr>
              <m:sty m:val="p"/>
            </m:rPr>
            <m:t>(</m:t>
          </m:r>
          <m:r>
            <m:t>t</m:t>
          </m:r>
          <m:r>
            <m:rPr>
              <m:sty m:val="p"/>
            </m:rPr>
            <m:t>)</m:t>
          </m:r>
          <m:r>
            <m:rPr>
              <m:sty m:val="p"/>
            </m:rPr>
            <m:t>&lt;</m:t>
          </m:r>
          <m:r>
            <m:t>0</m:t>
          </m:r>
          <m:r>
            <m:rPr>
              <m:sty m:val="p"/>
            </m:rPr>
            <m:t>.</m:t>
          </m:r>
        </m:oMath>
      </m:oMathPara>
    </w:p>
    <w:p>
      <w:pPr>
        <w:pStyle w:val="FirstParagraph"/>
      </w:pPr>
      <w:r>
        <w:t xml:space="preserve">{#eq-delta-p}</w:t>
      </w:r>
    </w:p>
    <w:p>
      <w:pPr>
        <w:pStyle w:val="BodyText"/>
      </w:pPr>
      <w:r>
        <w:t xml:space="preserve">This model is intentionally simple. It omits bag leakage, valve hysteresis, and transient fluid dynamics. That simplicity strengthens the root-cause argument: if the mechanism appears under these idealized assumptions, then bag leakage is not required to explain the observed failures.</w:t>
      </w:r>
    </w:p>
    <w:bookmarkEnd w:id="38"/>
    <w:bookmarkStart w:id="44" w:name="sec-thresholds"/>
    <w:p>
      <w:pPr>
        <w:pStyle w:val="Heading1"/>
      </w:pPr>
      <w:r>
        <w:t xml:space="preserve">8. Closed-Form Screening Thresholds</w:t>
      </w:r>
    </w:p>
    <w:p>
      <w:pPr>
        <w:pStyle w:val="FirstParagraph"/>
      </w:pPr>
      <w:r>
        <w:t xml:space="preserve">The piecewise model yields two closed-form screening expressions that determine whether the concept can work at all.</w:t>
      </w:r>
    </w:p>
    <w:bookmarkStart w:id="40" w:name="X2575dec5d7a2c1559a3fcfd0105e97a9e6739f9"/>
    <w:p>
      <w:pPr>
        <w:pStyle w:val="Heading2"/>
      </w:pPr>
      <w:r>
        <w:t xml:space="preserve">8.1 Threshold 1: Largest Rigid Volume That Avoids Any Venting</w:t>
      </w:r>
    </w:p>
    <w:p>
      <w:pPr>
        <w:pStyle w:val="FirstParagraph"/>
      </w:pPr>
      <w:r>
        <w:t xml:space="preserve">At seal-up,</w:t>
      </w:r>
    </w:p>
    <w:p>
      <w:pPr>
        <w:pStyle w:val="BodyText"/>
      </w:pPr>
      <m:oMathPara>
        <m:oMathParaPr>
          <m:jc m:val="center"/>
        </m:oMathParaPr>
        <m:oMath>
          <m:sSub>
            <m:e>
              <m:r>
                <m:t>n</m:t>
              </m:r>
            </m:e>
            <m:sub>
              <m:r>
                <m:t>0</m:t>
              </m:r>
            </m:sub>
          </m:sSub>
          <m:r>
            <m:rPr>
              <m:sty m:val="p"/>
            </m:rPr>
            <m:t>=</m:t>
          </m:r>
          <m:f>
            <m:fPr>
              <m:type m:val="bar"/>
            </m:fPr>
            <m:num>
              <m:sSub>
                <m:e>
                  <m:r>
                    <m:t>P</m:t>
                  </m:r>
                </m:e>
                <m:sub>
                  <m:r>
                    <m:t>s</m:t>
                  </m:r>
                  <m:r>
                    <m:t>e</m:t>
                  </m:r>
                  <m:r>
                    <m:t>a</m:t>
                  </m:r>
                  <m:r>
                    <m:t>l</m:t>
                  </m:r>
                </m:sub>
              </m:sSub>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i</m:t>
                      </m:r>
                      <m:r>
                        <m:t>n</m:t>
                      </m:r>
                      <m:r>
                        <m:t>i</m:t>
                      </m:r>
                      <m:r>
                        <m:t>t</m:t>
                      </m:r>
                    </m:sub>
                  </m:sSub>
                </m:e>
              </m:d>
            </m:num>
            <m:den>
              <m:r>
                <m:t>R</m:t>
              </m:r>
              <m:r>
                <m:t> </m:t>
              </m:r>
              <m:sSub>
                <m:e>
                  <m:r>
                    <m:t>T</m:t>
                  </m:r>
                </m:e>
                <m:sub>
                  <m:r>
                    <m:t>s</m:t>
                  </m:r>
                  <m:r>
                    <m:t>e</m:t>
                  </m:r>
                  <m:r>
                    <m:t>a</m:t>
                  </m:r>
                  <m:r>
                    <m:t>l</m:t>
                  </m:r>
                </m:sub>
              </m:sSub>
            </m:den>
          </m:f>
          <m:r>
            <m:rPr>
              <m:sty m:val="p"/>
            </m:rPr>
            <m:t>.</m:t>
          </m:r>
        </m:oMath>
      </m:oMathPara>
    </w:p>
    <w:p>
      <w:pPr>
        <w:pStyle w:val="FirstParagraph"/>
      </w:pPr>
      <w:r>
        <w:t xml:space="preserve">At the outbound low-pressure, high-temperature peak, define</w:t>
      </w:r>
    </w:p>
    <w:p>
      <w:pPr>
        <w:pStyle w:val="BodyText"/>
      </w:pPr>
      <m:oMathPara>
        <m:oMathParaPr>
          <m:jc m:val="center"/>
        </m:oMathParaPr>
        <m:oMath>
          <m:r>
            <m:t>α</m:t>
          </m:r>
          <m:r>
            <m:rPr>
              <m:sty m:val="p"/>
            </m:rPr>
            <m:t>=</m:t>
          </m:r>
          <m:d>
            <m:dPr>
              <m:begChr m:val="("/>
              <m:sepChr m:val=""/>
              <m:endChr m:val=")"/>
              <m:grow/>
            </m:dPr>
            <m:e>
              <m:f>
                <m:fPr>
                  <m:type m:val="bar"/>
                </m:fPr>
                <m:num>
                  <m:sSub>
                    <m:e>
                      <m:r>
                        <m:t>P</m:t>
                      </m:r>
                    </m:e>
                    <m:sub>
                      <m:r>
                        <m:t>s</m:t>
                      </m:r>
                      <m:r>
                        <m:t>e</m:t>
                      </m:r>
                      <m:r>
                        <m:t>a</m:t>
                      </m:r>
                      <m:r>
                        <m:t>l</m:t>
                      </m:r>
                    </m:sub>
                  </m:sSub>
                </m:num>
                <m:den>
                  <m:sSub>
                    <m:e>
                      <m:r>
                        <m:t>P</m:t>
                      </m:r>
                    </m:e>
                    <m:sub>
                      <m:r>
                        <m:t>l</m:t>
                      </m:r>
                      <m:r>
                        <m:t>o</m:t>
                      </m:r>
                      <m:r>
                        <m:t>w</m:t>
                      </m:r>
                    </m:sub>
                  </m:sSub>
                </m:den>
              </m:f>
            </m:e>
          </m:d>
          <m:d>
            <m:dPr>
              <m:begChr m:val="("/>
              <m:sepChr m:val=""/>
              <m:endChr m:val=")"/>
              <m:grow/>
            </m:dPr>
            <m:e>
              <m:f>
                <m:fPr>
                  <m:type m:val="bar"/>
                </m:fPr>
                <m:num>
                  <m:sSub>
                    <m:e>
                      <m:r>
                        <m:t>T</m:t>
                      </m:r>
                    </m:e>
                    <m:sub>
                      <m:r>
                        <m:t>h</m:t>
                      </m:r>
                      <m:r>
                        <m:t>o</m:t>
                      </m:r>
                      <m:r>
                        <m:t>t</m:t>
                      </m:r>
                    </m:sub>
                  </m:sSub>
                </m:num>
                <m:den>
                  <m:sSub>
                    <m:e>
                      <m:r>
                        <m:t>T</m:t>
                      </m:r>
                    </m:e>
                    <m:sub>
                      <m:r>
                        <m:t>s</m:t>
                      </m:r>
                      <m:r>
                        <m:t>e</m:t>
                      </m:r>
                      <m:r>
                        <m:t>a</m:t>
                      </m:r>
                      <m:r>
                        <m:t>l</m:t>
                      </m:r>
                    </m:sub>
                  </m:sSub>
                </m:den>
              </m:f>
            </m:e>
          </m:d>
          <m:r>
            <m:rPr>
              <m:sty m:val="p"/>
            </m:rPr>
            <m:t>.</m:t>
          </m:r>
        </m:oMath>
      </m:oMathPara>
    </w:p>
    <w:p>
      <w:pPr>
        <w:pStyle w:val="FirstParagraph"/>
      </w:pPr>
      <w:r>
        <w:t xml:space="preserve">{#eq-alpha}</w:t>
      </w:r>
    </w:p>
    <w:p>
      <w:pPr>
        <w:pStyle w:val="BodyText"/>
      </w:pPr>
      <w:r>
        <w:t xml:space="preserve">The bag avoids saturation only if</w:t>
      </w:r>
    </w:p>
    <w:p>
      <w:pPr>
        <w:pStyle w:val="BodyText"/>
      </w:pPr>
      <m:oMathPara>
        <m:oMathParaPr>
          <m:jc m:val="center"/>
        </m:oMathParaPr>
        <m:oMath>
          <m:r>
            <m:t>α</m:t>
          </m:r>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i</m:t>
                  </m:r>
                  <m:r>
                    <m:t>n</m:t>
                  </m:r>
                  <m:r>
                    <m:t>i</m:t>
                  </m:r>
                  <m:r>
                    <m:t>t</m:t>
                  </m:r>
                </m:sub>
              </m:sSub>
            </m:e>
          </m:d>
          <m:r>
            <m:rPr>
              <m:sty m:val="p"/>
            </m:rPr>
            <m:t>≤</m:t>
          </m:r>
          <m:sSub>
            <m:e>
              <m:r>
                <m:t>V</m:t>
              </m:r>
            </m:e>
            <m:sub>
              <m:r>
                <m:t>f</m:t>
              </m:r>
              <m:r>
                <m:t>i</m:t>
              </m:r>
              <m:r>
                <m:t>x</m:t>
              </m:r>
              <m:r>
                <m:t>e</m:t>
              </m:r>
              <m:r>
                <m:t>d</m:t>
              </m:r>
            </m:sub>
          </m:sSub>
          <m:r>
            <m:rPr>
              <m:sty m:val="p"/>
            </m:rPr>
            <m:t>+</m:t>
          </m:r>
          <m:sSub>
            <m:e>
              <m:r>
                <m:t>V</m:t>
              </m:r>
            </m:e>
            <m:sub>
              <m:r>
                <m:t>b</m:t>
              </m:r>
              <m:r>
                <m:t>a</m:t>
              </m:r>
              <m:r>
                <m:t>g</m:t>
              </m:r>
              <m:r>
                <m:rPr>
                  <m:sty m:val="p"/>
                </m:rPr>
                <m:t>,</m:t>
              </m:r>
              <m:r>
                <m:t>m</m:t>
              </m:r>
              <m:r>
                <m:t>a</m:t>
              </m:r>
              <m:r>
                <m:t>x</m:t>
              </m:r>
            </m:sub>
          </m:sSub>
          <m:r>
            <m:rPr>
              <m:sty m:val="p"/>
            </m:rPr>
            <m:t>,</m:t>
          </m:r>
        </m:oMath>
      </m:oMathPara>
    </w:p>
    <w:p>
      <w:pPr>
        <w:pStyle w:val="FirstParagraph"/>
      </w:pPr>
      <w:r>
        <w:t xml:space="preserve">which gives</w:t>
      </w:r>
    </w:p>
    <w:p>
      <w:pPr>
        <w:pStyle w:val="BodyText"/>
      </w:pPr>
      <w:bookmarkStart w:id="39" w:name="eq-no-vent"/>
      <m:oMathPara>
        <m:oMathParaPr>
          <m:jc m:val="center"/>
        </m:oMathParaPr>
        <m:oMath>
          <m:sSub>
            <m:e>
              <m:r>
                <m:t>V</m:t>
              </m:r>
            </m:e>
            <m:sub>
              <m:r>
                <m:t>f</m:t>
              </m:r>
              <m:r>
                <m:t>i</m:t>
              </m:r>
              <m:r>
                <m:t>x</m:t>
              </m:r>
              <m:r>
                <m:t>e</m:t>
              </m:r>
              <m:r>
                <m:t>d</m:t>
              </m:r>
            </m:sub>
          </m:sSub>
          <m:r>
            <m:rPr>
              <m:sty m:val="p"/>
            </m:rPr>
            <m:t>≤</m:t>
          </m:r>
          <m:f>
            <m:fPr>
              <m:type m:val="bar"/>
            </m:fPr>
            <m:num>
              <m:sSub>
                <m:e>
                  <m:r>
                    <m:t>V</m:t>
                  </m:r>
                </m:e>
                <m:sub>
                  <m:r>
                    <m:t>b</m:t>
                  </m:r>
                  <m:r>
                    <m:t>a</m:t>
                  </m:r>
                  <m:r>
                    <m:t>g</m:t>
                  </m:r>
                  <m:r>
                    <m:rPr>
                      <m:sty m:val="p"/>
                    </m:rPr>
                    <m:t>,</m:t>
                  </m:r>
                  <m:r>
                    <m:t>m</m:t>
                  </m:r>
                  <m:r>
                    <m:t>a</m:t>
                  </m:r>
                  <m:r>
                    <m:t>x</m:t>
                  </m:r>
                </m:sub>
              </m:sSub>
              <m:r>
                <m:rPr>
                  <m:sty m:val="p"/>
                </m:rPr>
                <m:t>−</m:t>
              </m:r>
              <m:r>
                <m:t>α</m:t>
              </m:r>
              <m:sSub>
                <m:e>
                  <m:r>
                    <m:t>V</m:t>
                  </m:r>
                </m:e>
                <m:sub>
                  <m:r>
                    <m:t>b</m:t>
                  </m:r>
                  <m:r>
                    <m:t>a</m:t>
                  </m:r>
                  <m:r>
                    <m:t>g</m:t>
                  </m:r>
                  <m:r>
                    <m:rPr>
                      <m:sty m:val="p"/>
                    </m:rPr>
                    <m:t>,</m:t>
                  </m:r>
                  <m:r>
                    <m:t>i</m:t>
                  </m:r>
                  <m:r>
                    <m:t>n</m:t>
                  </m:r>
                  <m:r>
                    <m:t>i</m:t>
                  </m:r>
                  <m:r>
                    <m:t>t</m:t>
                  </m:r>
                </m:sub>
              </m:sSub>
            </m:num>
            <m:den>
              <m:r>
                <m:t>α</m:t>
              </m:r>
              <m:r>
                <m:rPr>
                  <m:sty m:val="p"/>
                </m:rPr>
                <m:t>−</m:t>
              </m:r>
              <m:r>
                <m:t>1</m:t>
              </m:r>
            </m:den>
          </m:f>
          <m:r>
            <m:rPr>
              <m:sty m:val="p"/>
            </m:rPr>
            <m:t>.</m:t>
          </m:r>
          <m:r>
            <m:t>  </m:t>
          </m:r>
          <m:r>
            <m:rPr>
              <m:sty m:val="p"/>
            </m:rPr>
            <m:t>(</m:t>
          </m:r>
          <m:r>
            <m:t>1</m:t>
          </m:r>
          <m:r>
            <m:rPr>
              <m:sty m:val="p"/>
            </m:rPr>
            <m:t>)</m:t>
          </m:r>
        </m:oMath>
      </m:oMathPara>
      <w:bookmarkEnd w:id="39"/>
    </w:p>
    <w:p>
      <w:pPr>
        <w:pStyle w:val="FirstParagraph"/>
      </w:pPr>
      <w:r>
        <w:t xml:space="preserve">Using the present transport envelope,</w:t>
      </w:r>
    </w:p>
    <w:p>
      <w:pPr>
        <w:pStyle w:val="BodyText"/>
      </w:pPr>
      <m:oMathPara>
        <m:oMathParaPr>
          <m:jc m:val="center"/>
        </m:oMathParaPr>
        <m:oMath>
          <m:r>
            <m:t>α</m:t>
          </m:r>
          <m:r>
            <m:rPr>
              <m:sty m:val="p"/>
            </m:rPr>
            <m:t>=</m:t>
          </m:r>
          <m:d>
            <m:dPr>
              <m:begChr m:val="("/>
              <m:sepChr m:val=""/>
              <m:endChr m:val=")"/>
              <m:grow/>
            </m:dPr>
            <m:e>
              <m:f>
                <m:fPr>
                  <m:type m:val="bar"/>
                </m:fPr>
                <m:num>
                  <m:r>
                    <m:t>1.01325</m:t>
                  </m:r>
                </m:num>
                <m:den>
                  <m:r>
                    <m:t>0.7630</m:t>
                  </m:r>
                </m:den>
              </m:f>
            </m:e>
          </m:d>
          <m:d>
            <m:dPr>
              <m:begChr m:val="("/>
              <m:sepChr m:val=""/>
              <m:endChr m:val=")"/>
              <m:grow/>
            </m:dPr>
            <m:e>
              <m:f>
                <m:fPr>
                  <m:type m:val="bar"/>
                </m:fPr>
                <m:num>
                  <m:r>
                    <m:t>313.15</m:t>
                  </m:r>
                </m:num>
                <m:den>
                  <m:r>
                    <m:t>293.15</m:t>
                  </m:r>
                </m:den>
              </m:f>
            </m:e>
          </m:d>
          <m:r>
            <m:rPr>
              <m:sty m:val="p"/>
            </m:rPr>
            <m:t>=</m:t>
          </m:r>
          <m:r>
            <m:t>1.4186</m:t>
          </m:r>
        </m:oMath>
      </m:oMathPara>
    </w:p>
    <w:p>
      <w:pPr>
        <w:pStyle w:val="FirstParagraph"/>
      </w:pPr>
      <w:r>
        <w:t xml:space="preserve">and</w:t>
      </w:r>
    </w:p>
    <w:p>
      <w:pPr>
        <w:pStyle w:val="BodyText"/>
      </w:pPr>
      <m:oMathPara>
        <m:oMathParaPr>
          <m:jc m:val="center"/>
        </m:oMathParaPr>
        <m:oMath>
          <m:sSub>
            <m:e>
              <m:r>
                <m:t>V</m:t>
              </m:r>
            </m:e>
            <m:sub>
              <m:r>
                <m:t>f</m:t>
              </m:r>
              <m:r>
                <m:t>i</m:t>
              </m:r>
              <m:r>
                <m:t>x</m:t>
              </m:r>
              <m:r>
                <m:t>e</m:t>
              </m:r>
              <m:r>
                <m:t>d</m:t>
              </m:r>
            </m:sub>
          </m:sSub>
          <m:r>
            <m:rPr>
              <m:sty m:val="p"/>
            </m:rPr>
            <m:t>≤</m:t>
          </m:r>
          <m:f>
            <m:fPr>
              <m:type m:val="bar"/>
            </m:fPr>
            <m:num>
              <m:r>
                <m:t>22</m:t>
              </m:r>
              <m:r>
                <m:rPr>
                  <m:sty m:val="p"/>
                </m:rPr>
                <m:t>−</m:t>
              </m:r>
              <m:r>
                <m:rPr>
                  <m:sty m:val="p"/>
                </m:rPr>
                <m:t>(</m:t>
              </m:r>
              <m:r>
                <m:t>1.4186</m:t>
              </m:r>
              <m:r>
                <m:rPr>
                  <m:sty m:val="p"/>
                </m:rPr>
                <m:t>)</m:t>
              </m:r>
              <m:r>
                <m:rPr>
                  <m:sty m:val="p"/>
                </m:rPr>
                <m:t>(</m:t>
              </m:r>
              <m:r>
                <m:t>11</m:t>
              </m:r>
              <m:r>
                <m:rPr>
                  <m:sty m:val="p"/>
                </m:rPr>
                <m:t>)</m:t>
              </m:r>
            </m:num>
            <m:den>
              <m:r>
                <m:t>1.4186</m:t>
              </m:r>
              <m:r>
                <m:rPr>
                  <m:sty m:val="p"/>
                </m:rPr>
                <m:t>−</m:t>
              </m:r>
              <m:r>
                <m:t>1</m:t>
              </m:r>
            </m:den>
          </m:f>
          <m:r>
            <m:rPr>
              <m:sty m:val="p"/>
            </m:rPr>
            <m:t>=</m:t>
          </m:r>
          <m:r>
            <m:t>15.28</m:t>
          </m:r>
          <m:r>
            <m:t> </m:t>
          </m:r>
          <m:r>
            <m:rPr>
              <m:sty m:val="p"/>
            </m:rPr>
            <m:t>L</m:t>
          </m:r>
          <m:r>
            <m:rPr>
              <m:sty m:val="p"/>
            </m:rPr>
            <m:t>.</m:t>
          </m:r>
        </m:oMath>
      </m:oMathPara>
    </w:p>
    <w:p>
      <w:pPr>
        <w:pStyle w:val="FirstParagraph"/>
      </w:pPr>
      <w:r>
        <w:t xml:space="preserve">Any rigid connected volume above</w:t>
      </w:r>
      <w:r>
        <w:t xml:space="preserve"> </w:t>
      </w:r>
      <w:r>
        <w:rPr>
          <w:b/>
          <w:bCs/>
        </w:rPr>
        <w:t xml:space="preserve">15.28 L</w:t>
      </w:r>
      <w:r>
        <w:t xml:space="preserve"> </w:t>
      </w:r>
      <w:r>
        <w:t xml:space="preserve">must vent on the outbound leg under the ideal-vent assumption.</w:t>
      </w:r>
    </w:p>
    <w:bookmarkEnd w:id="40"/>
    <w:bookmarkStart w:id="43" w:name="X00bd9b3953d658b6efe324ea496f5ab79af9d75"/>
    <w:p>
      <w:pPr>
        <w:pStyle w:val="Heading2"/>
      </w:pPr>
      <w:r>
        <w:t xml:space="preserve">8.2 Threshold 2: Largest Rigid Volume That Still Returns Nonnegative After Venting</w:t>
      </w:r>
    </w:p>
    <w:p>
      <w:pPr>
        <w:pStyle w:val="FirstParagraph"/>
      </w:pPr>
      <w:r>
        <w:t xml:space="preserve">Once the bag is full and the system has vented to the local setpoint,</w:t>
      </w:r>
    </w:p>
    <w:p>
      <w:pPr>
        <w:pStyle w:val="BodyText"/>
      </w:pPr>
      <m:oMathPara>
        <m:oMathParaPr>
          <m:jc m:val="center"/>
        </m:oMathParaPr>
        <m:oMath>
          <m:sSub>
            <m:e>
              <m:r>
                <m:t>P</m:t>
              </m:r>
            </m:e>
            <m:sub>
              <m:r>
                <m:t>p</m:t>
              </m:r>
              <m:r>
                <m:t>e</m:t>
              </m:r>
              <m:r>
                <m:t>a</m:t>
              </m:r>
              <m:r>
                <m:t>k</m:t>
              </m:r>
            </m:sub>
          </m:sSub>
          <m:r>
            <m:rPr>
              <m:sty m:val="p"/>
            </m:rPr>
            <m:t>=</m:t>
          </m:r>
          <m:sSub>
            <m:e>
              <m:r>
                <m:t>P</m:t>
              </m:r>
            </m:e>
            <m:sub>
              <m:r>
                <m:t>l</m:t>
              </m:r>
              <m:r>
                <m:t>o</m:t>
              </m:r>
              <m:r>
                <m:t>w</m:t>
              </m:r>
            </m:sub>
          </m:sSub>
          <m:r>
            <m:rPr>
              <m:sty m:val="p"/>
            </m:rPr>
            <m:t>+</m:t>
          </m:r>
          <m:sSub>
            <m:e>
              <m:r>
                <m:t>P</m:t>
              </m:r>
            </m:e>
            <m:sub>
              <m:r>
                <m:t>v</m:t>
              </m:r>
              <m:r>
                <m:t>e</m:t>
              </m:r>
              <m:r>
                <m:t>n</m:t>
              </m:r>
              <m:r>
                <m:t>t</m:t>
              </m:r>
              <m:r>
                <m:rPr>
                  <m:sty m:val="p"/>
                </m:rPr>
                <m:t>,</m:t>
              </m:r>
              <m:r>
                <m:t>g</m:t>
              </m:r>
            </m:sub>
          </m:sSub>
          <m:r>
            <m:rPr>
              <m:sty m:val="p"/>
            </m:rPr>
            <m:t>.</m:t>
          </m:r>
        </m:oMath>
      </m:oMathPara>
    </w:p>
    <w:p>
      <w:pPr>
        <w:pStyle w:val="FirstParagraph"/>
      </w:pPr>
      <w:r>
        <w:t xml:space="preserve">The retained nitrogen inventory becomes</w:t>
      </w:r>
    </w:p>
    <w:p>
      <w:pPr>
        <w:pStyle w:val="BodyText"/>
      </w:pPr>
      <m:oMathPara>
        <m:oMathParaPr>
          <m:jc m:val="center"/>
        </m:oMathParaPr>
        <m:oMath>
          <m:sSub>
            <m:e>
              <m:r>
                <m:t>n</m:t>
              </m:r>
            </m:e>
            <m:sub>
              <m:r>
                <m:t>r</m:t>
              </m:r>
              <m:r>
                <m:t>e</m:t>
              </m:r>
              <m:r>
                <m:t>t</m:t>
              </m:r>
              <m:r>
                <m:t>a</m:t>
              </m:r>
              <m:r>
                <m:t>i</m:t>
              </m:r>
              <m:r>
                <m:t>n</m:t>
              </m:r>
              <m:r>
                <m:t>e</m:t>
              </m:r>
              <m:r>
                <m:t>d</m:t>
              </m:r>
            </m:sub>
          </m:sSub>
          <m:r>
            <m:rPr>
              <m:sty m:val="p"/>
            </m:rPr>
            <m:t>=</m:t>
          </m:r>
          <m:f>
            <m:fPr>
              <m:type m:val="bar"/>
            </m:fPr>
            <m:num>
              <m:sSub>
                <m:e>
                  <m:r>
                    <m:t>P</m:t>
                  </m:r>
                </m:e>
                <m:sub>
                  <m:r>
                    <m:t>p</m:t>
                  </m:r>
                  <m:r>
                    <m:t>e</m:t>
                  </m:r>
                  <m:r>
                    <m:t>a</m:t>
                  </m:r>
                  <m:r>
                    <m:t>k</m:t>
                  </m:r>
                </m:sub>
              </m:sSub>
              <m:d>
                <m:dPr>
                  <m:begChr m:val="("/>
                  <m:sepChr m:val=""/>
                  <m:endChr m:val=")"/>
                  <m:grow/>
                </m:dPr>
                <m:e>
                  <m:sSub>
                    <m:e>
                      <m:r>
                        <m:t>V</m:t>
                      </m:r>
                    </m:e>
                    <m:sub>
                      <m:r>
                        <m:t>f</m:t>
                      </m:r>
                      <m:r>
                        <m:t>i</m:t>
                      </m:r>
                      <m:r>
                        <m:t>x</m:t>
                      </m:r>
                      <m:r>
                        <m:t>e</m:t>
                      </m:r>
                      <m:r>
                        <m:t>d</m:t>
                      </m:r>
                    </m:sub>
                  </m:sSub>
                  <m:r>
                    <m:rPr>
                      <m:sty m:val="p"/>
                    </m:rPr>
                    <m:t>+</m:t>
                  </m:r>
                  <m:sSub>
                    <m:e>
                      <m:r>
                        <m:t>V</m:t>
                      </m:r>
                    </m:e>
                    <m:sub>
                      <m:r>
                        <m:t>b</m:t>
                      </m:r>
                      <m:r>
                        <m:t>a</m:t>
                      </m:r>
                      <m:r>
                        <m:t>g</m:t>
                      </m:r>
                      <m:r>
                        <m:rPr>
                          <m:sty m:val="p"/>
                        </m:rPr>
                        <m:t>,</m:t>
                      </m:r>
                      <m:r>
                        <m:t>m</m:t>
                      </m:r>
                      <m:r>
                        <m:t>a</m:t>
                      </m:r>
                      <m:r>
                        <m:t>x</m:t>
                      </m:r>
                    </m:sub>
                  </m:sSub>
                </m:e>
              </m:d>
            </m:num>
            <m:den>
              <m:r>
                <m:t>R</m:t>
              </m:r>
              <m:r>
                <m:t> </m:t>
              </m:r>
              <m:sSub>
                <m:e>
                  <m:r>
                    <m:t>T</m:t>
                  </m:r>
                </m:e>
                <m:sub>
                  <m:r>
                    <m:t>p</m:t>
                  </m:r>
                  <m:r>
                    <m:t>e</m:t>
                  </m:r>
                  <m:r>
                    <m:t>a</m:t>
                  </m:r>
                  <m:r>
                    <m:t>k</m:t>
                  </m:r>
                </m:sub>
              </m:sSub>
            </m:den>
          </m:f>
          <m:r>
            <m:rPr>
              <m:sty m:val="p"/>
            </m:rPr>
            <m:t>.</m:t>
          </m:r>
        </m:oMath>
      </m:oMathPara>
    </w:p>
    <w:p>
      <w:pPr>
        <w:pStyle w:val="FirstParagraph"/>
      </w:pPr>
      <w:r>
        <w:t xml:space="preserve">After return, once the bag has collapsed,</w:t>
      </w:r>
    </w:p>
    <w:p>
      <w:pPr>
        <w:pStyle w:val="BodyText"/>
      </w:pPr>
      <m:oMathPara>
        <m:oMathParaPr>
          <m:jc m:val="center"/>
        </m:oMathParaPr>
        <m:oMath>
          <m:sSub>
            <m:e>
              <m:r>
                <m:t>P</m:t>
              </m:r>
            </m:e>
            <m:sub>
              <m:r>
                <m:t>r</m:t>
              </m:r>
              <m:r>
                <m:t>e</m:t>
              </m:r>
              <m:r>
                <m:t>t</m:t>
              </m:r>
              <m:r>
                <m:t>u</m:t>
              </m:r>
              <m:r>
                <m:t>r</m:t>
              </m:r>
              <m:r>
                <m:t>n</m:t>
              </m:r>
              <m:r>
                <m:rPr>
                  <m:sty m:val="p"/>
                </m:rPr>
                <m:t>,</m:t>
              </m:r>
              <m:r>
                <m:t>i</m:t>
              </m:r>
              <m:r>
                <m:t>n</m:t>
              </m:r>
              <m:r>
                <m:t>t</m:t>
              </m:r>
            </m:sub>
          </m:sSub>
          <m:r>
            <m:rPr>
              <m:sty m:val="p"/>
            </m:rPr>
            <m:t>=</m:t>
          </m:r>
          <m:sSub>
            <m:e>
              <m:r>
                <m:t>P</m:t>
              </m:r>
            </m:e>
            <m:sub>
              <m:r>
                <m:t>p</m:t>
              </m:r>
              <m:r>
                <m:t>e</m:t>
              </m:r>
              <m:r>
                <m:t>a</m:t>
              </m:r>
              <m:r>
                <m:t>k</m:t>
              </m:r>
            </m:sub>
          </m:sSub>
          <m:d>
            <m:dPr>
              <m:begChr m:val="("/>
              <m:sepChr m:val=""/>
              <m:endChr m:val=")"/>
              <m:grow/>
            </m:dPr>
            <m:e>
              <m:r>
                <m:t>1</m:t>
              </m:r>
              <m:r>
                <m:rPr>
                  <m:sty m:val="p"/>
                </m:rPr>
                <m:t>+</m:t>
              </m:r>
              <m:f>
                <m:fPr>
                  <m:type m:val="bar"/>
                </m:fPr>
                <m:num>
                  <m:sSub>
                    <m:e>
                      <m:r>
                        <m:t>V</m:t>
                      </m:r>
                    </m:e>
                    <m:sub>
                      <m:r>
                        <m:t>b</m:t>
                      </m:r>
                      <m:r>
                        <m:t>a</m:t>
                      </m:r>
                      <m:r>
                        <m:t>g</m:t>
                      </m:r>
                      <m:r>
                        <m:rPr>
                          <m:sty m:val="p"/>
                        </m:rPr>
                        <m:t>,</m:t>
                      </m:r>
                      <m:r>
                        <m:t>m</m:t>
                      </m:r>
                      <m:r>
                        <m:t>a</m:t>
                      </m:r>
                      <m:r>
                        <m:t>x</m:t>
                      </m:r>
                    </m:sub>
                  </m:sSub>
                </m:num>
                <m:den>
                  <m:sSub>
                    <m:e>
                      <m:r>
                        <m:t>V</m:t>
                      </m:r>
                    </m:e>
                    <m:sub>
                      <m:r>
                        <m:t>f</m:t>
                      </m:r>
                      <m:r>
                        <m:t>i</m:t>
                      </m:r>
                      <m:r>
                        <m:t>x</m:t>
                      </m:r>
                      <m:r>
                        <m:t>e</m:t>
                      </m:r>
                      <m:r>
                        <m:t>d</m:t>
                      </m:r>
                    </m:sub>
                  </m:sSub>
                </m:den>
              </m:f>
            </m:e>
          </m:d>
          <m:f>
            <m:fPr>
              <m:type m:val="bar"/>
            </m:fPr>
            <m:num>
              <m:sSub>
                <m:e>
                  <m:r>
                    <m:t>T</m:t>
                  </m:r>
                </m:e>
                <m:sub>
                  <m:r>
                    <m:t>r</m:t>
                  </m:r>
                  <m:r>
                    <m:t>e</m:t>
                  </m:r>
                  <m:r>
                    <m:t>t</m:t>
                  </m:r>
                  <m:r>
                    <m:t>u</m:t>
                  </m:r>
                  <m:r>
                    <m:t>r</m:t>
                  </m:r>
                  <m:r>
                    <m:t>n</m:t>
                  </m:r>
                </m:sub>
              </m:sSub>
            </m:num>
            <m:den>
              <m:sSub>
                <m:e>
                  <m:r>
                    <m:t>T</m:t>
                  </m:r>
                </m:e>
                <m:sub>
                  <m:r>
                    <m:t>p</m:t>
                  </m:r>
                  <m:r>
                    <m:t>e</m:t>
                  </m:r>
                  <m:r>
                    <m:t>a</m:t>
                  </m:r>
                  <m:r>
                    <m:t>k</m:t>
                  </m:r>
                </m:sub>
              </m:sSub>
            </m:den>
          </m:f>
          <m:r>
            <m:rPr>
              <m:sty m:val="p"/>
            </m:rPr>
            <m:t>.</m:t>
          </m:r>
        </m:oMath>
      </m:oMathPara>
    </w:p>
    <w:p>
      <w:pPr>
        <w:pStyle w:val="FirstParagraph"/>
      </w:pPr>
      <w:r>
        <w:t xml:space="preserve">To require a minimum return pressure margin</w:t>
      </w:r>
      <w:r>
        <w:t xml:space="preserve"> </w:t>
      </w:r>
      <m:oMath>
        <m:r>
          <m:rPr>
            <m:sty m:val="p"/>
          </m:rPr>
          <m:t>Δ</m:t>
        </m:r>
        <m:sSub>
          <m:e>
            <m:r>
              <m:t>P</m:t>
            </m:r>
          </m:e>
          <m:sub>
            <m:r>
              <m:t>r</m:t>
            </m:r>
            <m:r>
              <m:t>e</m:t>
            </m:r>
            <m:r>
              <m:t>q</m:t>
            </m:r>
          </m:sub>
        </m:sSub>
      </m:oMath>
      <w:r>
        <w:t xml:space="preserve">, define</w:t>
      </w:r>
    </w:p>
    <w:p>
      <w:pPr>
        <w:pStyle w:val="BodyText"/>
      </w:pPr>
      <m:oMathPara>
        <m:oMathParaPr>
          <m:jc m:val="center"/>
        </m:oMathParaPr>
        <m:oMath>
          <m:r>
            <m:t>γ</m:t>
          </m:r>
          <m:r>
            <m:rPr>
              <m:sty m:val="p"/>
            </m:rPr>
            <m:t>(</m:t>
          </m:r>
          <m:r>
            <m:rPr>
              <m:sty m:val="p"/>
            </m:rPr>
            <m:t>Δ</m:t>
          </m:r>
          <m:sSub>
            <m:e>
              <m:r>
                <m:t>P</m:t>
              </m:r>
            </m:e>
            <m:sub>
              <m:r>
                <m:t>r</m:t>
              </m:r>
              <m:r>
                <m:t>e</m:t>
              </m:r>
              <m:r>
                <m:t>q</m:t>
              </m:r>
            </m:sub>
          </m:sSub>
          <m:r>
            <m:rPr>
              <m:sty m:val="p"/>
            </m:rPr>
            <m:t>)</m:t>
          </m:r>
          <m:r>
            <m:rPr>
              <m:sty m:val="p"/>
            </m:rPr>
            <m:t>=</m:t>
          </m:r>
          <m:f>
            <m:fPr>
              <m:type m:val="bar"/>
            </m:fPr>
            <m:num>
              <m:d>
                <m:dPr>
                  <m:begChr m:val="("/>
                  <m:sepChr m:val=""/>
                  <m:endChr m:val=")"/>
                  <m:grow/>
                </m:dPr>
                <m:e>
                  <m:sSub>
                    <m:e>
                      <m:r>
                        <m:t>P</m:t>
                      </m:r>
                    </m:e>
                    <m:sub>
                      <m:r>
                        <m:t>r</m:t>
                      </m:r>
                      <m:r>
                        <m:t>e</m:t>
                      </m:r>
                      <m:r>
                        <m:t>t</m:t>
                      </m:r>
                      <m:r>
                        <m:t>u</m:t>
                      </m:r>
                      <m:r>
                        <m:t>r</m:t>
                      </m:r>
                      <m:r>
                        <m:t>n</m:t>
                      </m:r>
                      <m:r>
                        <m:rPr>
                          <m:sty m:val="p"/>
                        </m:rPr>
                        <m:t>,</m:t>
                      </m:r>
                      <m:r>
                        <m:t>a</m:t>
                      </m:r>
                      <m:r>
                        <m:t>m</m:t>
                      </m:r>
                      <m:r>
                        <m:t>b</m:t>
                      </m:r>
                    </m:sub>
                  </m:sSub>
                  <m:r>
                    <m:rPr>
                      <m:sty m:val="p"/>
                    </m:rPr>
                    <m:t>+</m:t>
                  </m:r>
                  <m:r>
                    <m:rPr>
                      <m:sty m:val="p"/>
                    </m:rPr>
                    <m:t>Δ</m:t>
                  </m:r>
                  <m:sSub>
                    <m:e>
                      <m:r>
                        <m:t>P</m:t>
                      </m:r>
                    </m:e>
                    <m:sub>
                      <m:r>
                        <m:t>r</m:t>
                      </m:r>
                      <m:r>
                        <m:t>e</m:t>
                      </m:r>
                      <m:r>
                        <m:t>q</m:t>
                      </m:r>
                    </m:sub>
                  </m:sSub>
                </m:e>
              </m:d>
              <m:sSub>
                <m:e>
                  <m:r>
                    <m:t>T</m:t>
                  </m:r>
                </m:e>
                <m:sub>
                  <m:r>
                    <m:t>p</m:t>
                  </m:r>
                  <m:r>
                    <m:t>e</m:t>
                  </m:r>
                  <m:r>
                    <m:t>a</m:t>
                  </m:r>
                  <m:r>
                    <m:t>k</m:t>
                  </m:r>
                </m:sub>
              </m:sSub>
            </m:num>
            <m:den>
              <m:sSub>
                <m:e>
                  <m:r>
                    <m:t>P</m:t>
                  </m:r>
                </m:e>
                <m:sub>
                  <m:r>
                    <m:t>p</m:t>
                  </m:r>
                  <m:r>
                    <m:t>e</m:t>
                  </m:r>
                  <m:r>
                    <m:t>a</m:t>
                  </m:r>
                  <m:r>
                    <m:t>k</m:t>
                  </m:r>
                </m:sub>
              </m:sSub>
              <m:sSub>
                <m:e>
                  <m:r>
                    <m:t>T</m:t>
                  </m:r>
                </m:e>
                <m:sub>
                  <m:r>
                    <m:t>r</m:t>
                  </m:r>
                  <m:r>
                    <m:t>e</m:t>
                  </m:r>
                  <m:r>
                    <m:t>t</m:t>
                  </m:r>
                  <m:r>
                    <m:t>u</m:t>
                  </m:r>
                  <m:r>
                    <m:t>r</m:t>
                  </m:r>
                  <m:r>
                    <m:t>n</m:t>
                  </m:r>
                </m:sub>
              </m:sSub>
            </m:den>
          </m:f>
          <m:r>
            <m:rPr>
              <m:sty m:val="p"/>
            </m:rPr>
            <m:t>.</m:t>
          </m:r>
        </m:oMath>
      </m:oMathPara>
    </w:p>
    <w:p>
      <w:pPr>
        <w:pStyle w:val="FirstParagraph"/>
      </w:pPr>
      <w:r>
        <w:t xml:space="preserve">{#eq-gamma}</w:t>
      </w:r>
    </w:p>
    <w:p>
      <w:pPr>
        <w:pStyle w:val="BodyText"/>
      </w:pPr>
      <w:r>
        <w:t xml:space="preserve">Then the acceptable rigid volume must satisfy</w:t>
      </w:r>
    </w:p>
    <w:p>
      <w:pPr>
        <w:pStyle w:val="BodyText"/>
      </w:pPr>
      <w:bookmarkStart w:id="41" w:name="eq-return-threshold"/>
      <m:oMathPara>
        <m:oMathParaPr>
          <m:jc m:val="center"/>
        </m:oMathParaPr>
        <m:oMath>
          <m:sSub>
            <m:e>
              <m:r>
                <m:t>V</m:t>
              </m:r>
            </m:e>
            <m:sub>
              <m:r>
                <m:t>f</m:t>
              </m:r>
              <m:r>
                <m:t>i</m:t>
              </m:r>
              <m:r>
                <m:t>x</m:t>
              </m:r>
              <m:r>
                <m:t>e</m:t>
              </m:r>
              <m:r>
                <m:t>d</m:t>
              </m:r>
            </m:sub>
          </m:sSub>
          <m:r>
            <m:rPr>
              <m:sty m:val="p"/>
            </m:rPr>
            <m:t>≤</m:t>
          </m:r>
          <m:f>
            <m:fPr>
              <m:type m:val="bar"/>
            </m:fPr>
            <m:num>
              <m:sSub>
                <m:e>
                  <m:r>
                    <m:t>V</m:t>
                  </m:r>
                </m:e>
                <m:sub>
                  <m:r>
                    <m:t>b</m:t>
                  </m:r>
                  <m:r>
                    <m:t>a</m:t>
                  </m:r>
                  <m:r>
                    <m:t>g</m:t>
                  </m:r>
                  <m:r>
                    <m:rPr>
                      <m:sty m:val="p"/>
                    </m:rPr>
                    <m:t>,</m:t>
                  </m:r>
                  <m:r>
                    <m:t>m</m:t>
                  </m:r>
                  <m:r>
                    <m:t>a</m:t>
                  </m:r>
                  <m:r>
                    <m:t>x</m:t>
                  </m:r>
                </m:sub>
              </m:sSub>
            </m:num>
            <m:den>
              <m:r>
                <m:t>γ</m:t>
              </m:r>
              <m:r>
                <m:rPr>
                  <m:sty m:val="p"/>
                </m:rPr>
                <m:t>(</m:t>
              </m:r>
              <m:r>
                <m:rPr>
                  <m:sty m:val="p"/>
                </m:rPr>
                <m:t>Δ</m:t>
              </m:r>
              <m:sSub>
                <m:e>
                  <m:r>
                    <m:t>P</m:t>
                  </m:r>
                </m:e>
                <m:sub>
                  <m:r>
                    <m:t>r</m:t>
                  </m:r>
                  <m:r>
                    <m:t>e</m:t>
                  </m:r>
                  <m:r>
                    <m:t>q</m:t>
                  </m:r>
                </m:sub>
              </m:sSub>
              <m:r>
                <m:rPr>
                  <m:sty m:val="p"/>
                </m:rPr>
                <m:t>)</m:t>
              </m:r>
              <m:r>
                <m:rPr>
                  <m:sty m:val="p"/>
                </m:rPr>
                <m:t>−</m:t>
              </m:r>
              <m:r>
                <m:t>1</m:t>
              </m:r>
            </m:den>
          </m:f>
          <m:r>
            <m:rPr>
              <m:sty m:val="p"/>
            </m:rPr>
            <m:t>.</m:t>
          </m:r>
          <m:r>
            <m:t>  </m:t>
          </m:r>
          <m:r>
            <m:rPr>
              <m:sty m:val="p"/>
            </m:rPr>
            <m:t>(</m:t>
          </m:r>
          <m:r>
            <m:t>2</m:t>
          </m:r>
          <m:r>
            <m:rPr>
              <m:sty m:val="p"/>
            </m:rPr>
            <m:t>)</m:t>
          </m:r>
        </m:oMath>
      </m:oMathPara>
      <w:bookmarkEnd w:id="41"/>
    </w:p>
    <w:p>
      <w:pPr>
        <w:pStyle w:val="FirstParagraph"/>
      </w:pPr>
      <w:r>
        <w:t xml:space="preserve">For the nonnegative-return case under ideal venting,</w:t>
      </w:r>
    </w:p>
    <w:p>
      <w:pPr>
        <w:pStyle w:val="BodyText"/>
      </w:pPr>
      <m:oMathPara>
        <m:oMathParaPr>
          <m:jc m:val="center"/>
        </m:oMathParaPr>
        <m:oMath>
          <m:r>
            <m:t>γ</m:t>
          </m:r>
          <m:r>
            <m:rPr>
              <m:sty m:val="p"/>
            </m:rPr>
            <m:t>(</m:t>
          </m:r>
          <m:r>
            <m:t>0</m:t>
          </m:r>
          <m:r>
            <m:rPr>
              <m:sty m:val="p"/>
            </m:rPr>
            <m:t>)</m:t>
          </m:r>
          <m:r>
            <m:rPr>
              <m:sty m:val="p"/>
            </m:rPr>
            <m:t>=</m:t>
          </m:r>
          <m:f>
            <m:fPr>
              <m:type m:val="bar"/>
            </m:fPr>
            <m:num>
              <m:r>
                <m:rPr>
                  <m:sty m:val="p"/>
                </m:rPr>
                <m:t>(</m:t>
              </m:r>
              <m:r>
                <m:t>1.01325</m:t>
              </m:r>
              <m:r>
                <m:rPr>
                  <m:sty m:val="p"/>
                </m:rPr>
                <m:t>)</m:t>
              </m:r>
              <m:r>
                <m:rPr>
                  <m:sty m:val="p"/>
                </m:rPr>
                <m:t>(</m:t>
              </m:r>
              <m:r>
                <m:t>313.15</m:t>
              </m:r>
              <m:r>
                <m:rPr>
                  <m:sty m:val="p"/>
                </m:rPr>
                <m:t>)</m:t>
              </m:r>
            </m:num>
            <m:den>
              <m:r>
                <m:rPr>
                  <m:sty m:val="p"/>
                </m:rPr>
                <m:t>(</m:t>
              </m:r>
              <m:r>
                <m:t>0.7630</m:t>
              </m:r>
              <m:r>
                <m:rPr>
                  <m:sty m:val="p"/>
                </m:rPr>
                <m:t>)</m:t>
              </m:r>
              <m:r>
                <m:rPr>
                  <m:sty m:val="p"/>
                </m:rPr>
                <m:t>(</m:t>
              </m:r>
              <m:r>
                <m:t>293.15</m:t>
              </m:r>
              <m:r>
                <m:rPr>
                  <m:sty m:val="p"/>
                </m:rPr>
                <m:t>)</m:t>
              </m:r>
            </m:den>
          </m:f>
          <m:r>
            <m:rPr>
              <m:sty m:val="p"/>
            </m:rPr>
            <m:t>=</m:t>
          </m:r>
          <m:r>
            <m:t>1.4186</m:t>
          </m:r>
        </m:oMath>
      </m:oMathPara>
    </w:p>
    <w:p>
      <w:pPr>
        <w:pStyle w:val="FirstParagraph"/>
      </w:pPr>
      <w:r>
        <w:t xml:space="preserve">and</w:t>
      </w:r>
    </w:p>
    <w:p>
      <w:pPr>
        <w:pStyle w:val="BodyText"/>
      </w:pPr>
      <m:oMathPara>
        <m:oMathParaPr>
          <m:jc m:val="center"/>
        </m:oMathParaPr>
        <m:oMath>
          <m:sSub>
            <m:e>
              <m:r>
                <m:t>V</m:t>
              </m:r>
            </m:e>
            <m:sub>
              <m:r>
                <m:t>f</m:t>
              </m:r>
              <m:r>
                <m:t>i</m:t>
              </m:r>
              <m:r>
                <m:t>x</m:t>
              </m:r>
              <m:r>
                <m:t>e</m:t>
              </m:r>
              <m:r>
                <m:t>d</m:t>
              </m:r>
            </m:sub>
          </m:sSub>
          <m:r>
            <m:rPr>
              <m:sty m:val="p"/>
            </m:rPr>
            <m:t>≤</m:t>
          </m:r>
          <m:f>
            <m:fPr>
              <m:type m:val="bar"/>
            </m:fPr>
            <m:num>
              <m:r>
                <m:t>22</m:t>
              </m:r>
            </m:num>
            <m:den>
              <m:r>
                <m:t>1.4186</m:t>
              </m:r>
              <m:r>
                <m:rPr>
                  <m:sty m:val="p"/>
                </m:rPr>
                <m:t>−</m:t>
              </m:r>
              <m:r>
                <m:t>1</m:t>
              </m:r>
            </m:den>
          </m:f>
          <m:r>
            <m:rPr>
              <m:sty m:val="p"/>
            </m:rPr>
            <m:t>=</m:t>
          </m:r>
          <m:r>
            <m:t>52.55</m:t>
          </m:r>
          <m:r>
            <m:t> </m:t>
          </m:r>
          <m:r>
            <m:rPr>
              <m:sty m:val="p"/>
            </m:rPr>
            <m:t>L</m:t>
          </m:r>
          <m:r>
            <m:rPr>
              <m:sty m:val="p"/>
            </m:rPr>
            <m:t>.</m:t>
          </m:r>
        </m:oMath>
      </m:oMathPara>
    </w:p>
    <w:p>
      <w:pPr>
        <w:pStyle w:val="FirstParagraph"/>
      </w:pPr>
      <w:r>
        <w:t xml:space="preserve">Under ideal outward venting, any rigid connected volume above</w:t>
      </w:r>
      <w:r>
        <w:t xml:space="preserve"> </w:t>
      </w:r>
      <w:r>
        <w:rPr>
          <w:b/>
          <w:bCs/>
        </w:rPr>
        <w:t xml:space="preserve">52.55 L</w:t>
      </w:r>
      <w:r>
        <w:t xml:space="preserve"> </w:t>
      </w:r>
      <w:r>
        <w:t xml:space="preserve">must go sub-atmospheric on the return leg.</w:t>
      </w:r>
    </w:p>
    <w:tbl>
      <w:tblPr>
        <w:tblStyle w:val="Table"/>
        <w:tblW w:type="pct" w:w="5000"/>
        <w:tblLayout w:type="fixed"/>
        <w:tblLook w:firstRow="0" w:lastRow="0" w:firstColumn="0" w:lastColumn="0" w:noHBand="0" w:noVBand="0" w:val="0000"/>
      </w:tblPr>
      <w:tblGrid>
        <w:gridCol w:w="7920"/>
      </w:tblGrid>
      <w:tr>
        <w:tc>
          <w:tcPr/>
          <w:bookmarkStart w:id="42" w:name="tbl-thresholds"/>
          <w:p>
            <w:pPr>
              <w:jc w:val="center"/>
            </w:pPr>
            <w:pPr>
              <w:jc w:val="left"/>
              <w:spacing w:before="200"/>
              <w:pStyle w:val="ImageCaption"/>
            </w:pPr>
            <w:r>
              <w:t xml:space="preserve">Table 4: Threshold volumes from the MATLAB quasi-static screening tables. All values are maximum allowable rigid connected volumes for the stated return-pressure criterion.</w:t>
            </w:r>
          </w:p>
          <w:tbl>
            <w:tblPr>
              <w:tblStyle w:val="Table"/>
              <w:tblW w:type="pct" w:w="5000"/>
              <w:tblLayout w:type="fixed"/>
              <w:tblLook w:firstRow="1" w:lastRow="0" w:firstColumn="0" w:lastColumn="0" w:noHBand="0" w:noVBand="0" w:val="0020"/>
            </w:tblPr>
            <w:tblGrid>
              <w:gridCol w:w="2217"/>
              <w:gridCol w:w="1425"/>
              <w:gridCol w:w="1425"/>
              <w:gridCol w:w="1425"/>
              <w:gridCol w:w="1425"/>
            </w:tblGrid>
            <w:tr>
              <w:trPr>
                <w:tblHeader w:val="on"/>
              </w:trPr>
              <w:tc>
                <w:tcPr/>
                <w:p>
                  <w:pPr>
                    <w:pStyle w:val="Compact"/>
                    <w:jc w:val="left"/>
                    <w:jc w:val="center"/>
                  </w:pPr>
                  <w:r>
                    <w:t xml:space="preserve">Outward vent assumption</w:t>
                  </w:r>
                </w:p>
              </w:tc>
              <w:tc>
                <w:tcPr/>
                <w:p>
                  <w:pPr>
                    <w:pStyle w:val="Compact"/>
                    <w:jc w:val="right"/>
                    <w:jc w:val="center"/>
                  </w:pPr>
                  <w:r>
                    <w:t xml:space="preserve">No vent threshold</w:t>
                  </w:r>
                </w:p>
              </w:tc>
              <w:tc>
                <w:tcPr/>
                <w:p>
                  <w:pPr>
                    <w:pStyle w:val="Compact"/>
                    <w:jc w:val="right"/>
                    <w:jc w:val="center"/>
                  </w:pPr>
                  <w:r>
                    <w:t xml:space="preserve">Return</w:t>
                  </w:r>
                  <w:r>
                    <w:t xml:space="preserve"> </w:t>
                  </w:r>
                  <m:oMath>
                    <m:r>
                      <m:rPr>
                        <m:sty m:val="p"/>
                      </m:rPr>
                      <m:t>≥</m:t>
                    </m:r>
                    <m:r>
                      <m:t>0</m:t>
                    </m:r>
                  </m:oMath>
                  <w:r>
                    <w:t xml:space="preserve"> </w:t>
                  </w:r>
                  <w:r>
                    <w:t xml:space="preserve">bar</w:t>
                  </w:r>
                </w:p>
              </w:tc>
              <w:tc>
                <w:tcPr/>
                <w:p>
                  <w:pPr>
                    <w:pStyle w:val="Compact"/>
                    <w:jc w:val="right"/>
                    <w:jc w:val="center"/>
                  </w:pPr>
                  <w:r>
                    <w:t xml:space="preserve">Return</w:t>
                  </w:r>
                  <w:r>
                    <w:t xml:space="preserve"> </w:t>
                  </w:r>
                  <m:oMath>
                    <m:r>
                      <m:rPr>
                        <m:sty m:val="p"/>
                      </m:rPr>
                      <m:t>≥</m:t>
                    </m:r>
                    <m:r>
                      <m:rPr>
                        <m:sty m:val="p"/>
                      </m:rPr>
                      <m:t>+</m:t>
                    </m:r>
                    <m:r>
                      <m:t>0.01</m:t>
                    </m:r>
                  </m:oMath>
                  <w:r>
                    <w:t xml:space="preserve"> </w:t>
                  </w:r>
                  <w:r>
                    <w:t xml:space="preserve">bar</w:t>
                  </w:r>
                </w:p>
              </w:tc>
              <w:tc>
                <w:tcPr/>
                <w:p>
                  <w:pPr>
                    <w:pStyle w:val="Compact"/>
                    <w:jc w:val="right"/>
                    <w:jc w:val="center"/>
                  </w:pPr>
                  <w:r>
                    <w:t xml:space="preserve">Return</w:t>
                  </w:r>
                  <w:r>
                    <w:t xml:space="preserve"> </w:t>
                  </w:r>
                  <m:oMath>
                    <m:r>
                      <m:rPr>
                        <m:sty m:val="p"/>
                      </m:rPr>
                      <m:t>≥</m:t>
                    </m:r>
                    <m:r>
                      <m:rPr>
                        <m:sty m:val="p"/>
                      </m:rPr>
                      <m:t>+</m:t>
                    </m:r>
                    <m:r>
                      <m:t>0.02</m:t>
                    </m:r>
                  </m:oMath>
                  <w:r>
                    <w:t xml:space="preserve"> </w:t>
                  </w:r>
                  <w:r>
                    <w:t xml:space="preserve">bar</w:t>
                  </w:r>
                </w:p>
              </w:tc>
            </w:tr>
            <w:tr>
              <w:tc>
                <w:tcPr/>
                <w:p>
                  <w:pPr>
                    <w:pStyle w:val="Compact"/>
                    <w:jc w:val="left"/>
                    <w:jc w:val="center"/>
                  </w:pPr>
                  <w:r>
                    <w:t xml:space="preserve">Ideal vent (</w:t>
                  </w:r>
                  <w:r>
                    <w:rPr>
                      <w:rStyle w:val="VerbatimChar"/>
                    </w:rPr>
                    <w:t xml:space="preserve">0 psig</w:t>
                  </w:r>
                  <w:r>
                    <w:t xml:space="preserve">)</w:t>
                  </w:r>
                </w:p>
              </w:tc>
              <w:tc>
                <w:tcPr/>
                <w:p>
                  <w:pPr>
                    <w:pStyle w:val="Compact"/>
                    <w:jc w:val="right"/>
                    <w:jc w:val="center"/>
                  </w:pPr>
                  <w:r>
                    <w:t xml:space="preserve">15.28 L</w:t>
                  </w:r>
                </w:p>
              </w:tc>
              <w:tc>
                <w:tcPr/>
                <w:p>
                  <w:pPr>
                    <w:pStyle w:val="Compact"/>
                    <w:jc w:val="right"/>
                    <w:jc w:val="center"/>
                  </w:pPr>
                  <w:r>
                    <w:t xml:space="preserve">52.55 L</w:t>
                  </w:r>
                </w:p>
              </w:tc>
              <w:tc>
                <w:tcPr/>
                <w:p>
                  <w:pPr>
                    <w:pStyle w:val="Compact"/>
                    <w:jc w:val="right"/>
                    <w:jc w:val="center"/>
                  </w:pPr>
                  <w:r>
                    <w:t xml:space="preserve">50.85 L</w:t>
                  </w:r>
                </w:p>
              </w:tc>
              <w:tc>
                <w:tcPr/>
                <w:p>
                  <w:pPr>
                    <w:pStyle w:val="Compact"/>
                    <w:jc w:val="right"/>
                    <w:jc w:val="center"/>
                  </w:pPr>
                  <w:r>
                    <w:t xml:space="preserve">49.26 L</w:t>
                  </w:r>
                </w:p>
              </w:tc>
            </w:tr>
            <w:tr>
              <w:tc>
                <w:tcPr/>
                <w:p>
                  <w:pPr>
                    <w:pStyle w:val="Compact"/>
                    <w:jc w:val="left"/>
                    <w:jc w:val="center"/>
                  </w:pPr>
                  <w:r>
                    <w:t xml:space="preserve">Vent threshold</w:t>
                  </w:r>
                  <w:r>
                    <w:t xml:space="preserve"> </w:t>
                  </w:r>
                  <w:r>
                    <w:rPr>
                      <w:rStyle w:val="VerbatimChar"/>
                    </w:rPr>
                    <w:t xml:space="preserve">2 psig</w:t>
                  </w:r>
                </w:p>
              </w:tc>
              <w:tc>
                <w:tcPr/>
                <w:p>
                  <w:pPr>
                    <w:pStyle w:val="Compact"/>
                    <w:jc w:val="right"/>
                    <w:jc w:val="center"/>
                  </w:pPr>
                  <w:r>
                    <w:t xml:space="preserve">15.28 L</w:t>
                  </w:r>
                </w:p>
              </w:tc>
              <w:tc>
                <w:tcPr/>
                <w:p>
                  <w:pPr>
                    <w:pStyle w:val="Compact"/>
                    <w:jc w:val="right"/>
                    <w:jc w:val="center"/>
                  </w:pPr>
                  <w:r>
                    <w:t xml:space="preserve">109.19 L</w:t>
                  </w:r>
                </w:p>
              </w:tc>
              <w:tc>
                <w:tcPr/>
                <w:p>
                  <w:pPr>
                    <w:pStyle w:val="Compact"/>
                    <w:jc w:val="right"/>
                    <w:jc w:val="center"/>
                  </w:pPr>
                  <w:r>
                    <w:t xml:space="preserve">103.12 L</w:t>
                  </w:r>
                </w:p>
              </w:tc>
              <w:tc>
                <w:tcPr/>
                <w:p>
                  <w:pPr>
                    <w:pStyle w:val="Compact"/>
                    <w:jc w:val="right"/>
                    <w:jc w:val="center"/>
                  </w:pPr>
                  <w:r>
                    <w:t xml:space="preserve">97.69 L</w:t>
                  </w:r>
                </w:p>
              </w:tc>
            </w:tr>
          </w:tbl>
          <w:bookmarkEnd w:id="42"/>
          <w:p/>
        </w:tc>
      </w:tr>
    </w:tbl>
    <w:p>
      <w:pPr>
        <w:pStyle w:val="BodyText"/>
      </w:pPr>
      <w:hyperlink w:anchor="tbl-thresholds">
        <w:r>
          <w:rPr>
            <w:rStyle w:val="Hyperlink"/>
          </w:rPr>
          <w:t xml:space="preserve">Table 4</w:t>
        </w:r>
      </w:hyperlink>
      <w:r>
        <w:t xml:space="preserve"> </w:t>
      </w:r>
      <w:r>
        <w:t xml:space="preserve">shows that increasing the outward vent threshold delays mass loss and increases the return-leg threshold, but it does not remove the mechanism. The failure remains a mass-inventory problem. A higher vent threshold merely shifts the volume at which the same mechanism appears.</w:t>
      </w:r>
    </w:p>
    <w:bookmarkEnd w:id="43"/>
    <w:bookmarkEnd w:id="44"/>
    <w:bookmarkStart w:id="56" w:name="sec-results"/>
    <w:p>
      <w:pPr>
        <w:pStyle w:val="Heading1"/>
      </w:pPr>
      <w:r>
        <w:t xml:space="preserve">9. Quasi-Static Shipping-Cycle Results</w:t>
      </w:r>
    </w:p>
    <w:p>
      <w:pPr>
        <w:pStyle w:val="FirstParagraph"/>
      </w:pPr>
      <w:hyperlink w:anchor="fig-min-dp-sweep">
        <w:r>
          <w:rPr>
            <w:rStyle w:val="Hyperlink"/>
          </w:rPr>
          <w:t xml:space="preserve">Figure 3</w:t>
        </w:r>
      </w:hyperlink>
      <w:r>
        <w:t xml:space="preserve"> </w:t>
      </w:r>
      <w:r>
        <w:t xml:space="preserve">is the visual anchor for the design space. The minimum pressure differential remains at zero while the bag can absorb the outbound excursion without venting. Once venting becomes unavoidable, the pressure margin erodes rapidly with increasing</w:t>
      </w:r>
      <w:r>
        <w:t xml:space="preserve"> </w:t>
      </w:r>
      <m:oMath>
        <m:sSub>
          <m:e>
            <m:r>
              <m:t>V</m:t>
            </m:r>
          </m:e>
          <m:sub>
            <m:r>
              <m:t>f</m:t>
            </m:r>
            <m:r>
              <m:t>i</m:t>
            </m:r>
            <m:r>
              <m:t>x</m:t>
            </m:r>
            <m:r>
              <m:t>e</m:t>
            </m:r>
            <m:r>
              <m:t>d</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48" w:name="fig-min-dp-sweep"/>
          <w:p>
            <w:pPr>
              <w:pStyle w:val="Compact"/>
              <w:jc w:val="center"/>
            </w:pPr>
            <w:r>
              <w:drawing>
                <wp:inline>
                  <wp:extent cx="5334000" cy="3677572"/>
                  <wp:effectExtent b="0" l="0" r="0" t="0"/>
                  <wp:docPr descr="" title="" id="46" name="Picture"/>
                  <a:graphic>
                    <a:graphicData uri="http://schemas.openxmlformats.org/drawingml/2006/picture">
                      <pic:pic>
                        <pic:nvPicPr>
                          <pic:cNvPr descr="generated/PIR-SH-001_quasistatic_min_dp_sweep.png" id="47" name="Picture"/>
                          <pic:cNvPicPr>
                            <a:picLocks noChangeArrowheads="1" noChangeAspect="1"/>
                          </pic:cNvPicPr>
                        </pic:nvPicPr>
                        <pic:blipFill>
                          <a:blip r:embed="rId45"/>
                          <a:stretch>
                            <a:fillRect/>
                          </a:stretch>
                        </pic:blipFill>
                        <pic:spPr bwMode="auto">
                          <a:xfrm>
                            <a:off x="0" y="0"/>
                            <a:ext cx="5334000" cy="367757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Minimum internal-minus-ambient pressure versus rigid connected volume for the two vent assumptions evaluated in the MATLAB model. The ideal-vent case crosses below zero at 52.55 L, and the 2 psig case shifts that crossing to 109.19 L.</w:t>
            </w:r>
          </w:p>
          <w:bookmarkEnd w:id="48"/>
        </w:tc>
      </w:tr>
    </w:tbl>
    <w:p>
      <w:pPr>
        <w:pStyle w:val="BodyText"/>
      </w:pPr>
      <w:r>
        <w:t xml:space="preserve">Representative cases from the same model make the mechanism concrete.</w:t>
      </w:r>
    </w:p>
    <w:tbl>
      <w:tblPr>
        <w:tblStyle w:val="Table"/>
        <w:tblW w:type="pct" w:w="5000"/>
        <w:tblLayout w:type="fixed"/>
        <w:tblLook w:firstRow="0" w:lastRow="0" w:firstColumn="0" w:lastColumn="0" w:noHBand="0" w:noVBand="0" w:val="0000"/>
      </w:tblPr>
      <w:tblGrid>
        <w:gridCol w:w="7920"/>
      </w:tblGrid>
      <w:tr>
        <w:tc>
          <w:tcPr/>
          <w:bookmarkStart w:id="49" w:name="tbl-cases"/>
          <w:p>
            <w:pPr>
              <w:jc w:val="center"/>
            </w:pPr>
            <w:pPr>
              <w:jc w:val="left"/>
              <w:spacing w:before="200"/>
              <w:pStyle w:val="ImageCaption"/>
            </w:pPr>
            <w:r>
              <w:t xml:space="preserve">Table 5: Representative quasi-static cases from the MATLAB case table. Times are measured from seal-up at the start of the shipping profile.</w:t>
            </w:r>
          </w:p>
          <w:tbl>
            <w:tblPr>
              <w:tblStyle w:val="Table"/>
              <w:tblW w:type="pct" w:w="5000"/>
              <w:tblLayout w:type="fixed"/>
              <w:tblLook w:firstRow="1" w:lastRow="0" w:firstColumn="0" w:lastColumn="0" w:noHBand="0" w:noVBand="0" w:val="0020"/>
            </w:tblPr>
            <w:tblGrid>
              <w:gridCol w:w="1425"/>
              <w:gridCol w:w="792"/>
              <w:gridCol w:w="1108"/>
              <w:gridCol w:w="950"/>
              <w:gridCol w:w="950"/>
              <w:gridCol w:w="950"/>
              <w:gridCol w:w="792"/>
              <w:gridCol w:w="950"/>
            </w:tblGrid>
            <w:tr>
              <w:trPr>
                <w:tblHeader w:val="on"/>
              </w:trPr>
              <w:tc>
                <w:tcPr/>
                <w:p>
                  <w:pPr>
                    <w:pStyle w:val="Compact"/>
                    <w:jc w:val="left"/>
                    <w:jc w:val="center"/>
                  </w:pPr>
                  <w:r>
                    <w:t xml:space="preserve">Scenario</w:t>
                  </w:r>
                </w:p>
              </w:tc>
              <w:tc>
                <w:tcPr/>
                <w:p>
                  <w:pPr>
                    <w:pStyle w:val="Compact"/>
                    <w:jc w:val="right"/>
                    <w:jc w:val="center"/>
                  </w:pPr>
                  <m:oMath>
                    <m:sSub>
                      <m:e>
                        <m:r>
                          <m:t>V</m:t>
                        </m:r>
                      </m:e>
                      <m:sub>
                        <m:r>
                          <m:t>f</m:t>
                        </m:r>
                        <m:r>
                          <m:t>i</m:t>
                        </m:r>
                        <m:r>
                          <m:t>x</m:t>
                        </m:r>
                        <m:r>
                          <m:t>e</m:t>
                        </m:r>
                        <m:r>
                          <m:t>d</m:t>
                        </m:r>
                      </m:sub>
                    </m:sSub>
                  </m:oMath>
                </w:p>
              </w:tc>
              <w:tc>
                <w:tcPr/>
                <w:p>
                  <w:pPr>
                    <w:pStyle w:val="Compact"/>
                    <w:jc w:val="right"/>
                    <w:jc w:val="center"/>
                  </w:pPr>
                  <w:r>
                    <w:t xml:space="preserve">Total vented N2</w:t>
                  </w:r>
                </w:p>
              </w:tc>
              <w:tc>
                <w:tcPr/>
                <w:p>
                  <w:pPr>
                    <w:pStyle w:val="Compact"/>
                    <w:jc w:val="right"/>
                    <w:jc w:val="center"/>
                  </w:pPr>
                  <w:r>
                    <w:t xml:space="preserve">Bag full</w:t>
                  </w:r>
                </w:p>
              </w:tc>
              <w:tc>
                <w:tcPr/>
                <w:p>
                  <w:pPr>
                    <w:pStyle w:val="Compact"/>
                    <w:jc w:val="right"/>
                    <w:jc w:val="center"/>
                  </w:pPr>
                  <w:r>
                    <w:t xml:space="preserve">Vent start</w:t>
                  </w:r>
                </w:p>
              </w:tc>
              <w:tc>
                <w:tcPr/>
                <w:p>
                  <w:pPr>
                    <w:pStyle w:val="Compact"/>
                    <w:jc w:val="right"/>
                    <w:jc w:val="center"/>
                  </w:pPr>
                  <w:r>
                    <w:t xml:space="preserve">Bag collapse</w:t>
                  </w:r>
                </w:p>
              </w:tc>
              <w:tc>
                <w:tcPr/>
                <w:p>
                  <w:pPr>
                    <w:pStyle w:val="Compact"/>
                    <w:jc w:val="right"/>
                    <w:jc w:val="center"/>
                  </w:pPr>
                  <w:r>
                    <w:t xml:space="preserve">Worst</w:t>
                  </w:r>
                  <w:r>
                    <w:t xml:space="preserve"> </w:t>
                  </w:r>
                  <m:oMath>
                    <m:r>
                      <m:rPr>
                        <m:sty m:val="p"/>
                      </m:rPr>
                      <m:t>Δ</m:t>
                    </m:r>
                    <m:r>
                      <m:t>P</m:t>
                    </m:r>
                  </m:oMath>
                </w:p>
              </w:tc>
              <w:tc>
                <w:tcPr/>
                <w:p>
                  <w:pPr>
                    <w:pStyle w:val="Compact"/>
                    <w:jc w:val="left"/>
                    <w:jc w:val="center"/>
                  </w:pPr>
                  <w:r>
                    <w:t xml:space="preserve">Interpretation</w:t>
                  </w:r>
                </w:p>
              </w:tc>
            </w:tr>
            <w:tr>
              <w:tc>
                <w:tcPr/>
                <w:p>
                  <w:pPr>
                    <w:pStyle w:val="Compact"/>
                    <w:jc w:val="left"/>
                    <w:jc w:val="center"/>
                  </w:pPr>
                  <w:r>
                    <w:t xml:space="preserve">Ideal vent</w:t>
                  </w:r>
                </w:p>
              </w:tc>
              <w:tc>
                <w:tcPr/>
                <w:p>
                  <w:pPr>
                    <w:pStyle w:val="Compact"/>
                    <w:jc w:val="right"/>
                    <w:jc w:val="center"/>
                  </w:pPr>
                  <w:r>
                    <w:t xml:space="preserve">12 L</w:t>
                  </w:r>
                </w:p>
              </w:tc>
              <w:tc>
                <w:tcPr/>
                <w:p>
                  <w:pPr>
                    <w:pStyle w:val="Compact"/>
                    <w:jc w:val="right"/>
                    <w:jc w:val="center"/>
                  </w:pPr>
                  <w:r>
                    <w:t xml:space="preserve">0.00 g</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No venting, no underpressure</w:t>
                  </w:r>
                </w:p>
              </w:tc>
            </w:tr>
            <w:tr>
              <w:tc>
                <w:tcPr/>
                <w:p>
                  <w:pPr>
                    <w:pStyle w:val="Compact"/>
                    <w:jc w:val="left"/>
                    <w:jc w:val="center"/>
                  </w:pPr>
                  <w:r>
                    <w:t xml:space="preserve">Ideal vent</w:t>
                  </w:r>
                </w:p>
              </w:tc>
              <w:tc>
                <w:tcPr/>
                <w:p>
                  <w:pPr>
                    <w:pStyle w:val="Compact"/>
                    <w:jc w:val="right"/>
                    <w:jc w:val="center"/>
                  </w:pPr>
                  <w:r>
                    <w:t xml:space="preserve">30 L</w:t>
                  </w:r>
                </w:p>
              </w:tc>
              <w:tc>
                <w:tcPr/>
                <w:p>
                  <w:pPr>
                    <w:pStyle w:val="Compact"/>
                    <w:jc w:val="right"/>
                    <w:jc w:val="center"/>
                  </w:pPr>
                  <w:r>
                    <w:t xml:space="preserve">5.06 g</w:t>
                  </w:r>
                </w:p>
              </w:tc>
              <w:tc>
                <w:tcPr/>
                <w:p>
                  <w:pPr>
                    <w:pStyle w:val="Compact"/>
                    <w:jc w:val="right"/>
                    <w:jc w:val="center"/>
                  </w:pPr>
                  <w:r>
                    <w:t xml:space="preserve">5.67 hr</w:t>
                  </w:r>
                </w:p>
              </w:tc>
              <w:tc>
                <w:tcPr/>
                <w:p>
                  <w:pPr>
                    <w:pStyle w:val="Compact"/>
                    <w:jc w:val="right"/>
                    <w:jc w:val="center"/>
                  </w:pPr>
                  <w:r>
                    <w:t xml:space="preserve">5.67 hr</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Vents outward but returns with zero margin</w:t>
                  </w:r>
                </w:p>
              </w:tc>
            </w:tr>
            <w:tr>
              <w:tc>
                <w:tcPr/>
                <w:p>
                  <w:pPr>
                    <w:pStyle w:val="Compact"/>
                    <w:jc w:val="left"/>
                    <w:jc w:val="center"/>
                  </w:pPr>
                  <w:r>
                    <w:rPr>
                      <w:b/>
                      <w:bCs/>
                    </w:rPr>
                    <w:t xml:space="preserve">Ideal vent</w:t>
                  </w:r>
                </w:p>
              </w:tc>
              <w:tc>
                <w:tcPr/>
                <w:p>
                  <w:pPr>
                    <w:pStyle w:val="Compact"/>
                    <w:jc w:val="right"/>
                    <w:jc w:val="center"/>
                  </w:pPr>
                  <w:r>
                    <w:rPr>
                      <w:b/>
                      <w:bCs/>
                    </w:rPr>
                    <w:t xml:space="preserve">35 L</w:t>
                  </w:r>
                </w:p>
              </w:tc>
              <w:tc>
                <w:tcPr/>
                <w:p>
                  <w:pPr>
                    <w:pStyle w:val="Compact"/>
                    <w:jc w:val="right"/>
                    <w:jc w:val="center"/>
                  </w:pPr>
                  <w:r>
                    <w:rPr>
                      <w:b/>
                      <w:bCs/>
                    </w:rPr>
                    <w:t xml:space="preserve">~7.7 g</w:t>
                  </w:r>
                </w:p>
              </w:tc>
              <w:tc>
                <w:tcPr/>
                <w:p>
                  <w:pPr>
                    <w:pStyle w:val="Compact"/>
                    <w:jc w:val="right"/>
                    <w:jc w:val="center"/>
                  </w:pPr>
                  <w:r>
                    <w:rPr>
                      <w:b/>
                      <w:bCs/>
                    </w:rPr>
                    <w:t xml:space="preserve">~5.0 hr</w:t>
                  </w:r>
                </w:p>
              </w:tc>
              <w:tc>
                <w:tcPr/>
                <w:p>
                  <w:pPr>
                    <w:pStyle w:val="Compact"/>
                    <w:jc w:val="right"/>
                    <w:jc w:val="center"/>
                  </w:pPr>
                  <w:r>
                    <w:rPr>
                      <w:b/>
                      <w:bCs/>
                    </w:rPr>
                    <w:t xml:space="preserve">~5.0 hr</w:t>
                  </w:r>
                </w:p>
              </w:tc>
              <w:tc>
                <w:tcPr/>
                <w:p>
                  <w:pPr>
                    <w:pStyle w:val="Compact"/>
                    <w:jc w:val="right"/>
                    <w:jc w:val="center"/>
                  </w:pPr>
                  <w:r>
                    <w:rPr>
                      <w:b/>
                      <w:bCs/>
                    </w:rPr>
                    <w:t xml:space="preserve">n/a</w:t>
                  </w:r>
                </w:p>
              </w:tc>
              <w:tc>
                <w:tcPr/>
                <w:p>
                  <w:pPr>
                    <w:pStyle w:val="Compact"/>
                    <w:jc w:val="right"/>
                    <w:jc w:val="center"/>
                  </w:pPr>
                  <w:r>
                    <w:rPr>
                      <w:b/>
                      <w:bCs/>
                    </w:rPr>
                    <w:t xml:space="preserve">0.0000 bar</w:t>
                  </w:r>
                </w:p>
              </w:tc>
              <w:tc>
                <w:tcPr/>
                <w:p>
                  <w:pPr>
                    <w:pStyle w:val="Compact"/>
                    <w:jc w:val="left"/>
                    <w:jc w:val="center"/>
                  </w:pPr>
                  <w:r>
                    <w:rPr>
                      <w:b/>
                      <w:bCs/>
                    </w:rPr>
                    <w:t xml:space="preserve">As-built estimate; vents but returns nonnegative</w:t>
                  </w:r>
                </w:p>
              </w:tc>
            </w:tr>
            <w:tr>
              <w:tc>
                <w:tcPr/>
                <w:p>
                  <w:pPr>
                    <w:pStyle w:val="Compact"/>
                    <w:jc w:val="left"/>
                    <w:jc w:val="center"/>
                  </w:pPr>
                  <w:r>
                    <w:t xml:space="preserve">Ideal vent</w:t>
                  </w:r>
                </w:p>
              </w:tc>
              <w:tc>
                <w:tcPr/>
                <w:p>
                  <w:pPr>
                    <w:pStyle w:val="Compact"/>
                    <w:jc w:val="right"/>
                    <w:jc w:val="center"/>
                  </w:pPr>
                  <w:r>
                    <w:t xml:space="preserve">60 L</w:t>
                  </w:r>
                </w:p>
              </w:tc>
              <w:tc>
                <w:tcPr/>
                <w:p>
                  <w:pPr>
                    <w:pStyle w:val="Compact"/>
                    <w:jc w:val="right"/>
                    <w:jc w:val="center"/>
                  </w:pPr>
                  <w:r>
                    <w:t xml:space="preserve">15.37 g</w:t>
                  </w:r>
                </w:p>
              </w:tc>
              <w:tc>
                <w:tcPr/>
                <w:p>
                  <w:pPr>
                    <w:pStyle w:val="Compact"/>
                    <w:jc w:val="right"/>
                    <w:jc w:val="center"/>
                  </w:pPr>
                  <w:r>
                    <w:t xml:space="preserve">3.58 hr</w:t>
                  </w:r>
                </w:p>
              </w:tc>
              <w:tc>
                <w:tcPr/>
                <w:p>
                  <w:pPr>
                    <w:pStyle w:val="Compact"/>
                    <w:jc w:val="right"/>
                    <w:jc w:val="center"/>
                  </w:pPr>
                  <w:r>
                    <w:t xml:space="preserve">3.58 hr</w:t>
                  </w:r>
                </w:p>
              </w:tc>
              <w:tc>
                <w:tcPr/>
                <w:p>
                  <w:pPr>
                    <w:pStyle w:val="Compact"/>
                    <w:jc w:val="right"/>
                    <w:jc w:val="center"/>
                  </w:pPr>
                  <w:r>
                    <w:t xml:space="preserve">23.08 hr</w:t>
                  </w:r>
                </w:p>
              </w:tc>
              <w:tc>
                <w:tcPr/>
                <w:p>
                  <w:pPr>
                    <w:pStyle w:val="Compact"/>
                    <w:jc w:val="right"/>
                    <w:jc w:val="center"/>
                  </w:pPr>
                  <w:r>
                    <w:t xml:space="preserve">-0.0371 bar</w:t>
                  </w:r>
                </w:p>
              </w:tc>
              <w:tc>
                <w:tcPr/>
                <w:p>
                  <w:pPr>
                    <w:pStyle w:val="Compact"/>
                    <w:jc w:val="left"/>
                    <w:jc w:val="center"/>
                  </w:pPr>
                  <w:r>
                    <w:t xml:space="preserve">Full failure sequence: venting, collapse, underpressure</w:t>
                  </w:r>
                </w:p>
              </w:tc>
            </w:tr>
            <w:tr>
              <w:tc>
                <w:tcPr/>
                <w:p>
                  <w:pPr>
                    <w:pStyle w:val="Compact"/>
                    <w:jc w:val="left"/>
                    <w:jc w:val="center"/>
                  </w:pPr>
                  <w:r>
                    <w:rPr>
                      <w:b/>
                      <w:bCs/>
                    </w:rPr>
                    <w:t xml:space="preserve">Vent</w:t>
                  </w:r>
                  <w:r>
                    <w:rPr>
                      <w:b/>
                      <w:bCs/>
                    </w:rPr>
                    <w:t xml:space="preserve"> </w:t>
                  </w:r>
                  <w:r>
                    <w:rPr>
                      <w:rStyle w:val="VerbatimChar"/>
                      <w:b/>
                      <w:bCs/>
                    </w:rPr>
                    <w:t xml:space="preserve">2 psig</w:t>
                  </w:r>
                </w:p>
              </w:tc>
              <w:tc>
                <w:tcPr/>
                <w:p>
                  <w:pPr>
                    <w:pStyle w:val="Compact"/>
                    <w:jc w:val="right"/>
                    <w:jc w:val="center"/>
                  </w:pPr>
                  <w:r>
                    <w:rPr>
                      <w:b/>
                      <w:bCs/>
                    </w:rPr>
                    <w:t xml:space="preserve">35 L</w:t>
                  </w:r>
                </w:p>
              </w:tc>
              <w:tc>
                <w:tcPr/>
                <w:p>
                  <w:pPr>
                    <w:pStyle w:val="Compact"/>
                    <w:jc w:val="right"/>
                    <w:jc w:val="center"/>
                  </w:pPr>
                  <w:r>
                    <w:rPr>
                      <w:b/>
                      <w:bCs/>
                    </w:rPr>
                    <w:t xml:space="preserve">0.00 g</w:t>
                  </w:r>
                </w:p>
              </w:tc>
              <w:tc>
                <w:tcPr/>
                <w:p>
                  <w:pPr>
                    <w:pStyle w:val="Compact"/>
                    <w:jc w:val="right"/>
                    <w:jc w:val="center"/>
                  </w:pPr>
                  <w:r>
                    <w:rPr>
                      <w:b/>
                      <w:bCs/>
                    </w:rPr>
                    <w:t xml:space="preserve">~5.0 hr</w:t>
                  </w:r>
                </w:p>
              </w:tc>
              <w:tc>
                <w:tcPr/>
                <w:p>
                  <w:pPr>
                    <w:pStyle w:val="Compact"/>
                    <w:jc w:val="right"/>
                    <w:jc w:val="center"/>
                  </w:pPr>
                  <w:r>
                    <w:rPr>
                      <w:b/>
                      <w:bCs/>
                    </w:rPr>
                    <w:t xml:space="preserve">n/a</w:t>
                  </w:r>
                </w:p>
              </w:tc>
              <w:tc>
                <w:tcPr/>
                <w:p>
                  <w:pPr>
                    <w:pStyle w:val="Compact"/>
                    <w:jc w:val="right"/>
                    <w:jc w:val="center"/>
                  </w:pPr>
                  <w:r>
                    <w:rPr>
                      <w:b/>
                      <w:bCs/>
                    </w:rPr>
                    <w:t xml:space="preserve">n/a</w:t>
                  </w:r>
                </w:p>
              </w:tc>
              <w:tc>
                <w:tcPr/>
                <w:p>
                  <w:pPr>
                    <w:pStyle w:val="Compact"/>
                    <w:jc w:val="right"/>
                    <w:jc w:val="center"/>
                  </w:pPr>
                  <w:r>
                    <w:rPr>
                      <w:b/>
                      <w:bCs/>
                    </w:rPr>
                    <w:t xml:space="preserve">0.0000 bar</w:t>
                  </w:r>
                </w:p>
              </w:tc>
              <w:tc>
                <w:tcPr/>
                <w:p>
                  <w:pPr>
                    <w:pStyle w:val="Compact"/>
                    <w:jc w:val="left"/>
                    <w:jc w:val="center"/>
                  </w:pPr>
                  <w:r>
                    <w:rPr>
                      <w:b/>
                      <w:bCs/>
                    </w:rPr>
                    <w:t xml:space="preserve">As-built baseline; bag fills but does not vent</w:t>
                  </w:r>
                </w:p>
              </w:tc>
            </w:tr>
            <w:tr>
              <w:tc>
                <w:tcPr/>
                <w:p>
                  <w:pPr>
                    <w:pStyle w:val="Compact"/>
                    <w:jc w:val="left"/>
                    <w:jc w:val="center"/>
                  </w:pPr>
                  <w:r>
                    <w:t xml:space="preserve">Vent</w:t>
                  </w:r>
                  <w:r>
                    <w:t xml:space="preserve"> </w:t>
                  </w:r>
                  <w:r>
                    <w:rPr>
                      <w:rStyle w:val="VerbatimChar"/>
                    </w:rPr>
                    <w:t xml:space="preserve">2 psig</w:t>
                  </w:r>
                </w:p>
              </w:tc>
              <w:tc>
                <w:tcPr/>
                <w:p>
                  <w:pPr>
                    <w:pStyle w:val="Compact"/>
                    <w:jc w:val="right"/>
                    <w:jc w:val="center"/>
                  </w:pPr>
                  <w:r>
                    <w:t xml:space="preserve">30 L</w:t>
                  </w:r>
                </w:p>
              </w:tc>
              <w:tc>
                <w:tcPr/>
                <w:p>
                  <w:pPr>
                    <w:pStyle w:val="Compact"/>
                    <w:jc w:val="right"/>
                    <w:jc w:val="center"/>
                  </w:pPr>
                  <w:r>
                    <w:t xml:space="preserve">0.00 g</w:t>
                  </w:r>
                </w:p>
              </w:tc>
              <w:tc>
                <w:tcPr/>
                <w:p>
                  <w:pPr>
                    <w:pStyle w:val="Compact"/>
                    <w:jc w:val="right"/>
                    <w:jc w:val="center"/>
                  </w:pPr>
                  <w:r>
                    <w:t xml:space="preserve">5.67 hr</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Bag fills but does not vent under this profile</w:t>
                  </w:r>
                </w:p>
              </w:tc>
            </w:tr>
            <w:tr>
              <w:tc>
                <w:tcPr/>
                <w:p>
                  <w:pPr>
                    <w:pStyle w:val="Compact"/>
                    <w:jc w:val="left"/>
                    <w:jc w:val="center"/>
                  </w:pPr>
                  <w:r>
                    <w:t xml:space="preserve">Vent</w:t>
                  </w:r>
                  <w:r>
                    <w:t xml:space="preserve"> </w:t>
                  </w:r>
                  <w:r>
                    <w:rPr>
                      <w:rStyle w:val="VerbatimChar"/>
                    </w:rPr>
                    <w:t xml:space="preserve">2 psig</w:t>
                  </w:r>
                </w:p>
              </w:tc>
              <w:tc>
                <w:tcPr/>
                <w:p>
                  <w:pPr>
                    <w:pStyle w:val="Compact"/>
                    <w:jc w:val="right"/>
                    <w:jc w:val="center"/>
                  </w:pPr>
                  <w:r>
                    <w:t xml:space="preserve">60 L</w:t>
                  </w:r>
                </w:p>
              </w:tc>
              <w:tc>
                <w:tcPr/>
                <w:p>
                  <w:pPr>
                    <w:pStyle w:val="Compact"/>
                    <w:jc w:val="right"/>
                    <w:jc w:val="center"/>
                  </w:pPr>
                  <w:r>
                    <w:t xml:space="preserve">3.20 g</w:t>
                  </w:r>
                </w:p>
              </w:tc>
              <w:tc>
                <w:tcPr/>
                <w:p>
                  <w:pPr>
                    <w:pStyle w:val="Compact"/>
                    <w:jc w:val="right"/>
                    <w:jc w:val="center"/>
                  </w:pPr>
                  <w:r>
                    <w:t xml:space="preserve">3.58 hr</w:t>
                  </w:r>
                </w:p>
              </w:tc>
              <w:tc>
                <w:tcPr/>
                <w:p>
                  <w:pPr>
                    <w:pStyle w:val="Compact"/>
                    <w:jc w:val="right"/>
                    <w:jc w:val="center"/>
                  </w:pPr>
                  <w:r>
                    <w:t xml:space="preserve">7.08 hr</w:t>
                  </w:r>
                </w:p>
              </w:tc>
              <w:tc>
                <w:tcPr/>
                <w:p>
                  <w:pPr>
                    <w:pStyle w:val="Compact"/>
                    <w:jc w:val="right"/>
                    <w:jc w:val="center"/>
                  </w:pPr>
                  <w:r>
                    <w:t xml:space="preserve">n/a</w:t>
                  </w:r>
                </w:p>
              </w:tc>
              <w:tc>
                <w:tcPr/>
                <w:p>
                  <w:pPr>
                    <w:pStyle w:val="Compact"/>
                    <w:jc w:val="right"/>
                    <w:jc w:val="center"/>
                  </w:pPr>
                  <w:r>
                    <w:t xml:space="preserve">0.0000 bar</w:t>
                  </w:r>
                </w:p>
              </w:tc>
              <w:tc>
                <w:tcPr/>
                <w:p>
                  <w:pPr>
                    <w:pStyle w:val="Compact"/>
                    <w:jc w:val="left"/>
                    <w:jc w:val="center"/>
                  </w:pPr>
                  <w:r>
                    <w:t xml:space="preserve">Delayed venting preserves margin in this case</w:t>
                  </w:r>
                </w:p>
              </w:tc>
            </w:tr>
          </w:tbl>
          <w:bookmarkEnd w:id="49"/>
          <w:p/>
        </w:tc>
      </w:tr>
    </w:tbl>
    <w:p>
      <w:pPr>
        <w:pStyle w:val="BodyText"/>
      </w:pPr>
      <w:r>
        <w:t xml:space="preserve">Two points follow directly from</w:t>
      </w:r>
      <w:r>
        <w:t xml:space="preserve"> </w:t>
      </w:r>
      <w:hyperlink w:anchor="tbl-cases">
        <w:r>
          <w:rPr>
            <w:rStyle w:val="Hyperlink"/>
          </w:rPr>
          <w:t xml:space="preserve">Table 5</w:t>
        </w:r>
      </w:hyperlink>
      <w:r>
        <w:t xml:space="preserve">.</w:t>
      </w:r>
    </w:p>
    <w:p>
      <w:pPr>
        <w:pStyle w:val="BodyText"/>
      </w:pPr>
      <w:r>
        <w:t xml:space="preserve">First, the 30 L ideal-vent case already vents 5.06 g of nitrogen even though it remains nonnegative on return. That case is not robust; it has zero return-pressure margin. Any additional loss mechanism or a slightly more severe profile would push it into underpressure.</w:t>
      </w:r>
    </w:p>
    <w:p>
      <w:pPr>
        <w:pStyle w:val="BodyText"/>
      </w:pPr>
      <w:r>
        <w:t xml:space="preserve">Second, the 60 L ideal-vent case produces the exact sequence implicated by the field failures. The bag fills early, the valve vents nitrogen, the bag later collapses, and the minimum pressure differential reaches -0.0371 bar. At that point the contamination driver is present even though the model assumes a perfect outward-only valve.</w:t>
      </w:r>
    </w:p>
    <w:bookmarkStart w:id="55" w:name="sec-bag-sensitivity"/>
    <w:p>
      <w:pPr>
        <w:pStyle w:val="Heading2"/>
      </w:pPr>
      <w:r>
        <w:t xml:space="preserve">9.1 Bag Volume Sensitivity</w:t>
      </w:r>
    </w:p>
    <w:p>
      <w:pPr>
        <w:pStyle w:val="FirstParagraph"/>
      </w:pPr>
      <w:r>
        <w:t xml:space="preserve">The preceding results fix the bag at the as-built 22 L capacity and vary the rigid volume. A complementary question is: for the estimated</w:t>
      </w:r>
      <w:r>
        <w:t xml:space="preserve"> </w:t>
      </w:r>
      <m:oMath>
        <m:sSub>
          <m:e>
            <m:r>
              <m:t>V</m:t>
            </m:r>
          </m:e>
          <m:sub>
            <m:r>
              <m:t>f</m:t>
            </m:r>
            <m:r>
              <m:t>i</m:t>
            </m:r>
            <m:r>
              <m:t>x</m:t>
            </m:r>
            <m:r>
              <m:t>e</m:t>
            </m:r>
            <m:r>
              <m:t>d</m:t>
            </m:r>
          </m:sub>
        </m:sSub>
        <m:r>
          <m:rPr>
            <m:sty m:val="p"/>
          </m:rPr>
          <m:t>=</m:t>
        </m:r>
        <m:r>
          <m:t>35</m:t>
        </m:r>
        <m:r>
          <m:t> </m:t>
        </m:r>
        <m:r>
          <m:rPr>
            <m:nor/>
            <m:sty m:val="p"/>
          </m:rPr>
          <m:t>L</m:t>
        </m:r>
      </m:oMath>
      <w:r>
        <w:t xml:space="preserve">, how does the outcome change with bag volume and initial fill level?</w:t>
      </w:r>
      <w:r>
        <w:t xml:space="preserve"> </w:t>
      </w:r>
      <w:hyperlink w:anchor="tbl-bag-sweep">
        <w:r>
          <w:rPr>
            <w:rStyle w:val="Hyperlink"/>
          </w:rPr>
          <w:t xml:space="preserve">Table 6</w:t>
        </w:r>
      </w:hyperlink>
      <w:r>
        <w:t xml:space="preserve"> </w:t>
      </w:r>
      <w:r>
        <w:t xml:space="preserve">answers this for both vent assumptions across the two-leg flight profile at</w:t>
      </w:r>
      <w:r>
        <w:t xml:space="preserve"> </w:t>
      </w:r>
      <m:oMath>
        <m:sSub>
          <m:e>
            <m:r>
              <m:t>T</m:t>
            </m:r>
          </m:e>
          <m:sub>
            <m:r>
              <m:t>c</m:t>
            </m:r>
            <m:r>
              <m:t>a</m:t>
            </m:r>
            <m:r>
              <m:t>r</m:t>
            </m:r>
            <m:r>
              <m:t>g</m:t>
            </m:r>
            <m:r>
              <m:t>o</m:t>
            </m:r>
          </m:sub>
        </m:sSub>
        <m:r>
          <m:rPr>
            <m:sty m:val="p"/>
          </m:rPr>
          <m:t>=</m:t>
        </m:r>
        <m:r>
          <m:t>20</m:t>
        </m:r>
        <m:r>
          <m:t> </m:t>
        </m:r>
        <m:r>
          <m:rPr>
            <m:nor/>
            <m:sty m:val="p"/>
          </m:rPr>
          <m:t>°C</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0" w:name="tbl-bag-sweep"/>
          <w:p>
            <w:pPr>
              <w:jc w:val="center"/>
            </w:pPr>
            <w:pPr>
              <w:jc w:val="left"/>
              <w:spacing w:before="200"/>
              <w:pStyle w:val="ImageCaption"/>
            </w:pPr>
            <w:r>
              <w:t xml:space="preserve">Table 6: Bag volume sensitivity for V_fixed = 35 L. Each row shows the minimum return-leg pressure differential and total nitrogen mass lost for a given bag capacity, initial fill level, and vent assumption. The ideal-vent column (P_crack = 0) represents the worst-case valve; the 2 psig column represents the as-built Swagelok valve. Shaded rows indicate configurations where the return leg goes sub-atmospheric.</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jc w:val="center"/>
                  </w:pPr>
                  <w:r>
                    <w:t xml:space="preserve">Bag (L)</w:t>
                  </w:r>
                </w:p>
              </w:tc>
              <w:tc>
                <w:tcPr/>
                <w:p>
                  <w:pPr>
                    <w:pStyle w:val="Compact"/>
                    <w:jc w:val="right"/>
                    <w:jc w:val="center"/>
                  </w:pPr>
                  <w:r>
                    <w:t xml:space="preserve">Fill</w:t>
                  </w:r>
                </w:p>
              </w:tc>
              <w:tc>
                <w:tcPr/>
                <w:p>
                  <w:pPr>
                    <w:pStyle w:val="Compact"/>
                    <w:jc w:val="right"/>
                    <w:jc w:val="center"/>
                  </w:pPr>
                  <w:r>
                    <w:t xml:space="preserve">Init (L)</w:t>
                  </w:r>
                </w:p>
              </w:tc>
              <w:tc>
                <w:tcPr/>
                <w:p>
                  <w:pPr>
                    <w:pStyle w:val="Compact"/>
                    <w:jc w:val="right"/>
                    <w:jc w:val="center"/>
                  </w:pPr>
                  <w:r>
                    <w:t xml:space="preserve">Min ΔP</w:t>
                  </w:r>
                </w:p>
              </w:tc>
              <w:tc>
                <w:tcPr/>
                <w:p>
                  <w:pPr>
                    <w:pStyle w:val="Compact"/>
                    <w:jc w:val="right"/>
                    <w:jc w:val="center"/>
                  </w:pPr>
                  <w:r>
                    <w:t xml:space="preserve">Lost (g)</w:t>
                  </w:r>
                </w:p>
              </w:tc>
              <w:tc>
                <w:tcPr/>
                <w:p>
                  <w:pPr>
                    <w:pStyle w:val="Compact"/>
                    <w:jc w:val="right"/>
                    <w:jc w:val="center"/>
                  </w:pPr>
                  <w:r>
                    <w:t xml:space="preserve">Min ΔP</w:t>
                  </w:r>
                </w:p>
              </w:tc>
              <w:tc>
                <w:tcPr/>
                <w:p>
                  <w:pPr>
                    <w:pStyle w:val="Compact"/>
                    <w:jc w:val="right"/>
                    <w:jc w:val="center"/>
                  </w:pPr>
                  <w:r>
                    <w:t xml:space="preserve">Lost (g)</w:t>
                  </w:r>
                </w:p>
              </w:tc>
            </w:tr>
            <w:tr>
              <w:tc>
                <w:tcPr/>
                <w:p>
                  <w:pPr>
                    <w:pStyle w:val="Compact"/>
                  </w:pPr>
                </w:p>
              </w:tc>
              <w:tc>
                <w:tcPr/>
                <w:p>
                  <w:pPr>
                    <w:pStyle w:val="Compact"/>
                  </w:pPr>
                </w:p>
              </w:tc>
              <w:tc>
                <w:tcPr/>
                <w:p>
                  <w:pPr>
                    <w:pStyle w:val="Compact"/>
                  </w:pPr>
                </w:p>
              </w:tc>
              <w:tc>
                <w:tcPr/>
                <w:p>
                  <w:pPr>
                    <w:pStyle w:val="Compact"/>
                    <w:jc w:val="right"/>
                    <w:jc w:val="center"/>
                  </w:pPr>
                  <w:r>
                    <w:rPr>
                      <w:i/>
                      <w:iCs/>
                    </w:rPr>
                    <w:t xml:space="preserve">Ideal vent</w:t>
                  </w:r>
                </w:p>
              </w:tc>
              <w:tc>
                <w:tcPr/>
                <w:p>
                  <w:pPr>
                    <w:pStyle w:val="Compact"/>
                  </w:pPr>
                </w:p>
              </w:tc>
              <w:tc>
                <w:tcPr/>
                <w:p>
                  <w:pPr>
                    <w:pStyle w:val="Compact"/>
                    <w:jc w:val="right"/>
                    <w:jc w:val="center"/>
                  </w:pPr>
                  <w:r>
                    <w:rPr>
                      <w:i/>
                      <w:iCs/>
                    </w:rPr>
                    <w:t xml:space="preserve">2 psig valve</w:t>
                  </w:r>
                </w:p>
              </w:tc>
              <w:tc>
                <w:tcPr/>
                <w:p>
                  <w:pPr>
                    <w:pStyle w:val="Compact"/>
                  </w:pPr>
                </w:p>
              </w:tc>
            </w:tr>
            <w:tr>
              <w:tc>
                <w:tcPr/>
                <w:p>
                  <w:pPr>
                    <w:pStyle w:val="Compact"/>
                    <w:jc w:val="right"/>
                    <w:jc w:val="center"/>
                  </w:pPr>
                  <w:r>
                    <w:t xml:space="preserve">5</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-15.31 kPa ⚠</w:t>
                  </w:r>
                </w:p>
              </w:tc>
              <w:tc>
                <w:tcPr/>
                <w:p>
                  <w:pPr>
                    <w:pStyle w:val="Compact"/>
                    <w:jc w:val="right"/>
                    <w:jc w:val="center"/>
                  </w:pPr>
                  <w:r>
                    <w:t xml:space="preserve">6.2</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5</w:t>
                  </w:r>
                </w:p>
              </w:tc>
              <w:tc>
                <w:tcPr/>
                <w:p>
                  <w:pPr>
                    <w:pStyle w:val="Compact"/>
                    <w:jc w:val="right"/>
                    <w:jc w:val="center"/>
                  </w:pPr>
                  <w:r>
                    <w:t xml:space="preserve">25%</w:t>
                  </w:r>
                </w:p>
              </w:tc>
              <w:tc>
                <w:tcPr/>
                <w:p>
                  <w:pPr>
                    <w:pStyle w:val="Compact"/>
                    <w:jc w:val="right"/>
                    <w:jc w:val="center"/>
                  </w:pPr>
                  <w:r>
                    <w:t xml:space="preserve">1.2</w:t>
                  </w:r>
                </w:p>
              </w:tc>
              <w:tc>
                <w:tcPr/>
                <w:p>
                  <w:pPr>
                    <w:pStyle w:val="Compact"/>
                    <w:jc w:val="right"/>
                    <w:jc w:val="center"/>
                  </w:pPr>
                  <w:r>
                    <w:t xml:space="preserve">-15.31 kPa ⚠</w:t>
                  </w:r>
                </w:p>
              </w:tc>
              <w:tc>
                <w:tcPr/>
                <w:p>
                  <w:pPr>
                    <w:pStyle w:val="Compact"/>
                    <w:jc w:val="right"/>
                    <w:jc w:val="center"/>
                  </w:pPr>
                  <w:r>
                    <w:t xml:space="preserve">7.6</w:t>
                  </w:r>
                </w:p>
              </w:tc>
              <w:tc>
                <w:tcPr/>
                <w:p>
                  <w:pPr>
                    <w:pStyle w:val="Compact"/>
                    <w:jc w:val="right"/>
                    <w:jc w:val="center"/>
                  </w:pPr>
                  <w:r>
                    <w:t xml:space="preserve">+0.00 kPa</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right"/>
                    <w:jc w:val="center"/>
                  </w:pPr>
                  <w:r>
                    <w:t xml:space="preserve">50%</w:t>
                  </w:r>
                </w:p>
              </w:tc>
              <w:tc>
                <w:tcPr/>
                <w:p>
                  <w:pPr>
                    <w:pStyle w:val="Compact"/>
                    <w:jc w:val="right"/>
                    <w:jc w:val="center"/>
                  </w:pPr>
                  <w:r>
                    <w:t xml:space="preserve">2.5</w:t>
                  </w:r>
                </w:p>
              </w:tc>
              <w:tc>
                <w:tcPr/>
                <w:p>
                  <w:pPr>
                    <w:pStyle w:val="Compact"/>
                    <w:jc w:val="right"/>
                    <w:jc w:val="center"/>
                  </w:pPr>
                  <w:r>
                    <w:t xml:space="preserve">-15.31 kPa ⚠</w:t>
                  </w:r>
                </w:p>
              </w:tc>
              <w:tc>
                <w:tcPr/>
                <w:p>
                  <w:pPr>
                    <w:pStyle w:val="Compact"/>
                    <w:jc w:val="right"/>
                    <w:jc w:val="center"/>
                  </w:pPr>
                  <w:r>
                    <w:t xml:space="preserve">9.1</w:t>
                  </w:r>
                </w:p>
              </w:tc>
              <w:tc>
                <w:tcPr/>
                <w:p>
                  <w:pPr>
                    <w:pStyle w:val="Compact"/>
                    <w:jc w:val="right"/>
                    <w:jc w:val="center"/>
                  </w:pPr>
                  <w:r>
                    <w:t xml:space="preserve">+0.00 kPa</w:t>
                  </w:r>
                </w:p>
              </w:tc>
              <w:tc>
                <w:tcPr/>
                <w:p>
                  <w:pPr>
                    <w:pStyle w:val="Compact"/>
                    <w:jc w:val="right"/>
                    <w:jc w:val="center"/>
                  </w:pPr>
                  <w:r>
                    <w:t xml:space="preserve">2.7</w:t>
                  </w:r>
                </w:p>
              </w:tc>
            </w:tr>
            <w:tr>
              <w:tc>
                <w:tcPr/>
                <w:p>
                  <w:pPr>
                    <w:pStyle w:val="Compact"/>
                    <w:jc w:val="right"/>
                    <w:jc w:val="center"/>
                  </w:pPr>
                  <w:r>
                    <w:t xml:space="preserve">5</w:t>
                  </w:r>
                </w:p>
              </w:tc>
              <w:tc>
                <w:tcPr/>
                <w:p>
                  <w:pPr>
                    <w:pStyle w:val="Compact"/>
                    <w:jc w:val="right"/>
                    <w:jc w:val="center"/>
                  </w:pPr>
                  <w:r>
                    <w:t xml:space="preserve">75%</w:t>
                  </w:r>
                </w:p>
              </w:tc>
              <w:tc>
                <w:tcPr/>
                <w:p>
                  <w:pPr>
                    <w:pStyle w:val="Compact"/>
                    <w:jc w:val="right"/>
                    <w:jc w:val="center"/>
                  </w:pPr>
                  <w:r>
                    <w:t xml:space="preserve">3.8</w:t>
                  </w:r>
                </w:p>
              </w:tc>
              <w:tc>
                <w:tcPr/>
                <w:p>
                  <w:pPr>
                    <w:pStyle w:val="Compact"/>
                    <w:jc w:val="right"/>
                    <w:jc w:val="center"/>
                  </w:pPr>
                  <w:r>
                    <w:t xml:space="preserve">-15.31 kPa ⚠</w:t>
                  </w:r>
                </w:p>
              </w:tc>
              <w:tc>
                <w:tcPr/>
                <w:p>
                  <w:pPr>
                    <w:pStyle w:val="Compact"/>
                    <w:jc w:val="right"/>
                    <w:jc w:val="center"/>
                  </w:pPr>
                  <w:r>
                    <w:t xml:space="preserve">10.5</w:t>
                  </w:r>
                </w:p>
              </w:tc>
              <w:tc>
                <w:tcPr/>
                <w:p>
                  <w:pPr>
                    <w:pStyle w:val="Compact"/>
                    <w:jc w:val="right"/>
                    <w:jc w:val="center"/>
                  </w:pPr>
                  <w:r>
                    <w:t xml:space="preserve">+0.00 kPa</w:t>
                  </w:r>
                </w:p>
              </w:tc>
              <w:tc>
                <w:tcPr/>
                <w:p>
                  <w:pPr>
                    <w:pStyle w:val="Compact"/>
                    <w:jc w:val="right"/>
                    <w:jc w:val="center"/>
                  </w:pPr>
                  <w:r>
                    <w:t xml:space="preserve">4.2</w:t>
                  </w:r>
                </w:p>
              </w:tc>
            </w:tr>
            <w:tr>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-8.86 kPa ⚠</w:t>
                  </w:r>
                </w:p>
              </w:tc>
              <w:tc>
                <w:tcPr/>
                <w:p>
                  <w:pPr>
                    <w:pStyle w:val="Compact"/>
                    <w:jc w:val="right"/>
                    <w:jc w:val="center"/>
                  </w:pPr>
                  <w:r>
                    <w:t xml:space="preserve">3.6</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8</w:t>
                  </w:r>
                </w:p>
              </w:tc>
              <w:tc>
                <w:tcPr/>
                <w:p>
                  <w:pPr>
                    <w:pStyle w:val="Compact"/>
                    <w:jc w:val="right"/>
                    <w:jc w:val="center"/>
                  </w:pPr>
                  <w:r>
                    <w:t xml:space="preserve">25%</w:t>
                  </w:r>
                </w:p>
              </w:tc>
              <w:tc>
                <w:tcPr/>
                <w:p>
                  <w:pPr>
                    <w:pStyle w:val="Compact"/>
                    <w:jc w:val="right"/>
                    <w:jc w:val="center"/>
                  </w:pPr>
                  <w:r>
                    <w:t xml:space="preserve">2.0</w:t>
                  </w:r>
                </w:p>
              </w:tc>
              <w:tc>
                <w:tcPr/>
                <w:p>
                  <w:pPr>
                    <w:pStyle w:val="Compact"/>
                    <w:jc w:val="right"/>
                    <w:jc w:val="center"/>
                  </w:pPr>
                  <w:r>
                    <w:t xml:space="preserve">-8.86 kPa ⚠</w:t>
                  </w:r>
                </w:p>
              </w:tc>
              <w:tc>
                <w:tcPr/>
                <w:p>
                  <w:pPr>
                    <w:pStyle w:val="Compact"/>
                    <w:jc w:val="right"/>
                    <w:jc w:val="center"/>
                  </w:pPr>
                  <w:r>
                    <w:t xml:space="preserve">5.9</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8</w:t>
                  </w:r>
                </w:p>
              </w:tc>
              <w:tc>
                <w:tcPr/>
                <w:p>
                  <w:pPr>
                    <w:pStyle w:val="Compact"/>
                    <w:jc w:val="right"/>
                    <w:jc w:val="center"/>
                  </w:pPr>
                  <w:r>
                    <w:t xml:space="preserve">50%</w:t>
                  </w:r>
                </w:p>
              </w:tc>
              <w:tc>
                <w:tcPr/>
                <w:p>
                  <w:pPr>
                    <w:pStyle w:val="Compact"/>
                    <w:jc w:val="right"/>
                    <w:jc w:val="center"/>
                  </w:pPr>
                  <w:r>
                    <w:t xml:space="preserve">4.0</w:t>
                  </w:r>
                </w:p>
              </w:tc>
              <w:tc>
                <w:tcPr/>
                <w:p>
                  <w:pPr>
                    <w:pStyle w:val="Compact"/>
                    <w:jc w:val="right"/>
                    <w:jc w:val="center"/>
                  </w:pPr>
                  <w:r>
                    <w:t xml:space="preserve">-8.86 kPa ⚠</w:t>
                  </w:r>
                </w:p>
              </w:tc>
              <w:tc>
                <w:tcPr/>
                <w:p>
                  <w:pPr>
                    <w:pStyle w:val="Compact"/>
                    <w:jc w:val="right"/>
                    <w:jc w:val="center"/>
                  </w:pPr>
                  <w:r>
                    <w:t xml:space="preserve">8.2</w:t>
                  </w:r>
                </w:p>
              </w:tc>
              <w:tc>
                <w:tcPr/>
                <w:p>
                  <w:pPr>
                    <w:pStyle w:val="Compact"/>
                    <w:jc w:val="right"/>
                    <w:jc w:val="center"/>
                  </w:pPr>
                  <w:r>
                    <w:t xml:space="preserve">+0.00 kPa</w:t>
                  </w:r>
                </w:p>
              </w:tc>
              <w:tc>
                <w:tcPr/>
                <w:p>
                  <w:pPr>
                    <w:pStyle w:val="Compact"/>
                    <w:jc w:val="right"/>
                    <w:jc w:val="center"/>
                  </w:pPr>
                  <w:r>
                    <w:t xml:space="preserve">1.4</w:t>
                  </w:r>
                </w:p>
              </w:tc>
            </w:tr>
            <w:tr>
              <w:tc>
                <w:tcPr/>
                <w:p>
                  <w:pPr>
                    <w:pStyle w:val="Compact"/>
                    <w:jc w:val="right"/>
                    <w:jc w:val="center"/>
                  </w:pPr>
                  <w:r>
                    <w:t xml:space="preserve">8</w:t>
                  </w:r>
                </w:p>
              </w:tc>
              <w:tc>
                <w:tcPr/>
                <w:p>
                  <w:pPr>
                    <w:pStyle w:val="Compact"/>
                    <w:jc w:val="right"/>
                    <w:jc w:val="center"/>
                  </w:pPr>
                  <w:r>
                    <w:t xml:space="preserve">75%</w:t>
                  </w:r>
                </w:p>
              </w:tc>
              <w:tc>
                <w:tcPr/>
                <w:p>
                  <w:pPr>
                    <w:pStyle w:val="Compact"/>
                    <w:jc w:val="right"/>
                    <w:jc w:val="center"/>
                  </w:pPr>
                  <w:r>
                    <w:t xml:space="preserve">6.0</w:t>
                  </w:r>
                </w:p>
              </w:tc>
              <w:tc>
                <w:tcPr/>
                <w:p>
                  <w:pPr>
                    <w:pStyle w:val="Compact"/>
                    <w:jc w:val="right"/>
                    <w:jc w:val="center"/>
                  </w:pPr>
                  <w:r>
                    <w:t xml:space="preserve">-8.86 kPa ⚠</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3.7</w:t>
                  </w:r>
                </w:p>
              </w:tc>
            </w:tr>
            <w:tr>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-4.56 kPa ⚠</w:t>
                  </w:r>
                </w:p>
              </w:tc>
              <w:tc>
                <w:tcPr/>
                <w:p>
                  <w:pPr>
                    <w:pStyle w:val="Compact"/>
                    <w:jc w:val="right"/>
                    <w:jc w:val="center"/>
                  </w:pPr>
                  <w:r>
                    <w:t xml:space="preserve">1.8</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10</w:t>
                  </w:r>
                </w:p>
              </w:tc>
              <w:tc>
                <w:tcPr/>
                <w:p>
                  <w:pPr>
                    <w:pStyle w:val="Compact"/>
                    <w:jc w:val="right"/>
                    <w:jc w:val="center"/>
                  </w:pPr>
                  <w:r>
                    <w:t xml:space="preserve">25%</w:t>
                  </w:r>
                </w:p>
              </w:tc>
              <w:tc>
                <w:tcPr/>
                <w:p>
                  <w:pPr>
                    <w:pStyle w:val="Compact"/>
                    <w:jc w:val="right"/>
                    <w:jc w:val="center"/>
                  </w:pPr>
                  <w:r>
                    <w:t xml:space="preserve">2.5</w:t>
                  </w:r>
                </w:p>
              </w:tc>
              <w:tc>
                <w:tcPr/>
                <w:p>
                  <w:pPr>
                    <w:pStyle w:val="Compact"/>
                    <w:jc w:val="right"/>
                    <w:jc w:val="center"/>
                  </w:pPr>
                  <w:r>
                    <w:t xml:space="preserve">-4.56 kPa ⚠</w:t>
                  </w:r>
                </w:p>
              </w:tc>
              <w:tc>
                <w:tcPr/>
                <w:p>
                  <w:pPr>
                    <w:pStyle w:val="Compact"/>
                    <w:jc w:val="right"/>
                    <w:jc w:val="center"/>
                  </w:pPr>
                  <w:r>
                    <w:t xml:space="preserve">4.7</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10</w:t>
                  </w:r>
                </w:p>
              </w:tc>
              <w:tc>
                <w:tcPr/>
                <w:p>
                  <w:pPr>
                    <w:pStyle w:val="Compact"/>
                    <w:jc w:val="right"/>
                    <w:jc w:val="center"/>
                  </w:pPr>
                  <w:r>
                    <w:t xml:space="preserve">50%</w:t>
                  </w:r>
                </w:p>
              </w:tc>
              <w:tc>
                <w:tcPr/>
                <w:p>
                  <w:pPr>
                    <w:pStyle w:val="Compact"/>
                    <w:jc w:val="right"/>
                    <w:jc w:val="center"/>
                  </w:pPr>
                  <w:r>
                    <w:t xml:space="preserve">5.0</w:t>
                  </w:r>
                </w:p>
              </w:tc>
              <w:tc>
                <w:tcPr/>
                <w:p>
                  <w:pPr>
                    <w:pStyle w:val="Compact"/>
                    <w:jc w:val="right"/>
                    <w:jc w:val="center"/>
                  </w:pPr>
                  <w:r>
                    <w:t xml:space="preserve">-4.56 kPa ⚠</w:t>
                  </w:r>
                </w:p>
              </w:tc>
              <w:tc>
                <w:tcPr/>
                <w:p>
                  <w:pPr>
                    <w:pStyle w:val="Compact"/>
                    <w:jc w:val="right"/>
                    <w:jc w:val="center"/>
                  </w:pPr>
                  <w:r>
                    <w:t xml:space="preserve">7.7</w:t>
                  </w:r>
                </w:p>
              </w:tc>
              <w:tc>
                <w:tcPr/>
                <w:p>
                  <w:pPr>
                    <w:pStyle w:val="Compact"/>
                    <w:jc w:val="right"/>
                    <w:jc w:val="center"/>
                  </w:pPr>
                  <w:r>
                    <w:t xml:space="preserve">+0.00 kPa</w:t>
                  </w:r>
                </w:p>
              </w:tc>
              <w:tc>
                <w:tcPr/>
                <w:p>
                  <w:pPr>
                    <w:pStyle w:val="Compact"/>
                    <w:jc w:val="right"/>
                    <w:jc w:val="center"/>
                  </w:pPr>
                  <w:r>
                    <w:t xml:space="preserve">0.5</w:t>
                  </w:r>
                </w:p>
              </w:tc>
            </w:tr>
            <w:tr>
              <w:tc>
                <w:tcPr/>
                <w:p>
                  <w:pPr>
                    <w:pStyle w:val="Compact"/>
                    <w:jc w:val="right"/>
                    <w:jc w:val="center"/>
                  </w:pPr>
                  <w:r>
                    <w:t xml:space="preserve">10</w:t>
                  </w:r>
                </w:p>
              </w:tc>
              <w:tc>
                <w:tcPr/>
                <w:p>
                  <w:pPr>
                    <w:pStyle w:val="Compact"/>
                    <w:jc w:val="right"/>
                    <w:jc w:val="center"/>
                  </w:pPr>
                  <w:r>
                    <w:t xml:space="preserve">75%</w:t>
                  </w:r>
                </w:p>
              </w:tc>
              <w:tc>
                <w:tcPr/>
                <w:p>
                  <w:pPr>
                    <w:pStyle w:val="Compact"/>
                    <w:jc w:val="right"/>
                    <w:jc w:val="center"/>
                  </w:pPr>
                  <w:r>
                    <w:t xml:space="preserve">7.5</w:t>
                  </w:r>
                </w:p>
              </w:tc>
              <w:tc>
                <w:tcPr/>
                <w:p>
                  <w:pPr>
                    <w:pStyle w:val="Compact"/>
                    <w:jc w:val="right"/>
                    <w:jc w:val="center"/>
                  </w:pPr>
                  <w:r>
                    <w:t xml:space="preserve">-4.56 kPa ⚠</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3.4</w:t>
                  </w:r>
                </w:p>
              </w:tc>
            </w:tr>
            <w:tr>
              <w:tc>
                <w:tcPr/>
                <w:p>
                  <w:pPr>
                    <w:pStyle w:val="Compact"/>
                    <w:jc w:val="right"/>
                    <w:jc w:val="center"/>
                  </w:pPr>
                  <w:r>
                    <w:t xml:space="preserve">12</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-0.26 kPa</w:t>
                  </w:r>
                </w:p>
              </w:tc>
              <w:tc>
                <w:tcPr/>
                <w:p>
                  <w:pPr>
                    <w:pStyle w:val="Compact"/>
                    <w:jc w:val="right"/>
                    <w:jc w:val="center"/>
                  </w:pPr>
                  <w:r>
                    <w:t xml:space="preserve">0.1</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12</w:t>
                  </w:r>
                </w:p>
              </w:tc>
              <w:tc>
                <w:tcPr/>
                <w:p>
                  <w:pPr>
                    <w:pStyle w:val="Compact"/>
                    <w:jc w:val="right"/>
                    <w:jc w:val="center"/>
                  </w:pPr>
                  <w:r>
                    <w:t xml:space="preserve">25%</w:t>
                  </w:r>
                </w:p>
              </w:tc>
              <w:tc>
                <w:tcPr/>
                <w:p>
                  <w:pPr>
                    <w:pStyle w:val="Compact"/>
                    <w:jc w:val="right"/>
                    <w:jc w:val="center"/>
                  </w:pPr>
                  <w:r>
                    <w:t xml:space="preserve">3.0</w:t>
                  </w:r>
                </w:p>
              </w:tc>
              <w:tc>
                <w:tcPr/>
                <w:p>
                  <w:pPr>
                    <w:pStyle w:val="Compact"/>
                    <w:jc w:val="right"/>
                    <w:jc w:val="center"/>
                  </w:pPr>
                  <w:r>
                    <w:t xml:space="preserve">-0.26 kPa</w:t>
                  </w:r>
                </w:p>
              </w:tc>
              <w:tc>
                <w:tcPr/>
                <w:p>
                  <w:pPr>
                    <w:pStyle w:val="Compact"/>
                    <w:jc w:val="right"/>
                    <w:jc w:val="center"/>
                  </w:pPr>
                  <w:r>
                    <w:t xml:space="preserve">3.6</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12</w:t>
                  </w:r>
                </w:p>
              </w:tc>
              <w:tc>
                <w:tcPr/>
                <w:p>
                  <w:pPr>
                    <w:pStyle w:val="Compact"/>
                    <w:jc w:val="right"/>
                    <w:jc w:val="center"/>
                  </w:pPr>
                  <w:r>
                    <w:t xml:space="preserve">50%</w:t>
                  </w:r>
                </w:p>
              </w:tc>
              <w:tc>
                <w:tcPr/>
                <w:p>
                  <w:pPr>
                    <w:pStyle w:val="Compact"/>
                    <w:jc w:val="right"/>
                    <w:jc w:val="center"/>
                  </w:pPr>
                  <w:r>
                    <w:t xml:space="preserve">6.0</w:t>
                  </w:r>
                </w:p>
              </w:tc>
              <w:tc>
                <w:tcPr/>
                <w:p>
                  <w:pPr>
                    <w:pStyle w:val="Compact"/>
                    <w:jc w:val="right"/>
                    <w:jc w:val="center"/>
                  </w:pPr>
                  <w:r>
                    <w:t xml:space="preserve">-0.26 kPa</w:t>
                  </w:r>
                </w:p>
              </w:tc>
              <w:tc>
                <w:tcPr/>
                <w:p>
                  <w:pPr>
                    <w:pStyle w:val="Compact"/>
                    <w:jc w:val="right"/>
                    <w:jc w:val="center"/>
                  </w:pPr>
                  <w:r>
                    <w:t xml:space="preserve">7.1</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12</w:t>
                  </w:r>
                </w:p>
              </w:tc>
              <w:tc>
                <w:tcPr/>
                <w:p>
                  <w:pPr>
                    <w:pStyle w:val="Compact"/>
                    <w:jc w:val="right"/>
                    <w:jc w:val="center"/>
                  </w:pPr>
                  <w:r>
                    <w:t xml:space="preserve">75%</w:t>
                  </w:r>
                </w:p>
              </w:tc>
              <w:tc>
                <w:tcPr/>
                <w:p>
                  <w:pPr>
                    <w:pStyle w:val="Compact"/>
                    <w:jc w:val="right"/>
                    <w:jc w:val="center"/>
                  </w:pPr>
                  <w:r>
                    <w:t xml:space="preserve">9.0</w:t>
                  </w:r>
                </w:p>
              </w:tc>
              <w:tc>
                <w:tcPr/>
                <w:p>
                  <w:pPr>
                    <w:pStyle w:val="Compact"/>
                    <w:jc w:val="right"/>
                    <w:jc w:val="center"/>
                  </w:pPr>
                  <w:r>
                    <w:t xml:space="preserve">-0.26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3.1</w:t>
                  </w:r>
                </w:p>
              </w:tc>
            </w:tr>
            <w:tr>
              <w:tc>
                <w:tcPr/>
                <w:p>
                  <w:pPr>
                    <w:pStyle w:val="Compact"/>
                    <w:jc w:val="right"/>
                    <w:jc w:val="center"/>
                  </w:pPr>
                  <w:r>
                    <w:t xml:space="preserve">14</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14</w:t>
                  </w:r>
                </w:p>
              </w:tc>
              <w:tc>
                <w:tcPr/>
                <w:p>
                  <w:pPr>
                    <w:pStyle w:val="Compact"/>
                    <w:jc w:val="right"/>
                    <w:jc w:val="center"/>
                  </w:pPr>
                  <w:r>
                    <w:t xml:space="preserve">25%</w:t>
                  </w:r>
                </w:p>
              </w:tc>
              <w:tc>
                <w:tcPr/>
                <w:p>
                  <w:pPr>
                    <w:pStyle w:val="Compact"/>
                    <w:jc w:val="right"/>
                    <w:jc w:val="center"/>
                  </w:pPr>
                  <w:r>
                    <w:t xml:space="preserve">3.5</w:t>
                  </w:r>
                </w:p>
              </w:tc>
              <w:tc>
                <w:tcPr/>
                <w:p>
                  <w:pPr>
                    <w:pStyle w:val="Compact"/>
                    <w:jc w:val="right"/>
                    <w:jc w:val="center"/>
                  </w:pPr>
                  <w:r>
                    <w:t xml:space="preserve">+0.00 kPa</w:t>
                  </w:r>
                </w:p>
              </w:tc>
              <w:tc>
                <w:tcPr/>
                <w:p>
                  <w:pPr>
                    <w:pStyle w:val="Compact"/>
                    <w:jc w:val="right"/>
                    <w:jc w:val="center"/>
                  </w:pPr>
                  <w:r>
                    <w:t xml:space="preserve">2.5</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14</w:t>
                  </w:r>
                </w:p>
              </w:tc>
              <w:tc>
                <w:tcPr/>
                <w:p>
                  <w:pPr>
                    <w:pStyle w:val="Compact"/>
                    <w:jc w:val="right"/>
                    <w:jc w:val="center"/>
                  </w:pPr>
                  <w:r>
                    <w:t xml:space="preserve">50%</w:t>
                  </w:r>
                </w:p>
              </w:tc>
              <w:tc>
                <w:tcPr/>
                <w:p>
                  <w:pPr>
                    <w:pStyle w:val="Compact"/>
                    <w:jc w:val="right"/>
                    <w:jc w:val="center"/>
                  </w:pPr>
                  <w:r>
                    <w:t xml:space="preserve">7.0</w:t>
                  </w:r>
                </w:p>
              </w:tc>
              <w:tc>
                <w:tcPr/>
                <w:p>
                  <w:pPr>
                    <w:pStyle w:val="Compact"/>
                    <w:jc w:val="right"/>
                    <w:jc w:val="center"/>
                  </w:pPr>
                  <w:r>
                    <w:t xml:space="preserve">+0.00 kPa</w:t>
                  </w:r>
                </w:p>
              </w:tc>
              <w:tc>
                <w:tcPr/>
                <w:p>
                  <w:pPr>
                    <w:pStyle w:val="Compact"/>
                    <w:jc w:val="right"/>
                    <w:jc w:val="center"/>
                  </w:pPr>
                  <w:r>
                    <w:t xml:space="preserve">6.5</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14</w:t>
                  </w:r>
                </w:p>
              </w:tc>
              <w:tc>
                <w:tcPr/>
                <w:p>
                  <w:pPr>
                    <w:pStyle w:val="Compact"/>
                    <w:jc w:val="right"/>
                    <w:jc w:val="center"/>
                  </w:pPr>
                  <w:r>
                    <w:t xml:space="preserve">75%</w:t>
                  </w:r>
                </w:p>
              </w:tc>
              <w:tc>
                <w:tcPr/>
                <w:p>
                  <w:pPr>
                    <w:pStyle w:val="Compact"/>
                    <w:jc w:val="right"/>
                    <w:jc w:val="center"/>
                  </w:pPr>
                  <w:r>
                    <w:t xml:space="preserve">10.5</w:t>
                  </w:r>
                </w:p>
              </w:tc>
              <w:tc>
                <w:tcPr/>
                <w:p>
                  <w:pPr>
                    <w:pStyle w:val="Compact"/>
                    <w:jc w:val="right"/>
                    <w:jc w:val="center"/>
                  </w:pPr>
                  <w:r>
                    <w:t xml:space="preserve">+0.00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2.8</w:t>
                  </w:r>
                </w:p>
              </w:tc>
            </w:tr>
            <w:tr>
              <w:tc>
                <w:tcPr/>
                <w:p>
                  <w:pPr>
                    <w:pStyle w:val="Compact"/>
                    <w:jc w:val="right"/>
                    <w:jc w:val="center"/>
                  </w:pPr>
                  <w:r>
                    <w:t xml:space="preserve">16</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16</w:t>
                  </w:r>
                </w:p>
              </w:tc>
              <w:tc>
                <w:tcPr/>
                <w:p>
                  <w:pPr>
                    <w:pStyle w:val="Compact"/>
                    <w:jc w:val="right"/>
                    <w:jc w:val="center"/>
                  </w:pPr>
                  <w:r>
                    <w:t xml:space="preserve">25%</w:t>
                  </w:r>
                </w:p>
              </w:tc>
              <w:tc>
                <w:tcPr/>
                <w:p>
                  <w:pPr>
                    <w:pStyle w:val="Compact"/>
                    <w:jc w:val="right"/>
                    <w:jc w:val="center"/>
                  </w:pPr>
                  <w:r>
                    <w:t xml:space="preserve">4.0</w:t>
                  </w:r>
                </w:p>
              </w:tc>
              <w:tc>
                <w:tcPr/>
                <w:p>
                  <w:pPr>
                    <w:pStyle w:val="Compact"/>
                    <w:jc w:val="right"/>
                    <w:jc w:val="center"/>
                  </w:pPr>
                  <w:r>
                    <w:t xml:space="preserve">+0.00 kPa</w:t>
                  </w:r>
                </w:p>
              </w:tc>
              <w:tc>
                <w:tcPr/>
                <w:p>
                  <w:pPr>
                    <w:pStyle w:val="Compact"/>
                    <w:jc w:val="right"/>
                    <w:jc w:val="center"/>
                  </w:pPr>
                  <w:r>
                    <w:t xml:space="preserve">1.3</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16</w:t>
                  </w:r>
                </w:p>
              </w:tc>
              <w:tc>
                <w:tcPr/>
                <w:p>
                  <w:pPr>
                    <w:pStyle w:val="Compact"/>
                    <w:jc w:val="right"/>
                    <w:jc w:val="center"/>
                  </w:pPr>
                  <w:r>
                    <w:t xml:space="preserve">50%</w:t>
                  </w:r>
                </w:p>
              </w:tc>
              <w:tc>
                <w:tcPr/>
                <w:p>
                  <w:pPr>
                    <w:pStyle w:val="Compact"/>
                    <w:jc w:val="right"/>
                    <w:jc w:val="center"/>
                  </w:pPr>
                  <w:r>
                    <w:t xml:space="preserve">8.0</w:t>
                  </w:r>
                </w:p>
              </w:tc>
              <w:tc>
                <w:tcPr/>
                <w:p>
                  <w:pPr>
                    <w:pStyle w:val="Compact"/>
                    <w:jc w:val="right"/>
                    <w:jc w:val="center"/>
                  </w:pPr>
                  <w:r>
                    <w:t xml:space="preserve">+0.00 kPa</w:t>
                  </w:r>
                </w:p>
              </w:tc>
              <w:tc>
                <w:tcPr/>
                <w:p>
                  <w:pPr>
                    <w:pStyle w:val="Compact"/>
                    <w:jc w:val="right"/>
                    <w:jc w:val="center"/>
                  </w:pPr>
                  <w:r>
                    <w:t xml:space="preserve">6.0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16</w:t>
                  </w:r>
                </w:p>
              </w:tc>
              <w:tc>
                <w:tcPr/>
                <w:p>
                  <w:pPr>
                    <w:pStyle w:val="Compact"/>
                    <w:jc w:val="right"/>
                    <w:jc w:val="center"/>
                  </w:pPr>
                  <w:r>
                    <w:t xml:space="preserve">75%</w:t>
                  </w:r>
                </w:p>
              </w:tc>
              <w:tc>
                <w:tcPr/>
                <w:p>
                  <w:pPr>
                    <w:pStyle w:val="Compact"/>
                    <w:jc w:val="right"/>
                    <w:jc w:val="center"/>
                  </w:pPr>
                  <w:r>
                    <w:t xml:space="preserve">12.0</w:t>
                  </w:r>
                </w:p>
              </w:tc>
              <w:tc>
                <w:tcPr/>
                <w:p>
                  <w:pPr>
                    <w:pStyle w:val="Compact"/>
                    <w:jc w:val="right"/>
                    <w:jc w:val="center"/>
                  </w:pPr>
                  <w:r>
                    <w:t xml:space="preserve">+0.00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2.5</w:t>
                  </w:r>
                </w:p>
              </w:tc>
            </w:tr>
            <w:tr>
              <w:tc>
                <w:tcPr/>
                <w:p>
                  <w:pPr>
                    <w:pStyle w:val="Compact"/>
                    <w:jc w:val="right"/>
                    <w:jc w:val="center"/>
                  </w:pPr>
                  <w:r>
                    <w:t xml:space="preserve">18</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18</w:t>
                  </w:r>
                </w:p>
              </w:tc>
              <w:tc>
                <w:tcPr/>
                <w:p>
                  <w:pPr>
                    <w:pStyle w:val="Compact"/>
                    <w:jc w:val="right"/>
                    <w:jc w:val="center"/>
                  </w:pPr>
                  <w:r>
                    <w:t xml:space="preserve">25%</w:t>
                  </w:r>
                </w:p>
              </w:tc>
              <w:tc>
                <w:tcPr/>
                <w:p>
                  <w:pPr>
                    <w:pStyle w:val="Compact"/>
                    <w:jc w:val="right"/>
                    <w:jc w:val="center"/>
                  </w:pPr>
                  <w:r>
                    <w:t xml:space="preserve">4.5</w:t>
                  </w:r>
                </w:p>
              </w:tc>
              <w:tc>
                <w:tcPr/>
                <w:p>
                  <w:pPr>
                    <w:pStyle w:val="Compact"/>
                    <w:jc w:val="right"/>
                    <w:jc w:val="center"/>
                  </w:pPr>
                  <w:r>
                    <w:t xml:space="preserve">+0.00 kPa</w:t>
                  </w:r>
                </w:p>
              </w:tc>
              <w:tc>
                <w:tcPr/>
                <w:p>
                  <w:pPr>
                    <w:pStyle w:val="Compact"/>
                    <w:jc w:val="right"/>
                    <w:jc w:val="center"/>
                  </w:pPr>
                  <w:r>
                    <w:t xml:space="preserve">0.2</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18</w:t>
                  </w:r>
                </w:p>
              </w:tc>
              <w:tc>
                <w:tcPr/>
                <w:p>
                  <w:pPr>
                    <w:pStyle w:val="Compact"/>
                    <w:jc w:val="right"/>
                    <w:jc w:val="center"/>
                  </w:pPr>
                  <w:r>
                    <w:t xml:space="preserve">50%</w:t>
                  </w:r>
                </w:p>
              </w:tc>
              <w:tc>
                <w:tcPr/>
                <w:p>
                  <w:pPr>
                    <w:pStyle w:val="Compact"/>
                    <w:jc w:val="right"/>
                    <w:jc w:val="center"/>
                  </w:pPr>
                  <w:r>
                    <w:t xml:space="preserve">9.0</w:t>
                  </w:r>
                </w:p>
              </w:tc>
              <w:tc>
                <w:tcPr/>
                <w:p>
                  <w:pPr>
                    <w:pStyle w:val="Compact"/>
                    <w:jc w:val="right"/>
                    <w:jc w:val="center"/>
                  </w:pPr>
                  <w:r>
                    <w:t xml:space="preserve">+0.00 kPa</w:t>
                  </w:r>
                </w:p>
              </w:tc>
              <w:tc>
                <w:tcPr/>
                <w:p>
                  <w:pPr>
                    <w:pStyle w:val="Compact"/>
                    <w:jc w:val="right"/>
                    <w:jc w:val="center"/>
                  </w:pPr>
                  <w:r>
                    <w:t xml:space="preserve">5.4</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18</w:t>
                  </w:r>
                </w:p>
              </w:tc>
              <w:tc>
                <w:tcPr/>
                <w:p>
                  <w:pPr>
                    <w:pStyle w:val="Compact"/>
                    <w:jc w:val="right"/>
                    <w:jc w:val="center"/>
                  </w:pPr>
                  <w:r>
                    <w:t xml:space="preserve">75%</w:t>
                  </w:r>
                </w:p>
              </w:tc>
              <w:tc>
                <w:tcPr/>
                <w:p>
                  <w:pPr>
                    <w:pStyle w:val="Compact"/>
                    <w:jc w:val="right"/>
                    <w:jc w:val="center"/>
                  </w:pPr>
                  <w:r>
                    <w:t xml:space="preserve">13.5</w:t>
                  </w:r>
                </w:p>
              </w:tc>
              <w:tc>
                <w:tcPr/>
                <w:p>
                  <w:pPr>
                    <w:pStyle w:val="Compact"/>
                    <w:jc w:val="right"/>
                    <w:jc w:val="center"/>
                  </w:pPr>
                  <w:r>
                    <w:t xml:space="preserve">+0.00 kPa</w:t>
                  </w:r>
                </w:p>
              </w:tc>
              <w:tc>
                <w:tcPr/>
                <w:p>
                  <w:pPr>
                    <w:pStyle w:val="Compact"/>
                    <w:jc w:val="right"/>
                    <w:jc w:val="center"/>
                  </w:pPr>
                  <w:r>
                    <w:t xml:space="preserve">10.6</w:t>
                  </w:r>
                </w:p>
              </w:tc>
              <w:tc>
                <w:tcPr/>
                <w:p>
                  <w:pPr>
                    <w:pStyle w:val="Compact"/>
                    <w:jc w:val="right"/>
                    <w:jc w:val="center"/>
                  </w:pPr>
                  <w:r>
                    <w:t xml:space="preserve">+0.00 kPa</w:t>
                  </w:r>
                </w:p>
              </w:tc>
              <w:tc>
                <w:tcPr/>
                <w:p>
                  <w:pPr>
                    <w:pStyle w:val="Compact"/>
                    <w:jc w:val="right"/>
                    <w:jc w:val="center"/>
                  </w:pPr>
                  <w:r>
                    <w:t xml:space="preserve">2.2</w:t>
                  </w:r>
                </w:p>
              </w:tc>
            </w:tr>
            <w:tr>
              <w:tc>
                <w:tcPr/>
                <w:p>
                  <w:pPr>
                    <w:pStyle w:val="Compact"/>
                    <w:jc w:val="right"/>
                    <w:jc w:val="center"/>
                  </w:pPr>
                  <w:r>
                    <w:t xml:space="preserve">20</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20</w:t>
                  </w:r>
                </w:p>
              </w:tc>
              <w:tc>
                <w:tcPr/>
                <w:p>
                  <w:pPr>
                    <w:pStyle w:val="Compact"/>
                    <w:jc w:val="right"/>
                    <w:jc w:val="center"/>
                  </w:pPr>
                  <w:r>
                    <w:t xml:space="preserve">25%</w:t>
                  </w:r>
                </w:p>
              </w:tc>
              <w:tc>
                <w:tcPr/>
                <w:p>
                  <w:pPr>
                    <w:pStyle w:val="Compact"/>
                    <w:jc w:val="right"/>
                    <w:jc w:val="center"/>
                  </w:pPr>
                  <w:r>
                    <w:t xml:space="preserve">5.0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20</w:t>
                  </w:r>
                </w:p>
              </w:tc>
              <w:tc>
                <w:tcPr/>
                <w:p>
                  <w:pPr>
                    <w:pStyle w:val="Compact"/>
                    <w:jc w:val="right"/>
                    <w:jc w:val="center"/>
                  </w:pPr>
                  <w:r>
                    <w:t xml:space="preserve">50%</w:t>
                  </w:r>
                </w:p>
              </w:tc>
              <w:tc>
                <w:tcPr/>
                <w:p>
                  <w:pPr>
                    <w:pStyle w:val="Compact"/>
                    <w:jc w:val="right"/>
                    <w:jc w:val="center"/>
                  </w:pPr>
                  <w:r>
                    <w:t xml:space="preserve">10.0</w:t>
                  </w:r>
                </w:p>
              </w:tc>
              <w:tc>
                <w:tcPr/>
                <w:p>
                  <w:pPr>
                    <w:pStyle w:val="Compact"/>
                    <w:jc w:val="right"/>
                    <w:jc w:val="center"/>
                  </w:pPr>
                  <w:r>
                    <w:t xml:space="preserve">+0.00 kPa</w:t>
                  </w:r>
                </w:p>
              </w:tc>
              <w:tc>
                <w:tcPr/>
                <w:p>
                  <w:pPr>
                    <w:pStyle w:val="Compact"/>
                    <w:jc w:val="right"/>
                    <w:jc w:val="center"/>
                  </w:pPr>
                  <w:r>
                    <w:t xml:space="preserve">4.8</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20</w:t>
                  </w:r>
                </w:p>
              </w:tc>
              <w:tc>
                <w:tcPr/>
                <w:p>
                  <w:pPr>
                    <w:pStyle w:val="Compact"/>
                    <w:jc w:val="right"/>
                    <w:jc w:val="center"/>
                  </w:pPr>
                  <w:r>
                    <w:t xml:space="preserve">75%</w:t>
                  </w:r>
                </w:p>
              </w:tc>
              <w:tc>
                <w:tcPr/>
                <w:p>
                  <w:pPr>
                    <w:pStyle w:val="Compact"/>
                    <w:jc w:val="right"/>
                    <w:jc w:val="center"/>
                  </w:pPr>
                  <w:r>
                    <w:t xml:space="preserve">15.0</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1.9</w:t>
                  </w:r>
                </w:p>
              </w:tc>
            </w:tr>
            <w:tr>
              <w:tc>
                <w:tcPr/>
                <w:p>
                  <w:pPr>
                    <w:pStyle w:val="Compact"/>
                    <w:jc w:val="right"/>
                    <w:jc w:val="center"/>
                  </w:pPr>
                  <w:r>
                    <w:t xml:space="preserve">22</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22</w:t>
                  </w:r>
                </w:p>
              </w:tc>
              <w:tc>
                <w:tcPr/>
                <w:p>
                  <w:pPr>
                    <w:pStyle w:val="Compact"/>
                    <w:jc w:val="right"/>
                    <w:jc w:val="center"/>
                  </w:pPr>
                  <w:r>
                    <w:t xml:space="preserve">25%</w:t>
                  </w:r>
                </w:p>
              </w:tc>
              <w:tc>
                <w:tcPr/>
                <w:p>
                  <w:pPr>
                    <w:pStyle w:val="Compact"/>
                    <w:jc w:val="right"/>
                    <w:jc w:val="center"/>
                  </w:pPr>
                  <w:r>
                    <w:t xml:space="preserve">5.5</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22</w:t>
                  </w:r>
                </w:p>
              </w:tc>
              <w:tc>
                <w:tcPr/>
                <w:p>
                  <w:pPr>
                    <w:pStyle w:val="Compact"/>
                    <w:jc w:val="right"/>
                    <w:jc w:val="center"/>
                  </w:pPr>
                  <w:r>
                    <w:t xml:space="preserve">50%</w:t>
                  </w:r>
                </w:p>
              </w:tc>
              <w:tc>
                <w:tcPr/>
                <w:p>
                  <w:pPr>
                    <w:pStyle w:val="Compact"/>
                    <w:jc w:val="right"/>
                    <w:jc w:val="center"/>
                  </w:pPr>
                  <w:r>
                    <w:t xml:space="preserve">11.0</w:t>
                  </w:r>
                </w:p>
              </w:tc>
              <w:tc>
                <w:tcPr/>
                <w:p>
                  <w:pPr>
                    <w:pStyle w:val="Compact"/>
                    <w:jc w:val="right"/>
                    <w:jc w:val="center"/>
                  </w:pPr>
                  <w:r>
                    <w:t xml:space="preserve">+0.00 kPa</w:t>
                  </w:r>
                </w:p>
              </w:tc>
              <w:tc>
                <w:tcPr/>
                <w:p>
                  <w:pPr>
                    <w:pStyle w:val="Compact"/>
                    <w:jc w:val="right"/>
                    <w:jc w:val="center"/>
                  </w:pPr>
                  <w:r>
                    <w:t xml:space="preserve">4.3</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22</w:t>
                  </w:r>
                </w:p>
              </w:tc>
              <w:tc>
                <w:tcPr/>
                <w:p>
                  <w:pPr>
                    <w:pStyle w:val="Compact"/>
                    <w:jc w:val="right"/>
                    <w:jc w:val="center"/>
                  </w:pPr>
                  <w:r>
                    <w:t xml:space="preserve">75%</w:t>
                  </w:r>
                </w:p>
              </w:tc>
              <w:tc>
                <w:tcPr/>
                <w:p>
                  <w:pPr>
                    <w:pStyle w:val="Compact"/>
                    <w:jc w:val="right"/>
                    <w:jc w:val="center"/>
                  </w:pPr>
                  <w:r>
                    <w:t xml:space="preserve">16.5</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1.6</w:t>
                  </w:r>
                </w:p>
              </w:tc>
            </w:tr>
            <w:tr>
              <w:tc>
                <w:tcPr/>
                <w:p>
                  <w:pPr>
                    <w:pStyle w:val="Compact"/>
                    <w:jc w:val="right"/>
                    <w:jc w:val="center"/>
                  </w:pPr>
                  <w:r>
                    <w:t xml:space="preserve">25</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25</w:t>
                  </w:r>
                </w:p>
              </w:tc>
              <w:tc>
                <w:tcPr/>
                <w:p>
                  <w:pPr>
                    <w:pStyle w:val="Compact"/>
                    <w:jc w:val="right"/>
                    <w:jc w:val="center"/>
                  </w:pPr>
                  <w:r>
                    <w:t xml:space="preserve">25%</w:t>
                  </w:r>
                </w:p>
              </w:tc>
              <w:tc>
                <w:tcPr/>
                <w:p>
                  <w:pPr>
                    <w:pStyle w:val="Compact"/>
                    <w:jc w:val="right"/>
                    <w:jc w:val="center"/>
                  </w:pPr>
                  <w:r>
                    <w:t xml:space="preserve">6.2</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25</w:t>
                  </w:r>
                </w:p>
              </w:tc>
              <w:tc>
                <w:tcPr/>
                <w:p>
                  <w:pPr>
                    <w:pStyle w:val="Compact"/>
                    <w:jc w:val="right"/>
                    <w:jc w:val="center"/>
                  </w:pPr>
                  <w:r>
                    <w:t xml:space="preserve">50%</w:t>
                  </w:r>
                </w:p>
              </w:tc>
              <w:tc>
                <w:tcPr/>
                <w:p>
                  <w:pPr>
                    <w:pStyle w:val="Compact"/>
                    <w:jc w:val="right"/>
                    <w:jc w:val="center"/>
                  </w:pPr>
                  <w:r>
                    <w:t xml:space="preserve">12.5</w:t>
                  </w:r>
                </w:p>
              </w:tc>
              <w:tc>
                <w:tcPr/>
                <w:p>
                  <w:pPr>
                    <w:pStyle w:val="Compact"/>
                    <w:jc w:val="right"/>
                    <w:jc w:val="center"/>
                  </w:pPr>
                  <w:r>
                    <w:t xml:space="preserve">+0.00 kPa</w:t>
                  </w:r>
                </w:p>
              </w:tc>
              <w:tc>
                <w:tcPr/>
                <w:p>
                  <w:pPr>
                    <w:pStyle w:val="Compact"/>
                    <w:jc w:val="right"/>
                    <w:jc w:val="center"/>
                  </w:pPr>
                  <w:r>
                    <w:t xml:space="preserve">3.4</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25</w:t>
                  </w:r>
                </w:p>
              </w:tc>
              <w:tc>
                <w:tcPr/>
                <w:p>
                  <w:pPr>
                    <w:pStyle w:val="Compact"/>
                    <w:jc w:val="right"/>
                    <w:jc w:val="center"/>
                  </w:pPr>
                  <w:r>
                    <w:t xml:space="preserve">75%</w:t>
                  </w:r>
                </w:p>
              </w:tc>
              <w:tc>
                <w:tcPr/>
                <w:p>
                  <w:pPr>
                    <w:pStyle w:val="Compact"/>
                    <w:jc w:val="right"/>
                    <w:jc w:val="center"/>
                  </w:pPr>
                  <w:r>
                    <w:t xml:space="preserve">18.8</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1.2</w:t>
                  </w:r>
                </w:p>
              </w:tc>
            </w:tr>
            <w:tr>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30</w:t>
                  </w:r>
                </w:p>
              </w:tc>
              <w:tc>
                <w:tcPr/>
                <w:p>
                  <w:pPr>
                    <w:pStyle w:val="Compact"/>
                    <w:jc w:val="right"/>
                    <w:jc w:val="center"/>
                  </w:pPr>
                  <w:r>
                    <w:t xml:space="preserve">25%</w:t>
                  </w:r>
                </w:p>
              </w:tc>
              <w:tc>
                <w:tcPr/>
                <w:p>
                  <w:pPr>
                    <w:pStyle w:val="Compact"/>
                    <w:jc w:val="right"/>
                    <w:jc w:val="center"/>
                  </w:pPr>
                  <w:r>
                    <w:t xml:space="preserve">7.5</w:t>
                  </w:r>
                </w:p>
              </w:tc>
              <w:tc>
                <w:tcPr/>
                <w:p>
                  <w:pPr>
                    <w:pStyle w:val="Compact"/>
                    <w:jc w:val="right"/>
                    <w:jc w:val="center"/>
                  </w:pPr>
                  <w:r>
                    <w:t xml:space="preserve">+0.00 kPa</w:t>
                  </w:r>
                </w:p>
              </w:tc>
              <w:tc>
                <w:tcPr/>
                <w:p>
                  <w:pPr>
                    <w:pStyle w:val="Compact"/>
                    <w:jc w:val="right"/>
                    <w:jc w:val="center"/>
                  </w:pPr>
                  <w:r>
                    <w:t xml:space="preserve">0.0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30</w:t>
                  </w:r>
                </w:p>
              </w:tc>
              <w:tc>
                <w:tcPr/>
                <w:p>
                  <w:pPr>
                    <w:pStyle w:val="Compact"/>
                    <w:jc w:val="right"/>
                    <w:jc w:val="center"/>
                  </w:pPr>
                  <w:r>
                    <w:t xml:space="preserve">50%</w:t>
                  </w:r>
                </w:p>
              </w:tc>
              <w:tc>
                <w:tcPr/>
                <w:p>
                  <w:pPr>
                    <w:pStyle w:val="Compact"/>
                    <w:jc w:val="right"/>
                    <w:jc w:val="center"/>
                  </w:pPr>
                  <w:r>
                    <w:t xml:space="preserve">15.0</w:t>
                  </w:r>
                </w:p>
              </w:tc>
              <w:tc>
                <w:tcPr/>
                <w:p>
                  <w:pPr>
                    <w:pStyle w:val="Compact"/>
                    <w:jc w:val="right"/>
                    <w:jc w:val="center"/>
                  </w:pPr>
                  <w:r>
                    <w:t xml:space="preserve">+0.00 kPa</w:t>
                  </w:r>
                </w:p>
              </w:tc>
              <w:tc>
                <w:tcPr/>
                <w:p>
                  <w:pPr>
                    <w:pStyle w:val="Compact"/>
                    <w:jc w:val="right"/>
                    <w:jc w:val="center"/>
                  </w:pPr>
                  <w:r>
                    <w:t xml:space="preserve">2.0</w:t>
                  </w:r>
                </w:p>
              </w:tc>
              <w:tc>
                <w:tcPr/>
                <w:p>
                  <w:pPr>
                    <w:pStyle w:val="Compact"/>
                    <w:jc w:val="right"/>
                    <w:jc w:val="center"/>
                  </w:pPr>
                  <w:r>
                    <w:t xml:space="preserve">+0.00 kPa</w:t>
                  </w:r>
                </w:p>
              </w:tc>
              <w:tc>
                <w:tcPr/>
                <w:p>
                  <w:pPr>
                    <w:pStyle w:val="Compact"/>
                    <w:jc w:val="right"/>
                    <w:jc w:val="center"/>
                  </w:pPr>
                  <w:r>
                    <w:t xml:space="preserve">0.0</w:t>
                  </w:r>
                </w:p>
              </w:tc>
            </w:tr>
            <w:tr>
              <w:tc>
                <w:tcPr/>
                <w:p>
                  <w:pPr>
                    <w:pStyle w:val="Compact"/>
                    <w:jc w:val="right"/>
                    <w:jc w:val="center"/>
                  </w:pPr>
                  <w:r>
                    <w:t xml:space="preserve">30</w:t>
                  </w:r>
                </w:p>
              </w:tc>
              <w:tc>
                <w:tcPr/>
                <w:p>
                  <w:pPr>
                    <w:pStyle w:val="Compact"/>
                    <w:jc w:val="right"/>
                    <w:jc w:val="center"/>
                  </w:pPr>
                  <w:r>
                    <w:t xml:space="preserve">75%</w:t>
                  </w:r>
                </w:p>
              </w:tc>
              <w:tc>
                <w:tcPr/>
                <w:p>
                  <w:pPr>
                    <w:pStyle w:val="Compact"/>
                    <w:jc w:val="right"/>
                    <w:jc w:val="center"/>
                  </w:pPr>
                  <w:r>
                    <w:t xml:space="preserve">22.5</w:t>
                  </w:r>
                </w:p>
              </w:tc>
              <w:tc>
                <w:tcPr/>
                <w:p>
                  <w:pPr>
                    <w:pStyle w:val="Compact"/>
                    <w:jc w:val="right"/>
                    <w:jc w:val="center"/>
                  </w:pPr>
                  <w:r>
                    <w:t xml:space="preserve">+0.00 kPa</w:t>
                  </w:r>
                </w:p>
              </w:tc>
              <w:tc>
                <w:tcPr/>
                <w:p>
                  <w:pPr>
                    <w:pStyle w:val="Compact"/>
                    <w:jc w:val="right"/>
                    <w:jc w:val="center"/>
                  </w:pPr>
                  <w:r>
                    <w:t xml:space="preserve">10.7</w:t>
                  </w:r>
                </w:p>
              </w:tc>
              <w:tc>
                <w:tcPr/>
                <w:p>
                  <w:pPr>
                    <w:pStyle w:val="Compact"/>
                    <w:jc w:val="right"/>
                    <w:jc w:val="center"/>
                  </w:pPr>
                  <w:r>
                    <w:t xml:space="preserve">+0.00 kPa</w:t>
                  </w:r>
                </w:p>
              </w:tc>
              <w:tc>
                <w:tcPr/>
                <w:p>
                  <w:pPr>
                    <w:pStyle w:val="Compact"/>
                    <w:jc w:val="right"/>
                    <w:jc w:val="center"/>
                  </w:pPr>
                  <w:r>
                    <w:t xml:space="preserve">0.4</w:t>
                  </w:r>
                </w:p>
              </w:tc>
            </w:tr>
          </w:tbl>
          <w:bookmarkEnd w:id="50"/>
          <w:p/>
        </w:tc>
      </w:tr>
    </w:tbl>
    <w:p>
      <w:pPr>
        <w:pStyle w:val="BodyText"/>
      </w:pPr>
      <w:hyperlink w:anchor="tbl-bag-sweep">
        <w:r>
          <w:rPr>
            <w:rStyle w:val="Hyperlink"/>
          </w:rPr>
          <w:t xml:space="preserve">Table 6</w:t>
        </w:r>
      </w:hyperlink>
      <w:r>
        <w:t xml:space="preserve"> </w:t>
      </w:r>
      <w:r>
        <w:t xml:space="preserve">reveals three key points about the bag sizing:</w:t>
      </w:r>
    </w:p>
    <w:p>
      <w:pPr>
        <w:numPr>
          <w:ilvl w:val="0"/>
          <w:numId w:val="1005"/>
        </w:numPr>
      </w:pPr>
      <w:r>
        <w:rPr>
          <w:b/>
          <w:bCs/>
        </w:rPr>
        <w:t xml:space="preserve">Fill level does not affect whether the return leg is safe.</w:t>
      </w:r>
      <w:r>
        <w:t xml:space="preserve"> </w:t>
      </w:r>
      <w:r>
        <w:t xml:space="preserve">At every bag volume, all fill percentages produce the same minimum pressure differential. Higher initial fill means more sealed nitrogen and correspondingly more venting, but the return-leg margin is set by the bag’s ability to absorb the altitude-driven expansion, not by how much nitrogen it started with.</w:t>
      </w:r>
    </w:p>
    <w:p>
      <w:pPr>
        <w:numPr>
          <w:ilvl w:val="0"/>
          <w:numId w:val="1005"/>
        </w:numPr>
      </w:pPr>
      <w:r>
        <w:rPr>
          <w:b/>
          <w:bCs/>
        </w:rPr>
        <w:t xml:space="preserve">For the ideal vent (</w:t>
      </w:r>
      <m:oMath>
        <m:sSub>
          <m:e>
            <m:r>
              <m:t>P</m:t>
            </m:r>
          </m:e>
          <m:sub>
            <m:r>
              <m:t>c</m:t>
            </m:r>
            <m:r>
              <m:t>r</m:t>
            </m:r>
            <m:r>
              <m:t>a</m:t>
            </m:r>
            <m:r>
              <m:t>c</m:t>
            </m:r>
            <m:r>
              <m:t>k</m:t>
            </m:r>
          </m:sub>
        </m:sSub>
        <m:r>
          <m:rPr>
            <m:sty m:val="p"/>
          </m:rPr>
          <m:t>=</m:t>
        </m:r>
        <m:r>
          <m:t>0</m:t>
        </m:r>
      </m:oMath>
      <w:r>
        <w:rPr>
          <w:b/>
          <w:bCs/>
        </w:rPr>
        <w:t xml:space="preserve">), the minimum bag volume for a safe return at</w:t>
      </w:r>
      <w:r>
        <w:rPr>
          <w:b/>
          <w:bCs/>
        </w:rPr>
        <w:t xml:space="preserve"> </w:t>
      </w:r>
      <m:oMath>
        <m:sSub>
          <m:e>
            <m:r>
              <m:t>V</m:t>
            </m:r>
          </m:e>
          <m:sub>
            <m:r>
              <m:t>f</m:t>
            </m:r>
            <m:r>
              <m:t>i</m:t>
            </m:r>
            <m:r>
              <m:t>x</m:t>
            </m:r>
            <m:r>
              <m:t>e</m:t>
            </m:r>
            <m:r>
              <m:t>d</m:t>
            </m:r>
          </m:sub>
        </m:sSub>
        <m:r>
          <m:rPr>
            <m:sty m:val="p"/>
          </m:rPr>
          <m:t>=</m:t>
        </m:r>
        <m:r>
          <m:t>35</m:t>
        </m:r>
        <m:r>
          <m:t> </m:t>
        </m:r>
        <m:r>
          <m:rPr>
            <m:nor/>
            <m:sty m:val="p"/>
          </m:rPr>
          <m:t>L</m:t>
        </m:r>
      </m:oMath>
      <w:r>
        <w:rPr>
          <w:b/>
          <w:bCs/>
        </w:rPr>
        <w:t xml:space="preserve"> </w:t>
      </w:r>
      <w:r>
        <w:rPr>
          <w:b/>
          <w:bCs/>
        </w:rPr>
        <w:t xml:space="preserve">is approximately 13 L.</w:t>
      </w:r>
      <w:r>
        <w:t xml:space="preserve"> </w:t>
      </w:r>
      <w:r>
        <w:t xml:space="preserve">Below that, the bag saturates during the outbound cruise, nitrogen vents, and the return leg goes sub-atmospheric. The as-built 22 L bag provides roughly 9 L of margin above this threshold.</w:t>
      </w:r>
    </w:p>
    <w:p>
      <w:pPr>
        <w:numPr>
          <w:ilvl w:val="0"/>
          <w:numId w:val="1005"/>
        </w:numPr>
      </w:pPr>
      <w:r>
        <w:rPr>
          <w:b/>
          <w:bCs/>
        </w:rPr>
        <w:t xml:space="preserve">For the as-built 2 psig valve, the return leg is safe at every bag volume tested</w:t>
      </w:r>
      <w:r>
        <w:t xml:space="preserve"> </w:t>
      </w:r>
      <w:r>
        <w:t xml:space="preserve">— even a 5 L bag. The 2 psig cracking threshold is high enough that the valve never opens at</w:t>
      </w:r>
      <w:r>
        <w:t xml:space="preserve"> </w:t>
      </w:r>
      <m:oMath>
        <m:sSub>
          <m:e>
            <m:r>
              <m:t>V</m:t>
            </m:r>
          </m:e>
          <m:sub>
            <m:r>
              <m:t>f</m:t>
            </m:r>
            <m:r>
              <m:t>i</m:t>
            </m:r>
            <m:r>
              <m:t>x</m:t>
            </m:r>
            <m:r>
              <m:t>e</m:t>
            </m:r>
            <m:r>
              <m:t>d</m:t>
            </m:r>
          </m:sub>
        </m:sSub>
        <m:r>
          <m:rPr>
            <m:sty m:val="p"/>
          </m:rPr>
          <m:t>=</m:t>
        </m:r>
        <m:r>
          <m:t>35</m:t>
        </m:r>
        <m:r>
          <m:t> </m:t>
        </m:r>
        <m:r>
          <m:rPr>
            <m:nor/>
            <m:sty m:val="p"/>
          </m:rPr>
          <m:t>L</m:t>
        </m:r>
      </m:oMath>
      <w:r>
        <w:t xml:space="preserve">, regardless of bag capacity or fill level. The bag saturates (pressure builds above ambient) but never reaches the 2 psig vent threshold.</w:t>
      </w:r>
    </w:p>
    <w:p>
      <w:pPr>
        <w:pStyle w:val="FirstParagraph"/>
      </w:pPr>
      <w:hyperlink w:anchor="fig-bag-sensitivity">
        <w:r>
          <w:rPr>
            <w:rStyle w:val="Hyperlink"/>
          </w:rPr>
          <w:t xml:space="preserve">Figure 4</w:t>
        </w:r>
      </w:hyperlink>
      <w:r>
        <w:t xml:space="preserve"> </w:t>
      </w:r>
      <w:r>
        <w:t xml:space="preserve">shows the same data as a contour surface for the ideal-vent case, making the failure boundary visible.</w:t>
      </w:r>
    </w:p>
    <w:tbl>
      <w:tblPr>
        <w:tblStyle w:val="Table"/>
        <w:tblW w:type="pct" w:w="5000"/>
        <w:tblLayout w:type="fixed"/>
        <w:tblLook w:firstRow="0" w:lastRow="0" w:firstColumn="0" w:lastColumn="0" w:noHBand="0" w:noVBand="0" w:val="0000"/>
      </w:tblPr>
      <w:tblGrid>
        <w:gridCol w:w="7920"/>
      </w:tblGrid>
      <w:tr>
        <w:tc>
          <w:tcPr/>
          <w:bookmarkStart w:id="54" w:name="fig-bag-sensitivity"/>
          <w:p>
            <w:pPr>
              <w:pStyle w:val="Compact"/>
              <w:jc w:val="center"/>
            </w:pPr>
            <w:r>
              <w:drawing>
                <wp:inline>
                  <wp:extent cx="5334000" cy="3510555"/>
                  <wp:effectExtent b="0" l="0" r="0" t="0"/>
                  <wp:docPr descr="" title="" id="52" name="Picture"/>
                  <a:graphic>
                    <a:graphicData uri="http://schemas.openxmlformats.org/drawingml/2006/picture">
                      <pic:pic>
                        <pic:nvPicPr>
                          <pic:cNvPr descr="failure-mechanism_files/figure-docx/fig-bag-sensitivity-output-1.png" id="53" name="Picture"/>
                          <pic:cNvPicPr>
                            <a:picLocks noChangeArrowheads="1" noChangeAspect="1"/>
                          </pic:cNvPicPr>
                        </pic:nvPicPr>
                        <pic:blipFill>
                          <a:blip r:embed="rId51"/>
                          <a:stretch>
                            <a:fillRect/>
                          </a:stretch>
                        </pic:blipFill>
                        <pic:spPr bwMode="auto">
                          <a:xfrm>
                            <a:off x="0" y="0"/>
                            <a:ext cx="5334000" cy="3510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Minimum return-leg pressure differential versus bag volume and initial fill for V_fixed = 35 L with an ideal vent (P_crack = 0). The heavy contour marks ΔP = 0 (the failure boundary). Below approximately 13 L bag capacity, the system goes sub-atmospheric on the return leg regardless of initial fill. Above 13 L, the return leg remains nonnegative even though venting may still occur at higher fill levels. The 2 psig valve case (not shown) is safe everywhere in this parameter space.</w:t>
            </w:r>
          </w:p>
          <w:bookmarkEnd w:id="54"/>
        </w:tc>
      </w:tr>
    </w:tbl>
    <w:bookmarkEnd w:id="55"/>
    <w:bookmarkEnd w:id="56"/>
    <w:bookmarkStart w:id="80" w:name="sec-upper-bound"/>
    <w:p>
      <w:pPr>
        <w:pStyle w:val="Heading1"/>
      </w:pPr>
      <w:r>
        <w:t xml:space="preserve">10. Upper Bound on Overpressure</w:t>
      </w:r>
    </w:p>
    <w:p>
      <w:pPr>
        <w:pStyle w:val="FirstParagraph"/>
      </w:pPr>
      <w:r>
        <w:t xml:space="preserve">The preceding analysis establishes that return-leg underpressure results from irreversible mass loss through the bag vent. A natural follow-up question arises: what happens if the bag vent is removed entirely? The system already carries overpressure protection – the 0.5 bar gauge circuit relief valve required by PED 2014/68/EU. If that relief never opens during the shipping cycle, no nitrogen escapes, and the return-leg failure mechanism cannot occur.</w:t>
      </w:r>
    </w:p>
    <w:p>
      <w:pPr>
        <w:pStyle w:val="BodyText"/>
      </w:pPr>
      <w:r>
        <w:t xml:space="preserve">This section derives an analytical upper bound on the maximum internal overpressure that can develop during any single-flight shipping cycle, then verifies the bound against the full Helmholtz equation of state for nitrogen via CoolProp.</w:t>
      </w:r>
    </w:p>
    <w:bookmarkStart w:id="64" w:name="sec-overpressure-bound"/>
    <w:p>
      <w:pPr>
        <w:pStyle w:val="Heading2"/>
      </w:pPr>
      <w:r>
        <w:t xml:space="preserve">10.1 Maximum Overpressure Bound</w:t>
      </w:r>
    </w:p>
    <w:p>
      <w:pPr>
        <w:pStyle w:val="FirstParagraph"/>
      </w:pPr>
      <w:r>
        <w:t xml:space="preserve">Consider the sealed system with the bag vent removed. All nitrogen sealed at</w:t>
      </w:r>
      <w:r>
        <w:t xml:space="preserve"> </w:t>
      </w:r>
      <m:oMath>
        <m:r>
          <m:rPr>
            <m:sty m:val="p"/>
          </m:rPr>
          <m:t>(</m:t>
        </m:r>
        <m:sSub>
          <m:e>
            <m:r>
              <m:t>T</m:t>
            </m:r>
          </m:e>
          <m:sub>
            <m:r>
              <m:t>s</m:t>
            </m:r>
            <m:r>
              <m:t>e</m:t>
            </m:r>
            <m:r>
              <m:t>a</m:t>
            </m:r>
            <m:r>
              <m:t>l</m:t>
            </m:r>
          </m:sub>
        </m:sSub>
        <m:r>
          <m:rPr>
            <m:sty m:val="p"/>
          </m:rPr>
          <m:t>,</m:t>
        </m:r>
        <m:sSub>
          <m:e>
            <m:r>
              <m:t>P</m:t>
            </m:r>
          </m:e>
          <m:sub>
            <m:r>
              <m:t>s</m:t>
            </m:r>
            <m:r>
              <m:t>e</m:t>
            </m:r>
            <m:r>
              <m:t>a</m:t>
            </m:r>
            <m:r>
              <m:t>l</m:t>
            </m:r>
          </m:sub>
        </m:sSub>
        <m:r>
          <m:rPr>
            <m:sty m:val="p"/>
          </m:rPr>
          <m:t>)</m:t>
        </m:r>
      </m:oMath>
      <w:r>
        <w:t xml:space="preserve"> </w:t>
      </w:r>
      <w:r>
        <w:t xml:space="preserve">remains in the system at all times. In the limit where</w:t>
      </w:r>
      <w:r>
        <w:t xml:space="preserve"> </w:t>
      </w:r>
      <m:oMath>
        <m:sSub>
          <m:e>
            <m:r>
              <m:t>V</m:t>
            </m:r>
          </m:e>
          <m:sub>
            <m:r>
              <m:t>f</m:t>
            </m:r>
            <m:r>
              <m:t>i</m:t>
            </m:r>
            <m:r>
              <m:t>x</m:t>
            </m:r>
            <m:r>
              <m:t>e</m:t>
            </m:r>
            <m:r>
              <m:t>d</m:t>
            </m:r>
          </m:sub>
        </m:sSub>
      </m:oMath>
      <w:r>
        <w:t xml:space="preserve"> </w:t>
      </w:r>
      <w:r>
        <w:t xml:space="preserve">is large relative to the bag volume, the total gas volume is approximately constant and the internal pressure at any point in the cycle is bounded by</w:t>
      </w:r>
    </w:p>
    <w:p>
      <w:pPr>
        <w:pStyle w:val="BodyText"/>
      </w:pPr>
      <w:bookmarkStart w:id="57" w:name="eq-pint-bound"/>
      <m:oMathPara>
        <m:oMathParaPr>
          <m:jc m:val="center"/>
        </m:oMathParaPr>
        <m:oMath>
          <m:sSub>
            <m:e>
              <m:r>
                <m:t>P</m:t>
              </m:r>
            </m:e>
            <m:sub>
              <m:r>
                <m:t>i</m:t>
              </m:r>
              <m:r>
                <m:t>n</m:t>
              </m:r>
              <m:r>
                <m:t>t</m:t>
              </m:r>
            </m:sub>
          </m:sSub>
          <m:r>
            <m:rPr>
              <m:sty m:val="p"/>
            </m:rPr>
            <m:t>=</m:t>
          </m:r>
          <m:sSub>
            <m:e>
              <m:r>
                <m:t>P</m:t>
              </m:r>
            </m:e>
            <m:sub>
              <m:r>
                <m:t>s</m:t>
              </m:r>
              <m:r>
                <m:t>e</m:t>
              </m:r>
              <m:r>
                <m:t>a</m:t>
              </m:r>
              <m:r>
                <m:t>l</m:t>
              </m:r>
            </m:sub>
          </m:sSub>
          <m:r>
            <m:rPr>
              <m:sty m:val="p"/>
            </m:rPr>
            <m:t>⋅</m:t>
          </m:r>
          <m:f>
            <m:fPr>
              <m:type m:val="bar"/>
            </m:fPr>
            <m:num>
              <m:r>
                <m:t>T</m:t>
              </m:r>
            </m:num>
            <m:den>
              <m:sSub>
                <m:e>
                  <m:r>
                    <m:t>T</m:t>
                  </m:r>
                </m:e>
                <m:sub>
                  <m:r>
                    <m:t>s</m:t>
                  </m:r>
                  <m:r>
                    <m:t>e</m:t>
                  </m:r>
                  <m:r>
                    <m:t>a</m:t>
                  </m:r>
                  <m:r>
                    <m:t>l</m:t>
                  </m:r>
                </m:sub>
              </m:sSub>
            </m:den>
          </m:f>
          <m:r>
            <m:t>  </m:t>
          </m:r>
          <m:r>
            <m:rPr>
              <m:sty m:val="p"/>
            </m:rPr>
            <m:t>(</m:t>
          </m:r>
          <m:r>
            <m:t>3</m:t>
          </m:r>
          <m:r>
            <m:rPr>
              <m:sty m:val="p"/>
            </m:rPr>
            <m:t>)</m:t>
          </m:r>
        </m:oMath>
      </m:oMathPara>
      <w:bookmarkEnd w:id="57"/>
    </w:p>
    <w:p>
      <w:pPr>
        <w:pStyle w:val="FirstParagraph"/>
      </w:pPr>
      <w:r>
        <w:t xml:space="preserve">where</w:t>
      </w:r>
      <w:r>
        <w:t xml:space="preserve"> </w:t>
      </w:r>
      <m:oMath>
        <m:r>
          <m:t>T</m:t>
        </m:r>
      </m:oMath>
      <w:r>
        <w:t xml:space="preserve"> </w:t>
      </w:r>
      <w:r>
        <w:t xml:space="preserve">is the instantaneous cargo temperature. The overpressure above ambient is</w:t>
      </w:r>
    </w:p>
    <w:p>
      <w:pPr>
        <w:pStyle w:val="BodyText"/>
      </w:pPr>
      <w:bookmarkStart w:id="58" w:name="eq-dp-bound"/>
      <m:oMathPara>
        <m:oMathParaPr>
          <m:jc m:val="center"/>
        </m:oMathParaPr>
        <m:oMath>
          <m:r>
            <m:rPr>
              <m:sty m:val="p"/>
            </m:rPr>
            <m:t>Δ</m:t>
          </m:r>
          <m:r>
            <m:t>P</m:t>
          </m:r>
          <m:r>
            <m:rPr>
              <m:sty m:val="p"/>
            </m:rPr>
            <m:t>=</m:t>
          </m:r>
          <m:sSub>
            <m:e>
              <m:r>
                <m:t>P</m:t>
              </m:r>
            </m:e>
            <m:sub>
              <m:r>
                <m:t>s</m:t>
              </m:r>
              <m:r>
                <m:t>e</m:t>
              </m:r>
              <m:r>
                <m:t>a</m:t>
              </m:r>
              <m:r>
                <m:t>l</m:t>
              </m:r>
            </m:sub>
          </m:sSub>
          <m:r>
            <m:rPr>
              <m:sty m:val="p"/>
            </m:rPr>
            <m:t>⋅</m:t>
          </m:r>
          <m:f>
            <m:fPr>
              <m:type m:val="bar"/>
            </m:fPr>
            <m:num>
              <m:r>
                <m:t>T</m:t>
              </m:r>
            </m:num>
            <m:den>
              <m:sSub>
                <m:e>
                  <m:r>
                    <m:t>T</m:t>
                  </m:r>
                </m:e>
                <m:sub>
                  <m:r>
                    <m:t>s</m:t>
                  </m:r>
                  <m:r>
                    <m:t>e</m:t>
                  </m:r>
                  <m:r>
                    <m:t>a</m:t>
                  </m:r>
                  <m:r>
                    <m:t>l</m:t>
                  </m:r>
                </m:sub>
              </m:sSub>
            </m:den>
          </m:f>
          <m:r>
            <m:rPr>
              <m:sty m:val="p"/>
            </m:rPr>
            <m:t>−</m:t>
          </m:r>
          <m:sSub>
            <m:e>
              <m:r>
                <m:t>P</m:t>
              </m:r>
            </m:e>
            <m:sub>
              <m:r>
                <m:t>a</m:t>
              </m:r>
              <m:r>
                <m:t>m</m:t>
              </m:r>
              <m:r>
                <m:t>b</m:t>
              </m:r>
            </m:sub>
          </m:sSub>
          <m:r>
            <m:rPr>
              <m:sty m:val="p"/>
            </m:rPr>
            <m:t>.</m:t>
          </m:r>
          <m:r>
            <m:t>  </m:t>
          </m:r>
          <m:r>
            <m:rPr>
              <m:sty m:val="p"/>
            </m:rPr>
            <m:t>(</m:t>
          </m:r>
          <m:r>
            <m:t>4</m:t>
          </m:r>
          <m:r>
            <m:rPr>
              <m:sty m:val="p"/>
            </m:rPr>
            <m:t>)</m:t>
          </m:r>
        </m:oMath>
      </m:oMathPara>
      <w:bookmarkEnd w:id="58"/>
    </w:p>
    <w:p>
      <w:pPr>
        <w:pStyle w:val="FirstParagraph"/>
      </w:pPr>
      <w:r>
        <w:t xml:space="preserve">This expression is maximized when</w:t>
      </w:r>
      <w:r>
        <w:t xml:space="preserve"> </w:t>
      </w:r>
      <m:oMath>
        <m:r>
          <m:t>T</m:t>
        </m:r>
      </m:oMath>
      <w:r>
        <w:t xml:space="preserve"> </w:t>
      </w:r>
      <w:r>
        <w:t xml:space="preserve">is highest and</w:t>
      </w:r>
      <w:r>
        <w:t xml:space="preserve"> </w:t>
      </w:r>
      <m:oMath>
        <m:sSub>
          <m:e>
            <m:r>
              <m:t>P</m:t>
            </m:r>
          </m:e>
          <m:sub>
            <m:r>
              <m:t>a</m:t>
            </m:r>
            <m:r>
              <m:t>m</m:t>
            </m:r>
            <m:r>
              <m:t>b</m:t>
            </m:r>
          </m:sub>
        </m:sSub>
      </m:oMath>
      <w:r>
        <w:t xml:space="preserve"> </w:t>
      </w:r>
      <w:r>
        <w:t xml:space="preserve">is lowest – the cruise-altitude condition.</w:t>
      </w:r>
    </w:p>
    <w:bookmarkStart w:id="61" w:name="sec-cruise-bound"/>
    <w:p>
      <w:pPr>
        <w:pStyle w:val="Heading3"/>
      </w:pPr>
      <w:r>
        <w:t xml:space="preserve">10.1.1 Cruise altitude at 8000 ft</w:t>
      </w:r>
    </w:p>
    <w:p>
      <w:pPr>
        <w:pStyle w:val="FirstParagraph"/>
      </w:pPr>
      <w:r>
        <w:t xml:space="preserve">At cruise altitude,</w:t>
      </w:r>
      <w:r>
        <w:t xml:space="preserve"> </w:t>
      </w:r>
      <m:oMath>
        <m:sSub>
          <m:e>
            <m:r>
              <m:t>P</m:t>
            </m:r>
          </m:e>
          <m:sub>
            <m:r>
              <m:t>a</m:t>
            </m:r>
            <m:r>
              <m:t>m</m:t>
            </m:r>
            <m:r>
              <m:t>b</m:t>
            </m:r>
          </m:sub>
        </m:sSub>
        <m:r>
          <m:rPr>
            <m:sty m:val="p"/>
          </m:rPr>
          <m:t>≈</m:t>
        </m:r>
        <m:r>
          <m:t>75.26</m:t>
        </m:r>
        <m:r>
          <m:t> </m:t>
        </m:r>
        <m:r>
          <m:rPr>
            <m:nor/>
            <m:sty m:val="p"/>
          </m:rPr>
          <m:t>kPa</m:t>
        </m:r>
      </m:oMath>
      <w:r>
        <w:t xml:space="preserve"> </w:t>
      </w:r>
      <w:r>
        <w:t xml:space="preserve">for the 8000 ft cabin condition used here.</w:t>
      </w:r>
      <w:r>
        <w:t xml:space="preserve"> </w:t>
      </w:r>
      <w:hyperlink w:anchor="tbl-cruise-overpressure">
        <w:r>
          <w:rPr>
            <w:rStyle w:val="Hyperlink"/>
          </w:rPr>
          <w:t xml:space="preserve">Table 7</w:t>
        </w:r>
      </w:hyperlink>
      <w:r>
        <w:t xml:space="preserve"> </w:t>
      </w:r>
      <w:r>
        <w:t xml:space="preserve">shows the internal overpressure at cruise altitude for a range of cargo temperatures, assuming seal-up at 20 °C and 101.325 kPa.</w:t>
      </w:r>
    </w:p>
    <w:tbl>
      <w:tblPr>
        <w:tblStyle w:val="Table"/>
        <w:tblW w:type="pct" w:w="5000"/>
        <w:tblLayout w:type="fixed"/>
        <w:tblLook w:firstRow="0" w:lastRow="0" w:firstColumn="0" w:lastColumn="0" w:noHBand="0" w:noVBand="0" w:val="0000"/>
      </w:tblPr>
      <w:tblGrid>
        <w:gridCol w:w="7920"/>
      </w:tblGrid>
      <w:tr>
        <w:tc>
          <w:tcPr/>
          <w:bookmarkStart w:id="59" w:name="tbl-cruise-overpressure"/>
          <w:p>
            <w:pPr>
              <w:jc w:val="center"/>
            </w:pPr>
            <w:pPr>
              <w:jc w:val="left"/>
              <w:spacing w:before="200"/>
              <w:pStyle w:val="ImageCaption"/>
            </w:pPr>
            <w:r>
              <w:t xml:space="preserve">Table 7: Upper bound on internal overpressure at cruise altitude (8000 ft cabin,</w:t>
            </w:r>
            <w:r>
              <w:t xml:space="preserve"> </w:t>
            </w:r>
            <m:oMath>
              <m:sSub>
                <m:e>
                  <m:r>
                    <m:t>P</m:t>
                  </m:r>
                </m:e>
                <m:sub>
                  <m:r>
                    <m:t>a</m:t>
                  </m:r>
                  <m:r>
                    <m:t>m</m:t>
                  </m:r>
                  <m:r>
                    <m:t>b</m:t>
                  </m:r>
                </m:sub>
              </m:sSub>
              <m:r>
                <m:rPr>
                  <m:sty m:val="p"/>
                </m:rPr>
                <m:t>=</m:t>
              </m:r>
              <m:r>
                <m:t>75.26</m:t>
              </m:r>
              <m:r>
                <m:t> </m:t>
              </m:r>
              <m:r>
                <m:rPr>
                  <m:nor/>
                  <m:sty m:val="p"/>
                </m:rPr>
                <m:t>kPa</m:t>
              </m:r>
            </m:oMath>
            <w:r>
              <w:t xml:space="preserve">). Seal-up at 20 °C, 101.325 kPa.</w:t>
            </w:r>
          </w:p>
          <w:tbl>
            <w:tblPr>
              <w:tblStyle w:val="Table"/>
              <w:tblW w:type="pct" w:w="5000"/>
              <w:tblLayout w:type="fixed"/>
              <w:tblLook w:firstRow="1" w:lastRow="0" w:firstColumn="0" w:lastColumn="0" w:noHBand="0" w:noVBand="0" w:val="0020"/>
            </w:tblPr>
            <w:tblGrid>
              <w:gridCol w:w="1584"/>
              <w:gridCol w:w="1980"/>
              <w:gridCol w:w="1980"/>
              <w:gridCol w:w="2376"/>
            </w:tblGrid>
            <w:tr>
              <w:trPr>
                <w:tblHeader w:val="on"/>
              </w:trPr>
              <w:tc>
                <w:tcPr/>
                <w:p>
                  <w:pPr>
                    <w:pStyle w:val="Compact"/>
                    <w:jc w:val="right"/>
                    <w:jc w:val="center"/>
                  </w:pPr>
                  <m:oMath>
                    <m:sSub>
                      <m:e>
                        <m:r>
                          <m:t>T</m:t>
                        </m:r>
                      </m:e>
                      <m:sub>
                        <m:r>
                          <m:t>c</m:t>
                        </m:r>
                        <m:r>
                          <m:t>a</m:t>
                        </m:r>
                        <m:r>
                          <m:t>r</m:t>
                        </m:r>
                        <m:r>
                          <m:t>g</m:t>
                        </m:r>
                        <m:r>
                          <m:t>o</m:t>
                        </m:r>
                      </m:sub>
                    </m:sSub>
                  </m:oMath>
                  <w:r>
                    <w:t xml:space="preserve"> </w:t>
                  </w:r>
                  <w:r>
                    <w:t xml:space="preserve">(°C)</w:t>
                  </w:r>
                </w:p>
              </w:tc>
              <w:tc>
                <w:tcPr/>
                <w:p>
                  <w:pPr>
                    <w:pStyle w:val="Compact"/>
                    <w:jc w:val="right"/>
                    <w:jc w:val="center"/>
                  </w:pPr>
                  <m:oMath>
                    <m:sSub>
                      <m:e>
                        <m:r>
                          <m:t>P</m:t>
                        </m:r>
                      </m:e>
                      <m:sub>
                        <m:r>
                          <m:t>i</m:t>
                        </m:r>
                        <m:r>
                          <m:t>n</m:t>
                        </m:r>
                        <m:r>
                          <m:t>t</m:t>
                        </m:r>
                      </m:sub>
                    </m:sSub>
                  </m:oMath>
                  <w:r>
                    <w:t xml:space="preserve"> </w:t>
                  </w:r>
                  <w:r>
                    <w:t xml:space="preserve">(kPa)</w:t>
                  </w:r>
                </w:p>
              </w:tc>
              <w:tc>
                <w:tcPr/>
                <w:p>
                  <w:pPr>
                    <w:pStyle w:val="Compact"/>
                    <w:jc w:val="right"/>
                    <w:jc w:val="center"/>
                  </w:pPr>
                  <m:oMath>
                    <m:r>
                      <m:rPr>
                        <m:sty m:val="p"/>
                      </m:rPr>
                      <m:t>Δ</m:t>
                    </m:r>
                    <m:r>
                      <m:t>P</m:t>
                    </m:r>
                  </m:oMath>
                  <w:r>
                    <w:t xml:space="preserve"> </w:t>
                  </w:r>
                  <w:r>
                    <w:t xml:space="preserve">(kPa)</w:t>
                  </w:r>
                </w:p>
              </w:tc>
              <w:tc>
                <w:tcPr/>
                <w:p>
                  <w:pPr>
                    <w:pStyle w:val="Compact"/>
                    <w:jc w:val="right"/>
                    <w:jc w:val="center"/>
                  </w:pPr>
                  <m:oMath>
                    <m:r>
                      <m:rPr>
                        <m:sty m:val="p"/>
                      </m:rPr>
                      <m:t>Δ</m:t>
                    </m:r>
                    <m:r>
                      <m:t>P</m:t>
                    </m:r>
                  </m:oMath>
                  <w:r>
                    <w:t xml:space="preserve"> </w:t>
                  </w:r>
                  <w:r>
                    <w:t xml:space="preserve">(bar g)</w:t>
                  </w:r>
                </w:p>
              </w:tc>
            </w:tr>
            <w:tr>
              <w:tc>
                <w:tcPr/>
                <w:p>
                  <w:pPr>
                    <w:pStyle w:val="Compact"/>
                    <w:jc w:val="right"/>
                    <w:jc w:val="center"/>
                  </w:pPr>
                  <w:r>
                    <w:t xml:space="preserve">10</w:t>
                  </w:r>
                </w:p>
              </w:tc>
              <w:tc>
                <w:tcPr/>
                <w:p>
                  <w:pPr>
                    <w:pStyle w:val="Compact"/>
                    <w:jc w:val="right"/>
                    <w:jc w:val="center"/>
                  </w:pPr>
                  <w:r>
                    <w:t xml:space="preserve">97.9</w:t>
                  </w:r>
                </w:p>
              </w:tc>
              <w:tc>
                <w:tcPr/>
                <w:p>
                  <w:pPr>
                    <w:pStyle w:val="Compact"/>
                    <w:jc w:val="right"/>
                    <w:jc w:val="center"/>
                  </w:pPr>
                  <w:r>
                    <w:t xml:space="preserve">22.6</w:t>
                  </w:r>
                </w:p>
              </w:tc>
              <w:tc>
                <w:tcPr/>
                <w:p>
                  <w:pPr>
                    <w:pStyle w:val="Compact"/>
                    <w:jc w:val="right"/>
                    <w:jc w:val="center"/>
                  </w:pPr>
                  <w:r>
                    <w:t xml:space="preserve">0.226</w:t>
                  </w:r>
                </w:p>
              </w:tc>
            </w:tr>
            <w:tr>
              <w:tc>
                <w:tcPr/>
                <w:p>
                  <w:pPr>
                    <w:pStyle w:val="Compact"/>
                    <w:jc w:val="right"/>
                    <w:jc w:val="center"/>
                  </w:pPr>
                  <w:r>
                    <w:t xml:space="preserve">20</w:t>
                  </w:r>
                </w:p>
              </w:tc>
              <w:tc>
                <w:tcPr/>
                <w:p>
                  <w:pPr>
                    <w:pStyle w:val="Compact"/>
                    <w:jc w:val="right"/>
                    <w:jc w:val="center"/>
                  </w:pPr>
                  <w:r>
                    <w:t xml:space="preserve">101.3</w:t>
                  </w:r>
                </w:p>
              </w:tc>
              <w:tc>
                <w:tcPr/>
                <w:p>
                  <w:pPr>
                    <w:pStyle w:val="Compact"/>
                    <w:jc w:val="right"/>
                    <w:jc w:val="center"/>
                  </w:pPr>
                  <w:r>
                    <w:t xml:space="preserve">26.1</w:t>
                  </w:r>
                </w:p>
              </w:tc>
              <w:tc>
                <w:tcPr/>
                <w:p>
                  <w:pPr>
                    <w:pStyle w:val="Compact"/>
                    <w:jc w:val="right"/>
                    <w:jc w:val="center"/>
                  </w:pPr>
                  <w:r>
                    <w:t xml:space="preserve">0.261</w:t>
                  </w:r>
                </w:p>
              </w:tc>
            </w:tr>
            <w:tr>
              <w:tc>
                <w:tcPr/>
                <w:p>
                  <w:pPr>
                    <w:pStyle w:val="Compact"/>
                    <w:jc w:val="right"/>
                    <w:jc w:val="center"/>
                  </w:pPr>
                  <w:r>
                    <w:t xml:space="preserve">30</w:t>
                  </w:r>
                </w:p>
              </w:tc>
              <w:tc>
                <w:tcPr/>
                <w:p>
                  <w:pPr>
                    <w:pStyle w:val="Compact"/>
                    <w:jc w:val="right"/>
                    <w:jc w:val="center"/>
                  </w:pPr>
                  <w:r>
                    <w:t xml:space="preserve">104.8</w:t>
                  </w:r>
                </w:p>
              </w:tc>
              <w:tc>
                <w:tcPr/>
                <w:p>
                  <w:pPr>
                    <w:pStyle w:val="Compact"/>
                    <w:jc w:val="right"/>
                    <w:jc w:val="center"/>
                  </w:pPr>
                  <w:r>
                    <w:t xml:space="preserve">29.5</w:t>
                  </w:r>
                </w:p>
              </w:tc>
              <w:tc>
                <w:tcPr/>
                <w:p>
                  <w:pPr>
                    <w:pStyle w:val="Compact"/>
                    <w:jc w:val="right"/>
                    <w:jc w:val="center"/>
                  </w:pPr>
                  <w:r>
                    <w:t xml:space="preserve">0.295</w:t>
                  </w:r>
                </w:p>
              </w:tc>
            </w:tr>
            <w:tr>
              <w:tc>
                <w:tcPr/>
                <w:p>
                  <w:pPr>
                    <w:pStyle w:val="Compact"/>
                    <w:jc w:val="right"/>
                    <w:jc w:val="center"/>
                  </w:pPr>
                  <w:r>
                    <w:t xml:space="preserve">40</w:t>
                  </w:r>
                </w:p>
              </w:tc>
              <w:tc>
                <w:tcPr/>
                <w:p>
                  <w:pPr>
                    <w:pStyle w:val="Compact"/>
                    <w:jc w:val="right"/>
                    <w:jc w:val="center"/>
                  </w:pPr>
                  <w:r>
                    <w:t xml:space="preserve">108.2</w:t>
                  </w:r>
                </w:p>
              </w:tc>
              <w:tc>
                <w:tcPr/>
                <w:p>
                  <w:pPr>
                    <w:pStyle w:val="Compact"/>
                    <w:jc w:val="right"/>
                    <w:jc w:val="center"/>
                  </w:pPr>
                  <w:r>
                    <w:t xml:space="preserve">33.0</w:t>
                  </w:r>
                </w:p>
              </w:tc>
              <w:tc>
                <w:tcPr/>
                <w:p>
                  <w:pPr>
                    <w:pStyle w:val="Compact"/>
                    <w:jc w:val="right"/>
                    <w:jc w:val="center"/>
                  </w:pPr>
                  <w:r>
                    <w:t xml:space="preserve">0.330</w:t>
                  </w:r>
                </w:p>
              </w:tc>
            </w:tr>
          </w:tbl>
          <w:bookmarkEnd w:id="59"/>
          <w:p/>
        </w:tc>
      </w:tr>
    </w:tbl>
    <w:p>
      <w:pPr>
        <w:pStyle w:val="BodyText"/>
      </w:pPr>
      <w:r>
        <w:t xml:space="preserve">Even at 40 °C cargo temperature – the upper bound of the shipping specification – the overpressure reaches only 0.33 bar gauge. The 0.5 bar circuit relief valve does not open.</w:t>
      </w:r>
    </w:p>
    <w:p>
      <w:pPr>
        <w:pStyle w:val="BodyText"/>
      </w:pPr>
      <w:r>
        <w:t xml:space="preserve">The cargo temperature required to reach the 0.5 bar relief threshold at cruise altitude is</w:t>
      </w:r>
    </w:p>
    <w:p>
      <w:pPr>
        <w:pStyle w:val="BodyText"/>
      </w:pPr>
      <w:bookmarkStart w:id="60" w:name="eq-t-relief"/>
      <m:oMathPara>
        <m:oMathParaPr>
          <m:jc m:val="center"/>
        </m:oMathParaPr>
        <m:oMath>
          <m:sSub>
            <m:e>
              <m:r>
                <m:t>T</m:t>
              </m:r>
            </m:e>
            <m:sub>
              <m:r>
                <m:t>r</m:t>
              </m:r>
              <m:r>
                <m:t>e</m:t>
              </m:r>
              <m:r>
                <m:t>l</m:t>
              </m:r>
              <m:r>
                <m:t>i</m:t>
              </m:r>
              <m:r>
                <m:t>e</m:t>
              </m:r>
              <m:r>
                <m:t>f</m:t>
              </m:r>
            </m:sub>
          </m:sSub>
          <m:r>
            <m:rPr>
              <m:sty m:val="p"/>
            </m:rPr>
            <m:t>=</m:t>
          </m:r>
          <m:f>
            <m:fPr>
              <m:type m:val="bar"/>
            </m:fPr>
            <m:num>
              <m:r>
                <m:rPr>
                  <m:sty m:val="p"/>
                </m:rPr>
                <m:t>(</m:t>
              </m:r>
              <m:sSub>
                <m:e>
                  <m:r>
                    <m:t>P</m:t>
                  </m:r>
                </m:e>
                <m:sub>
                  <m:r>
                    <m:t>a</m:t>
                  </m:r>
                  <m:r>
                    <m:t>m</m:t>
                  </m:r>
                  <m:r>
                    <m:t>b</m:t>
                  </m:r>
                </m:sub>
              </m:sSub>
              <m:r>
                <m:rPr>
                  <m:sty m:val="p"/>
                </m:rPr>
                <m:t>+</m:t>
              </m:r>
              <m:r>
                <m:t>0.5</m:t>
              </m:r>
              <m:r>
                <m:rPr>
                  <m:sty m:val="p"/>
                </m:rPr>
                <m:t>×</m:t>
              </m:r>
              <m:sSup>
                <m:e>
                  <m:r>
                    <m:t>10</m:t>
                  </m:r>
                </m:e>
                <m:sup>
                  <m:r>
                    <m:t>5</m:t>
                  </m:r>
                </m:sup>
              </m:sSup>
              <m:r>
                <m:rPr>
                  <m:sty m:val="p"/>
                </m:rPr>
                <m:t>)</m:t>
              </m:r>
              <m:r>
                <m:rPr>
                  <m:sty m:val="p"/>
                </m:rPr>
                <m:t>⋅</m:t>
              </m:r>
              <m:sSub>
                <m:e>
                  <m:r>
                    <m:t>T</m:t>
                  </m:r>
                </m:e>
                <m:sub>
                  <m:r>
                    <m:t>s</m:t>
                  </m:r>
                  <m:r>
                    <m:t>e</m:t>
                  </m:r>
                  <m:r>
                    <m:t>a</m:t>
                  </m:r>
                  <m:r>
                    <m:t>l</m:t>
                  </m:r>
                </m:sub>
              </m:sSub>
            </m:num>
            <m:den>
              <m:sSub>
                <m:e>
                  <m:r>
                    <m:t>P</m:t>
                  </m:r>
                </m:e>
                <m:sub>
                  <m:r>
                    <m:t>s</m:t>
                  </m:r>
                  <m:r>
                    <m:t>e</m:t>
                  </m:r>
                  <m:r>
                    <m:t>a</m:t>
                  </m:r>
                  <m:r>
                    <m:t>l</m:t>
                  </m:r>
                </m:sub>
              </m:sSub>
            </m:den>
          </m:f>
          <m:r>
            <m:rPr>
              <m:sty m:val="p"/>
            </m:rPr>
            <m:t>=</m:t>
          </m:r>
          <m:f>
            <m:fPr>
              <m:type m:val="bar"/>
            </m:fPr>
            <m:num>
              <m:r>
                <m:t>125</m:t>
              </m:r>
              <m:r>
                <m:t> </m:t>
              </m:r>
              <m:r>
                <m:t>263</m:t>
              </m:r>
              <m:r>
                <m:rPr>
                  <m:sty m:val="p"/>
                </m:rPr>
                <m:t>×</m:t>
              </m:r>
              <m:r>
                <m:t>293.15</m:t>
              </m:r>
            </m:num>
            <m:den>
              <m:r>
                <m:t>101</m:t>
              </m:r>
              <m:r>
                <m:t> </m:t>
              </m:r>
              <m:r>
                <m:t>325</m:t>
              </m:r>
            </m:den>
          </m:f>
          <m:r>
            <m:rPr>
              <m:sty m:val="p"/>
            </m:rPr>
            <m:t>=</m:t>
          </m:r>
          <m:r>
            <m:t>362.5</m:t>
          </m:r>
          <m:r>
            <m:t> </m:t>
          </m:r>
          <m:r>
            <m:rPr>
              <m:nor/>
              <m:sty m:val="p"/>
            </m:rPr>
            <m:t>K</m:t>
          </m:r>
          <m:r>
            <m:rPr>
              <m:sty m:val="p"/>
            </m:rPr>
            <m:t>=</m:t>
          </m:r>
          <m:r>
            <m:t>89.3</m:t>
          </m:r>
          <m:r>
            <m:t> </m:t>
          </m:r>
          <m:r>
            <m:rPr>
              <m:nor/>
              <m:sty m:val="p"/>
            </m:rPr>
            <m:t>°C</m:t>
          </m:r>
          <m:r>
            <m:rPr>
              <m:sty m:val="p"/>
            </m:rPr>
            <m:t>.</m:t>
          </m:r>
          <m:r>
            <m:t>  </m:t>
          </m:r>
          <m:r>
            <m:rPr>
              <m:sty m:val="p"/>
            </m:rPr>
            <m:t>(</m:t>
          </m:r>
          <m:r>
            <m:t>5</m:t>
          </m:r>
          <m:r>
            <m:rPr>
              <m:sty m:val="p"/>
            </m:rPr>
            <m:t>)</m:t>
          </m:r>
        </m:oMath>
      </m:oMathPara>
      <w:bookmarkEnd w:id="60"/>
    </w:p>
    <w:p>
      <w:pPr>
        <w:pStyle w:val="FirstParagraph"/>
      </w:pPr>
      <w:r>
        <w:t xml:space="preserve">A cargo temperature of 89 °C is not physically achievable in air freight. The 0.5 bar circuit relief valve cannot open at cruise altitude regardless of</w:t>
      </w:r>
      <w:r>
        <w:t xml:space="preserve"> </w:t>
      </w:r>
      <m:oMath>
        <m:sSub>
          <m:e>
            <m:r>
              <m:t>V</m:t>
            </m:r>
          </m:e>
          <m:sub>
            <m:r>
              <m:t>f</m:t>
            </m:r>
            <m:r>
              <m:t>i</m:t>
            </m:r>
            <m:r>
              <m:t>x</m:t>
            </m:r>
            <m:r>
              <m:t>e</m:t>
            </m:r>
            <m:r>
              <m:t>d</m:t>
            </m:r>
          </m:sub>
        </m:sSub>
      </m:oMath>
      <w:r>
        <w:t xml:space="preserve">.</w:t>
      </w:r>
    </w:p>
    <w:bookmarkEnd w:id="61"/>
    <w:bookmarkStart w:id="63" w:name="sec-tarmac-bound"/>
    <w:p>
      <w:pPr>
        <w:pStyle w:val="Heading3"/>
      </w:pPr>
      <w:r>
        <w:t xml:space="preserve">10.1.2 Sea-level tarmac conditions</w:t>
      </w:r>
    </w:p>
    <w:p>
      <w:pPr>
        <w:pStyle w:val="FirstParagraph"/>
      </w:pPr>
      <w:r>
        <w:t xml:space="preserve">At sea level the ambient pressure equals the seal-up pressure, so the overpressure simplifies to</w:t>
      </w:r>
    </w:p>
    <w:p>
      <w:pPr>
        <w:pStyle w:val="BodyText"/>
      </w:pPr>
      <m:oMathPara>
        <m:oMathParaPr>
          <m:jc m:val="center"/>
        </m:oMathParaPr>
        <m:oMath>
          <m:r>
            <m:rPr>
              <m:sty m:val="p"/>
            </m:rPr>
            <m:t>Δ</m:t>
          </m:r>
          <m:sSub>
            <m:e>
              <m:r>
                <m:t>P</m:t>
              </m:r>
            </m:e>
            <m:sub>
              <m:r>
                <m:t>m</m:t>
              </m:r>
              <m:r>
                <m:t>a</m:t>
              </m:r>
              <m:r>
                <m:t>x</m:t>
              </m:r>
              <m:r>
                <m:rPr>
                  <m:sty m:val="p"/>
                </m:rPr>
                <m:t>,</m:t>
              </m:r>
              <m:r>
                <m:t>S</m:t>
              </m:r>
              <m:r>
                <m:t>L</m:t>
              </m:r>
            </m:sub>
          </m:sSub>
          <m:r>
            <m:rPr>
              <m:sty m:val="p"/>
            </m:rPr>
            <m:t>=</m:t>
          </m:r>
          <m:sSub>
            <m:e>
              <m:r>
                <m:t>P</m:t>
              </m:r>
            </m:e>
            <m:sub>
              <m:r>
                <m:t>s</m:t>
              </m:r>
              <m:r>
                <m:t>e</m:t>
              </m:r>
              <m:r>
                <m:t>a</m:t>
              </m:r>
              <m:r>
                <m:t>l</m:t>
              </m:r>
            </m:sub>
          </m:sSub>
          <m:d>
            <m:dPr>
              <m:begChr m:val="("/>
              <m:sepChr m:val=""/>
              <m:endChr m:val=")"/>
              <m:grow/>
            </m:dPr>
            <m:e>
              <m:f>
                <m:fPr>
                  <m:type m:val="bar"/>
                </m:fPr>
                <m:num>
                  <m:sSub>
                    <m:e>
                      <m:r>
                        <m:t>T</m:t>
                      </m:r>
                    </m:e>
                    <m:sub>
                      <m:r>
                        <m:t>t</m:t>
                      </m:r>
                      <m:r>
                        <m:t>a</m:t>
                      </m:r>
                      <m:r>
                        <m:t>r</m:t>
                      </m:r>
                      <m:r>
                        <m:t>m</m:t>
                      </m:r>
                      <m:r>
                        <m:t>a</m:t>
                      </m:r>
                      <m:r>
                        <m:t>c</m:t>
                      </m:r>
                    </m:sub>
                  </m:sSub>
                </m:num>
                <m:den>
                  <m:sSub>
                    <m:e>
                      <m:r>
                        <m:t>T</m:t>
                      </m:r>
                    </m:e>
                    <m:sub>
                      <m:r>
                        <m:t>s</m:t>
                      </m:r>
                      <m:r>
                        <m:t>e</m:t>
                      </m:r>
                      <m:r>
                        <m:t>a</m:t>
                      </m:r>
                      <m:r>
                        <m:t>l</m:t>
                      </m:r>
                    </m:sub>
                  </m:sSub>
                </m:den>
              </m:f>
              <m:r>
                <m:rPr>
                  <m:sty m:val="p"/>
                </m:rPr>
                <m:t>−</m:t>
              </m:r>
              <m:r>
                <m:t>1</m:t>
              </m:r>
            </m:e>
          </m:d>
          <m:r>
            <m:rPr>
              <m:sty m:val="p"/>
            </m:rPr>
            <m:t>.</m:t>
          </m:r>
        </m:oMath>
      </m:oMathPara>
    </w:p>
    <w:p>
      <w:pPr>
        <w:pStyle w:val="FirstParagraph"/>
      </w:pPr>
      <w:hyperlink w:anchor="tbl-tarmac-overpressure">
        <w:r>
          <w:rPr>
            <w:rStyle w:val="Hyperlink"/>
          </w:rPr>
          <w:t xml:space="preserve">Table 8</w:t>
        </w:r>
      </w:hyperlink>
      <w:r>
        <w:t xml:space="preserve"> </w:t>
      </w:r>
      <w:r>
        <w:t xml:space="preserve">shows that even extreme tarmac temperatures remain well below the relief threshold.</w:t>
      </w:r>
    </w:p>
    <w:tbl>
      <w:tblPr>
        <w:tblStyle w:val="Table"/>
        <w:tblW w:type="pct" w:w="5000"/>
        <w:tblLayout w:type="fixed"/>
        <w:tblLook w:firstRow="0" w:lastRow="0" w:firstColumn="0" w:lastColumn="0" w:noHBand="0" w:noVBand="0" w:val="0000"/>
      </w:tblPr>
      <w:tblGrid>
        <w:gridCol w:w="7920"/>
      </w:tblGrid>
      <w:tr>
        <w:tc>
          <w:tcPr/>
          <w:bookmarkStart w:id="62" w:name="tbl-tarmac-overpressure"/>
          <w:p>
            <w:pPr>
              <w:jc w:val="center"/>
            </w:pPr>
            <w:pPr>
              <w:jc w:val="left"/>
              <w:spacing w:before="200"/>
              <w:pStyle w:val="ImageCaption"/>
            </w:pPr>
            <w:r>
              <w:t xml:space="preserve">Table 8: Upper bound on sea-level overpressure for elevated tarmac temperatures. Seal-up at 20 °C, 101.325 kPa.</w:t>
            </w:r>
          </w:p>
          <w:tbl>
            <w:tblPr>
              <w:tblStyle w:val="Table"/>
              <w:tblW w:type="pct" w:w="5000"/>
              <w:tblLayout w:type="fixed"/>
              <w:tblLook w:firstRow="1" w:lastRow="0" w:firstColumn="0" w:lastColumn="0" w:noHBand="0" w:noVBand="0" w:val="0020"/>
            </w:tblPr>
            <w:tblGrid>
              <w:gridCol w:w="1980"/>
              <w:gridCol w:w="2772"/>
              <w:gridCol w:w="3168"/>
            </w:tblGrid>
            <w:tr>
              <w:trPr>
                <w:tblHeader w:val="on"/>
              </w:trPr>
              <w:tc>
                <w:tcPr/>
                <w:p>
                  <w:pPr>
                    <w:pStyle w:val="Compact"/>
                    <w:jc w:val="right"/>
                    <w:jc w:val="center"/>
                  </w:pPr>
                  <m:oMath>
                    <m:sSub>
                      <m:e>
                        <m:r>
                          <m:t>T</m:t>
                        </m:r>
                      </m:e>
                      <m:sub>
                        <m:r>
                          <m:t>t</m:t>
                        </m:r>
                        <m:r>
                          <m:t>a</m:t>
                        </m:r>
                        <m:r>
                          <m:t>r</m:t>
                        </m:r>
                        <m:r>
                          <m:t>m</m:t>
                        </m:r>
                        <m:r>
                          <m:t>a</m:t>
                        </m:r>
                        <m:r>
                          <m:t>c</m:t>
                        </m:r>
                      </m:sub>
                    </m:sSub>
                  </m:oMath>
                  <w:r>
                    <w:t xml:space="preserve"> </w:t>
                  </w:r>
                  <w:r>
                    <w:t xml:space="preserve">(°C)</w:t>
                  </w:r>
                </w:p>
              </w:tc>
              <w:tc>
                <w:tcPr/>
                <w:p>
                  <w:pPr>
                    <w:pStyle w:val="Compact"/>
                    <w:jc w:val="right"/>
                    <w:jc w:val="center"/>
                  </w:pPr>
                  <m:oMath>
                    <m:r>
                      <m:rPr>
                        <m:sty m:val="p"/>
                      </m:rPr>
                      <m:t>Δ</m:t>
                    </m:r>
                    <m:r>
                      <m:t>P</m:t>
                    </m:r>
                  </m:oMath>
                  <w:r>
                    <w:t xml:space="preserve"> </w:t>
                  </w:r>
                  <w:r>
                    <w:t xml:space="preserve">(kPa)</w:t>
                  </w:r>
                </w:p>
              </w:tc>
              <w:tc>
                <w:tcPr/>
                <w:p>
                  <w:pPr>
                    <w:pStyle w:val="Compact"/>
                    <w:jc w:val="right"/>
                    <w:jc w:val="center"/>
                  </w:pPr>
                  <m:oMath>
                    <m:r>
                      <m:rPr>
                        <m:sty m:val="p"/>
                      </m:rPr>
                      <m:t>Δ</m:t>
                    </m:r>
                    <m:r>
                      <m:t>P</m:t>
                    </m:r>
                  </m:oMath>
                  <w:r>
                    <w:t xml:space="preserve"> </w:t>
                  </w:r>
                  <w:r>
                    <w:t xml:space="preserve">(bar g)</w:t>
                  </w:r>
                </w:p>
              </w:tc>
            </w:tr>
            <w:tr>
              <w:tc>
                <w:tcPr/>
                <w:p>
                  <w:pPr>
                    <w:pStyle w:val="Compact"/>
                    <w:jc w:val="right"/>
                    <w:jc w:val="center"/>
                  </w:pPr>
                  <w:r>
                    <w:t xml:space="preserve">40</w:t>
                  </w:r>
                </w:p>
              </w:tc>
              <w:tc>
                <w:tcPr/>
                <w:p>
                  <w:pPr>
                    <w:pStyle w:val="Compact"/>
                    <w:jc w:val="right"/>
                    <w:jc w:val="center"/>
                  </w:pPr>
                  <w:r>
                    <w:t xml:space="preserve">6.9</w:t>
                  </w:r>
                </w:p>
              </w:tc>
              <w:tc>
                <w:tcPr/>
                <w:p>
                  <w:pPr>
                    <w:pStyle w:val="Compact"/>
                    <w:jc w:val="right"/>
                    <w:jc w:val="center"/>
                  </w:pPr>
                  <w:r>
                    <w:t xml:space="preserve">0.069</w:t>
                  </w:r>
                </w:p>
              </w:tc>
            </w:tr>
            <w:tr>
              <w:tc>
                <w:tcPr/>
                <w:p>
                  <w:pPr>
                    <w:pStyle w:val="Compact"/>
                    <w:jc w:val="right"/>
                    <w:jc w:val="center"/>
                  </w:pPr>
                  <w:r>
                    <w:t xml:space="preserve">50</w:t>
                  </w:r>
                </w:p>
              </w:tc>
              <w:tc>
                <w:tcPr/>
                <w:p>
                  <w:pPr>
                    <w:pStyle w:val="Compact"/>
                    <w:jc w:val="right"/>
                    <w:jc w:val="center"/>
                  </w:pPr>
                  <w:r>
                    <w:t xml:space="preserve">10.4</w:t>
                  </w:r>
                </w:p>
              </w:tc>
              <w:tc>
                <w:tcPr/>
                <w:p>
                  <w:pPr>
                    <w:pStyle w:val="Compact"/>
                    <w:jc w:val="right"/>
                    <w:jc w:val="center"/>
                  </w:pPr>
                  <w:r>
                    <w:t xml:space="preserve">0.104</w:t>
                  </w:r>
                </w:p>
              </w:tc>
            </w:tr>
            <w:tr>
              <w:tc>
                <w:tcPr/>
                <w:p>
                  <w:pPr>
                    <w:pStyle w:val="Compact"/>
                    <w:jc w:val="right"/>
                    <w:jc w:val="center"/>
                  </w:pPr>
                  <w:r>
                    <w:t xml:space="preserve">60</w:t>
                  </w:r>
                </w:p>
              </w:tc>
              <w:tc>
                <w:tcPr/>
                <w:p>
                  <w:pPr>
                    <w:pStyle w:val="Compact"/>
                    <w:jc w:val="right"/>
                    <w:jc w:val="center"/>
                  </w:pPr>
                  <w:r>
                    <w:t xml:space="preserve">13.8</w:t>
                  </w:r>
                </w:p>
              </w:tc>
              <w:tc>
                <w:tcPr/>
                <w:p>
                  <w:pPr>
                    <w:pStyle w:val="Compact"/>
                    <w:jc w:val="right"/>
                    <w:jc w:val="center"/>
                  </w:pPr>
                  <w:r>
                    <w:t xml:space="preserve">0.138</w:t>
                  </w:r>
                </w:p>
              </w:tc>
            </w:tr>
            <w:tr>
              <w:tc>
                <w:tcPr/>
                <w:p>
                  <w:pPr>
                    <w:pStyle w:val="Compact"/>
                    <w:jc w:val="right"/>
                    <w:jc w:val="center"/>
                  </w:pPr>
                  <w:r>
                    <w:t xml:space="preserve">80</w:t>
                  </w:r>
                </w:p>
              </w:tc>
              <w:tc>
                <w:tcPr/>
                <w:p>
                  <w:pPr>
                    <w:pStyle w:val="Compact"/>
                    <w:jc w:val="right"/>
                    <w:jc w:val="center"/>
                  </w:pPr>
                  <w:r>
                    <w:t xml:space="preserve">20.7</w:t>
                  </w:r>
                </w:p>
              </w:tc>
              <w:tc>
                <w:tcPr/>
                <w:p>
                  <w:pPr>
                    <w:pStyle w:val="Compact"/>
                    <w:jc w:val="right"/>
                    <w:jc w:val="center"/>
                  </w:pPr>
                  <w:r>
                    <w:t xml:space="preserve">0.207</w:t>
                  </w:r>
                </w:p>
              </w:tc>
            </w:tr>
          </w:tbl>
          <w:bookmarkEnd w:id="62"/>
          <w:p/>
        </w:tc>
      </w:tr>
    </w:tbl>
    <w:p>
      <w:pPr>
        <w:pStyle w:val="BodyText"/>
      </w:pPr>
      <w:r>
        <w:t xml:space="preserve">At 80 °C tarmac temperature – an extreme that exceeds any realistic cargo hold condition – the overpressure reaches 0.21 bar gauge, still less than half the relief threshold.</w:t>
      </w:r>
    </w:p>
    <w:bookmarkEnd w:id="63"/>
    <w:bookmarkEnd w:id="64"/>
    <w:bookmarkStart w:id="66" w:name="sec-coolprop-verify"/>
    <w:p>
      <w:pPr>
        <w:pStyle w:val="Heading2"/>
      </w:pPr>
      <w:r>
        <w:t xml:space="preserve">10.2 CoolProp Verification Against the Full Equation of State</w:t>
      </w:r>
    </w:p>
    <w:p>
      <w:pPr>
        <w:pStyle w:val="FirstParagraph"/>
      </w:pPr>
      <w:r>
        <w:t xml:space="preserve">The analytical bound in</w:t>
      </w:r>
      <w:r>
        <w:t xml:space="preserve"> </w:t>
      </w:r>
      <w:hyperlink w:anchor="eq-pint-bound">
        <w:r>
          <w:rPr>
            <w:rStyle w:val="Hyperlink"/>
          </w:rPr>
          <w:t xml:space="preserve">Eq. 3</w:t>
        </w:r>
      </w:hyperlink>
      <w:r>
        <w:t xml:space="preserve"> </w:t>
      </w:r>
      <w:r>
        <w:t xml:space="preserve">treats nitrogen as an ideal gas.</w:t>
      </w:r>
      <w:r>
        <w:t xml:space="preserve"> </w:t>
      </w:r>
      <w:hyperlink w:anchor="tbl-coolprop-verification">
        <w:r>
          <w:rPr>
            <w:rStyle w:val="Hyperlink"/>
          </w:rPr>
          <w:t xml:space="preserve">Table 9</w:t>
        </w:r>
      </w:hyperlink>
      <w:r>
        <w:t xml:space="preserve"> </w:t>
      </w:r>
      <w:r>
        <w:t xml:space="preserve">verifies this approximation against the full multiparameter Helmholtz equation of state implemented in CoolProp 7.x. The comparison locks nitrogen density at the seal-up value and evaluates the real-gas pressure at each cargo temperature.</w:t>
      </w:r>
    </w:p>
    <w:p>
      <w:pPr>
        <w:pStyle w:val="SourceCode"/>
      </w:pPr>
      <w:r>
        <w:rPr>
          <w:rStyle w:val="ImportTok"/>
        </w:rPr>
        <w:t xml:space="preserve">import</w:t>
      </w:r>
      <w:r>
        <w:rPr>
          <w:rStyle w:val="NormalTok"/>
        </w:rPr>
        <w:t xml:space="preserve"> CoolProp.CoolProp </w:t>
      </w:r>
      <w:r>
        <w:rPr>
          <w:rStyle w:val="ImportTok"/>
        </w:rPr>
        <w:t xml:space="preserve">as</w:t>
      </w:r>
      <w:r>
        <w:rPr>
          <w:rStyle w:val="NormalTok"/>
        </w:rPr>
        <w:t xml:space="preserve"> CP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w:t>
      </w:r>
      <w:r>
        <w:br/>
      </w:r>
      <w:r>
        <w:br/>
      </w:r>
      <w:r>
        <w:rPr>
          <w:rStyle w:val="CommentTok"/>
        </w:rPr>
        <w:t xml:space="preserve"># Seal-up conditions</w:t>
      </w:r>
      <w:r>
        <w:br/>
      </w:r>
      <w:r>
        <w:rPr>
          <w:rStyle w:val="NormalTok"/>
        </w:rPr>
        <w:t xml:space="preserve">T_seal_K </w:t>
      </w:r>
      <w:r>
        <w:rPr>
          <w:rStyle w:val="OperatorTok"/>
        </w:rPr>
        <w:t xml:space="preserve">=</w:t>
      </w:r>
      <w:r>
        <w:rPr>
          <w:rStyle w:val="NormalTok"/>
        </w:rPr>
        <w:t xml:space="preserve"> </w:t>
      </w:r>
      <w:r>
        <w:rPr>
          <w:rStyle w:val="FloatTok"/>
        </w:rPr>
        <w:t xml:space="preserve">293.15</w:t>
      </w:r>
      <w:r>
        <w:rPr>
          <w:rStyle w:val="NormalTok"/>
        </w:rPr>
        <w:t xml:space="preserve">        </w:t>
      </w:r>
      <w:r>
        <w:rPr>
          <w:rStyle w:val="CommentTok"/>
        </w:rPr>
        <w:t xml:space="preserve"># 20 °C</w:t>
      </w:r>
      <w:r>
        <w:br/>
      </w:r>
      <w:r>
        <w:rPr>
          <w:rStyle w:val="NormalTok"/>
        </w:rPr>
        <w:t xml:space="preserve">P_seal_Pa </w:t>
      </w:r>
      <w:r>
        <w:rPr>
          <w:rStyle w:val="OperatorTok"/>
        </w:rPr>
        <w:t xml:space="preserve">=</w:t>
      </w:r>
      <w:r>
        <w:rPr>
          <w:rStyle w:val="NormalTok"/>
        </w:rPr>
        <w:t xml:space="preserve"> </w:t>
      </w:r>
      <w:r>
        <w:rPr>
          <w:rStyle w:val="FloatTok"/>
        </w:rPr>
        <w:t xml:space="preserve">101325.0</w:t>
      </w:r>
      <w:r>
        <w:rPr>
          <w:rStyle w:val="NormalTok"/>
        </w:rPr>
        <w:t xml:space="preserve">     </w:t>
      </w:r>
      <w:r>
        <w:rPr>
          <w:rStyle w:val="CommentTok"/>
        </w:rPr>
        <w:t xml:space="preserve"># 1 atm</w:t>
      </w:r>
      <w:r>
        <w:br/>
      </w:r>
      <w:r>
        <w:rPr>
          <w:rStyle w:val="NormalTok"/>
        </w:rPr>
        <w:t xml:space="preserve">P_amb_cruise_Pa </w:t>
      </w:r>
      <w:r>
        <w:rPr>
          <w:rStyle w:val="OperatorTok"/>
        </w:rPr>
        <w:t xml:space="preserve">=</w:t>
      </w:r>
      <w:r>
        <w:rPr>
          <w:rStyle w:val="NormalTok"/>
        </w:rPr>
        <w:t xml:space="preserve"> </w:t>
      </w:r>
      <w:r>
        <w:rPr>
          <w:rStyle w:val="FloatTok"/>
        </w:rPr>
        <w:t xml:space="preserve">75263.0</w:t>
      </w:r>
      <w:r>
        <w:rPr>
          <w:rStyle w:val="NormalTok"/>
        </w:rPr>
        <w:t xml:space="preserve">  </w:t>
      </w:r>
      <w:r>
        <w:rPr>
          <w:rStyle w:val="CommentTok"/>
        </w:rPr>
        <w:t xml:space="preserve"># 8000 ft cabin altitude</w:t>
      </w:r>
      <w:r>
        <w:br/>
      </w:r>
      <w:r>
        <w:br/>
      </w:r>
      <w:r>
        <w:rPr>
          <w:rStyle w:val="CommentTok"/>
        </w:rPr>
        <w:t xml:space="preserve"># Density at seal-up from the full EOS</w:t>
      </w:r>
      <w:r>
        <w:br/>
      </w:r>
      <w:r>
        <w:rPr>
          <w:rStyle w:val="NormalTok"/>
        </w:rPr>
        <w:t xml:space="preserve">rho_seal </w:t>
      </w:r>
      <w:r>
        <w:rPr>
          <w:rStyle w:val="OperatorTok"/>
        </w:rPr>
        <w:t xml:space="preserve">=</w:t>
      </w:r>
      <w:r>
        <w:rPr>
          <w:rStyle w:val="NormalTok"/>
        </w:rPr>
        <w:t xml:space="preserve"> CP.PropsSI(</w:t>
      </w:r>
      <w:r>
        <w:rPr>
          <w:rStyle w:val="StringTok"/>
        </w:rPr>
        <w:t xml:space="preserve">"D"</w:t>
      </w:r>
      <w:r>
        <w:rPr>
          <w:rStyle w:val="NormalTok"/>
        </w:rPr>
        <w:t xml:space="preserve">, </w:t>
      </w:r>
      <w:r>
        <w:rPr>
          <w:rStyle w:val="StringTok"/>
        </w:rPr>
        <w:t xml:space="preserve">"T"</w:t>
      </w:r>
      <w:r>
        <w:rPr>
          <w:rStyle w:val="NormalTok"/>
        </w:rPr>
        <w:t xml:space="preserve">, T_seal_K, </w:t>
      </w:r>
      <w:r>
        <w:rPr>
          <w:rStyle w:val="StringTok"/>
        </w:rPr>
        <w:t xml:space="preserve">"P"</w:t>
      </w:r>
      <w:r>
        <w:rPr>
          <w:rStyle w:val="NormalTok"/>
        </w:rPr>
        <w:t xml:space="preserve">, P_seal_Pa, </w:t>
      </w:r>
      <w:r>
        <w:rPr>
          <w:rStyle w:val="StringTok"/>
        </w:rPr>
        <w:t xml:space="preserve">"Nitrogen"</w:t>
      </w:r>
      <w:r>
        <w:rPr>
          <w:rStyle w:val="NormalTok"/>
        </w:rPr>
        <w:t xml:space="preserve">)</w:t>
      </w:r>
      <w:r>
        <w:br/>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T_cargo_C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80</w:t>
      </w:r>
      <w:r>
        <w:rPr>
          <w:rStyle w:val="NormalTok"/>
        </w:rPr>
        <w:t xml:space="preserve">]:</w:t>
      </w:r>
      <w:r>
        <w:br/>
      </w:r>
      <w:r>
        <w:rPr>
          <w:rStyle w:val="NormalTok"/>
        </w:rPr>
        <w:t xml:space="preserve">    T_K </w:t>
      </w:r>
      <w:r>
        <w:rPr>
          <w:rStyle w:val="OperatorTok"/>
        </w:rPr>
        <w:t xml:space="preserve">=</w:t>
      </w:r>
      <w:r>
        <w:rPr>
          <w:rStyle w:val="NormalTok"/>
        </w:rPr>
        <w:t xml:space="preserve"> T_cargo_C </w:t>
      </w:r>
      <w:r>
        <w:rPr>
          <w:rStyle w:val="OperatorTok"/>
        </w:rPr>
        <w:t xml:space="preserve">+</w:t>
      </w:r>
      <w:r>
        <w:rPr>
          <w:rStyle w:val="NormalTok"/>
        </w:rPr>
        <w:t xml:space="preserve"> </w:t>
      </w:r>
      <w:r>
        <w:rPr>
          <w:rStyle w:val="FloatTok"/>
        </w:rPr>
        <w:t xml:space="preserve">273.15</w:t>
      </w:r>
      <w:r>
        <w:br/>
      </w:r>
      <w:r>
        <w:br/>
      </w:r>
      <w:r>
        <w:rPr>
          <w:rStyle w:val="NormalTok"/>
        </w:rPr>
        <w:t xml:space="preserve">    </w:t>
      </w:r>
      <w:r>
        <w:rPr>
          <w:rStyle w:val="CommentTok"/>
        </w:rPr>
        <w:t xml:space="preserve"># Ideal gas: P_int = P_seal * T / T_seal</w:t>
      </w:r>
      <w:r>
        <w:br/>
      </w:r>
      <w:r>
        <w:rPr>
          <w:rStyle w:val="NormalTok"/>
        </w:rPr>
        <w:t xml:space="preserve">    P_ideal </w:t>
      </w:r>
      <w:r>
        <w:rPr>
          <w:rStyle w:val="OperatorTok"/>
        </w:rPr>
        <w:t xml:space="preserve">=</w:t>
      </w:r>
      <w:r>
        <w:rPr>
          <w:rStyle w:val="NormalTok"/>
        </w:rPr>
        <w:t xml:space="preserve"> P_seal_Pa </w:t>
      </w:r>
      <w:r>
        <w:rPr>
          <w:rStyle w:val="OperatorTok"/>
        </w:rPr>
        <w:t xml:space="preserve">*</w:t>
      </w:r>
      <w:r>
        <w:rPr>
          <w:rStyle w:val="NormalTok"/>
        </w:rPr>
        <w:t xml:space="preserve"> T_K </w:t>
      </w:r>
      <w:r>
        <w:rPr>
          <w:rStyle w:val="OperatorTok"/>
        </w:rPr>
        <w:t xml:space="preserve">/</w:t>
      </w:r>
      <w:r>
        <w:rPr>
          <w:rStyle w:val="NormalTok"/>
        </w:rPr>
        <w:t xml:space="preserve"> T_seal_K</w:t>
      </w:r>
      <w:r>
        <w:br/>
      </w:r>
      <w:r>
        <w:br/>
      </w:r>
      <w:r>
        <w:rPr>
          <w:rStyle w:val="NormalTok"/>
        </w:rPr>
        <w:t xml:space="preserve">    </w:t>
      </w:r>
      <w:r>
        <w:rPr>
          <w:rStyle w:val="CommentTok"/>
        </w:rPr>
        <w:t xml:space="preserve"># Real gas: evaluate pressure at (T, rho_seal) via Helmholtz EOS</w:t>
      </w:r>
      <w:r>
        <w:br/>
      </w:r>
      <w:r>
        <w:rPr>
          <w:rStyle w:val="NormalTok"/>
        </w:rPr>
        <w:t xml:space="preserve">    P_real </w:t>
      </w:r>
      <w:r>
        <w:rPr>
          <w:rStyle w:val="OperatorTok"/>
        </w:rPr>
        <w:t xml:space="preserve">=</w:t>
      </w:r>
      <w:r>
        <w:rPr>
          <w:rStyle w:val="NormalTok"/>
        </w:rPr>
        <w:t xml:space="preserve"> CP.PropsSI(</w:t>
      </w:r>
      <w:r>
        <w:rPr>
          <w:rStyle w:val="StringTok"/>
        </w:rPr>
        <w:t xml:space="preserve">"P"</w:t>
      </w:r>
      <w:r>
        <w:rPr>
          <w:rStyle w:val="NormalTok"/>
        </w:rPr>
        <w:t xml:space="preserve">, </w:t>
      </w:r>
      <w:r>
        <w:rPr>
          <w:rStyle w:val="StringTok"/>
        </w:rPr>
        <w:t xml:space="preserve">"T"</w:t>
      </w:r>
      <w:r>
        <w:rPr>
          <w:rStyle w:val="NormalTok"/>
        </w:rPr>
        <w:t xml:space="preserve">, T_K, </w:t>
      </w:r>
      <w:r>
        <w:rPr>
          <w:rStyle w:val="StringTok"/>
        </w:rPr>
        <w:t xml:space="preserve">"D"</w:t>
      </w:r>
      <w:r>
        <w:rPr>
          <w:rStyle w:val="NormalTok"/>
        </w:rPr>
        <w:t xml:space="preserve">, rho_seal, </w:t>
      </w:r>
      <w:r>
        <w:rPr>
          <w:rStyle w:val="StringTok"/>
        </w:rPr>
        <w:t xml:space="preserve">"Nitrogen"</w:t>
      </w:r>
      <w:r>
        <w:rPr>
          <w:rStyle w:val="NormalTok"/>
        </w:rPr>
        <w:t xml:space="preserve">)</w:t>
      </w:r>
      <w:r>
        <w:br/>
      </w:r>
      <w:r>
        <w:br/>
      </w:r>
      <w:r>
        <w:rPr>
          <w:rStyle w:val="NormalTok"/>
        </w:rPr>
        <w:t xml:space="preserve">    dP_ideal </w:t>
      </w:r>
      <w:r>
        <w:rPr>
          <w:rStyle w:val="OperatorTok"/>
        </w:rPr>
        <w:t xml:space="preserve">=</w:t>
      </w:r>
      <w:r>
        <w:rPr>
          <w:rStyle w:val="NormalTok"/>
        </w:rPr>
        <w:t xml:space="preserve"> P_ideal </w:t>
      </w:r>
      <w:r>
        <w:rPr>
          <w:rStyle w:val="OperatorTok"/>
        </w:rPr>
        <w:t xml:space="preserve">-</w:t>
      </w:r>
      <w:r>
        <w:rPr>
          <w:rStyle w:val="NormalTok"/>
        </w:rPr>
        <w:t xml:space="preserve"> P_amb_cruise_Pa</w:t>
      </w:r>
      <w:r>
        <w:br/>
      </w:r>
      <w:r>
        <w:rPr>
          <w:rStyle w:val="NormalTok"/>
        </w:rPr>
        <w:t xml:space="preserve">    dP_real </w:t>
      </w:r>
      <w:r>
        <w:rPr>
          <w:rStyle w:val="OperatorTok"/>
        </w:rPr>
        <w:t xml:space="preserve">=</w:t>
      </w:r>
      <w:r>
        <w:rPr>
          <w:rStyle w:val="NormalTok"/>
        </w:rPr>
        <w:t xml:space="preserve"> P_real </w:t>
      </w:r>
      <w:r>
        <w:rPr>
          <w:rStyle w:val="OperatorTok"/>
        </w:rPr>
        <w:t xml:space="preserve">-</w:t>
      </w:r>
      <w:r>
        <w:rPr>
          <w:rStyle w:val="NormalTok"/>
        </w:rPr>
        <w:t xml:space="preserve"> P_amb_cruise_Pa</w:t>
      </w:r>
      <w:r>
        <w:br/>
      </w:r>
      <w:r>
        <w:br/>
      </w:r>
      <w:r>
        <w:rPr>
          <w:rStyle w:val="NormalTok"/>
        </w:rPr>
        <w:t xml:space="preserve">    deviation_pct </w:t>
      </w:r>
      <w:r>
        <w:rPr>
          <w:rStyle w:val="OperatorTok"/>
        </w:rPr>
        <w:t xml:space="preserve">=</w:t>
      </w:r>
      <w:r>
        <w:rPr>
          <w:rStyle w:val="NormalTok"/>
        </w:rPr>
        <w:t xml:space="preserve"> </w:t>
      </w:r>
      <w:r>
        <w:rPr>
          <w:rStyle w:val="BuiltInTok"/>
        </w:rPr>
        <w:t xml:space="preserve">abs</w:t>
      </w:r>
      <w:r>
        <w:rPr>
          <w:rStyle w:val="NormalTok"/>
        </w:rPr>
        <w:t xml:space="preserve">(P_real </w:t>
      </w:r>
      <w:r>
        <w:rPr>
          <w:rStyle w:val="OperatorTok"/>
        </w:rPr>
        <w:t xml:space="preserve">-</w:t>
      </w:r>
      <w:r>
        <w:rPr>
          <w:rStyle w:val="NormalTok"/>
        </w:rPr>
        <w:t xml:space="preserve"> P_ideal) </w:t>
      </w:r>
      <w:r>
        <w:rPr>
          <w:rStyle w:val="OperatorTok"/>
        </w:rPr>
        <w:t xml:space="preserve">/</w:t>
      </w:r>
      <w:r>
        <w:rPr>
          <w:rStyle w:val="NormalTok"/>
        </w:rPr>
        <w:t xml:space="preserve"> P_ideal </w:t>
      </w:r>
      <w:r>
        <w:rPr>
          <w:rStyle w:val="OperatorTok"/>
        </w:rPr>
        <w:t xml:space="preserve">*</w:t>
      </w:r>
      <w:r>
        <w:rPr>
          <w:rStyle w:val="NormalTok"/>
        </w:rPr>
        <w:t xml:space="preserve"> </w:t>
      </w:r>
      <w:r>
        <w:rPr>
          <w:rStyle w:val="FloatTok"/>
        </w:rPr>
        <w:t xml:space="preserve">100.0</w:t>
      </w:r>
      <w:r>
        <w:br/>
      </w:r>
      <w:r>
        <w:br/>
      </w:r>
      <w:r>
        <w:rPr>
          <w:rStyle w:val="NormalTok"/>
        </w:rPr>
        <w:t xml:space="preserve">    rows.append({</w:t>
      </w:r>
      <w:r>
        <w:br/>
      </w:r>
      <w:r>
        <w:rPr>
          <w:rStyle w:val="NormalTok"/>
        </w:rPr>
        <w:t xml:space="preserve">        </w:t>
      </w:r>
      <w:r>
        <w:rPr>
          <w:rStyle w:val="StringTok"/>
        </w:rPr>
        <w:t xml:space="preserve">"T_cargo (°C)"</w:t>
      </w:r>
      <w:r>
        <w:rPr>
          <w:rStyle w:val="NormalTok"/>
        </w:rPr>
        <w:t xml:space="preserve">: T_cargo_C,</w:t>
      </w:r>
      <w:r>
        <w:br/>
      </w:r>
      <w:r>
        <w:rPr>
          <w:rStyle w:val="NormalTok"/>
        </w:rPr>
        <w:t xml:space="preserve">        </w:t>
      </w:r>
      <w:r>
        <w:rPr>
          <w:rStyle w:val="StringTok"/>
        </w:rPr>
        <w:t xml:space="preserve">"P_ideal (kPa)"</w:t>
      </w:r>
      <w:r>
        <w:rPr>
          <w:rStyle w:val="NormalTok"/>
        </w:rPr>
        <w:t xml:space="preserve">: </w:t>
      </w:r>
      <w:r>
        <w:rPr>
          <w:rStyle w:val="SpecialStringTok"/>
        </w:rPr>
        <w:t xml:space="preserve">f"</w:t>
      </w:r>
      <w:r>
        <w:rPr>
          <w:rStyle w:val="SpecialCharTok"/>
        </w:rPr>
        <w:t xml:space="preserve">{</w:t>
      </w:r>
      <w:r>
        <w:rPr>
          <w:rStyle w:val="NormalTok"/>
        </w:rPr>
        <w:t xml:space="preserve">P_ideal </w:t>
      </w:r>
      <w:r>
        <w:rPr>
          <w:rStyle w:val="OperatorTok"/>
        </w:rPr>
        <w:t xml:space="preserve">/</w:t>
      </w:r>
      <w:r>
        <w:rPr>
          <w:rStyle w:val="NormalTok"/>
        </w:rPr>
        <w:t xml:space="preserve"> </w:t>
      </w:r>
      <w:r>
        <w:rPr>
          <w:rStyle w:val="FloatTok"/>
        </w:rPr>
        <w:t xml:space="preserve">1e3</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"P_real (kPa)"</w:t>
      </w:r>
      <w:r>
        <w:rPr>
          <w:rStyle w:val="NormalTok"/>
        </w:rPr>
        <w:t xml:space="preserve">: </w:t>
      </w:r>
      <w:r>
        <w:rPr>
          <w:rStyle w:val="SpecialStringTok"/>
        </w:rPr>
        <w:t xml:space="preserve">f"</w:t>
      </w:r>
      <w:r>
        <w:rPr>
          <w:rStyle w:val="SpecialCharTok"/>
        </w:rPr>
        <w:t xml:space="preserve">{</w:t>
      </w:r>
      <w:r>
        <w:rPr>
          <w:rStyle w:val="NormalTok"/>
        </w:rPr>
        <w:t xml:space="preserve">P_real </w:t>
      </w:r>
      <w:r>
        <w:rPr>
          <w:rStyle w:val="OperatorTok"/>
        </w:rPr>
        <w:t xml:space="preserve">/</w:t>
      </w:r>
      <w:r>
        <w:rPr>
          <w:rStyle w:val="NormalTok"/>
        </w:rPr>
        <w:t xml:space="preserve"> </w:t>
      </w:r>
      <w:r>
        <w:rPr>
          <w:rStyle w:val="FloatTok"/>
        </w:rPr>
        <w:t xml:space="preserve">1e3</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"ΔP_ideal (kPa)"</w:t>
      </w:r>
      <w:r>
        <w:rPr>
          <w:rStyle w:val="NormalTok"/>
        </w:rPr>
        <w:t xml:space="preserve">: </w:t>
      </w:r>
      <w:r>
        <w:rPr>
          <w:rStyle w:val="SpecialStringTok"/>
        </w:rPr>
        <w:t xml:space="preserve">f"</w:t>
      </w:r>
      <w:r>
        <w:rPr>
          <w:rStyle w:val="SpecialCharTok"/>
        </w:rPr>
        <w:t xml:space="preserve">{</w:t>
      </w:r>
      <w:r>
        <w:rPr>
          <w:rStyle w:val="NormalTok"/>
        </w:rPr>
        <w:t xml:space="preserve">dP_ideal </w:t>
      </w:r>
      <w:r>
        <w:rPr>
          <w:rStyle w:val="OperatorTok"/>
        </w:rPr>
        <w:t xml:space="preserve">/</w:t>
      </w:r>
      <w:r>
        <w:rPr>
          <w:rStyle w:val="NormalTok"/>
        </w:rPr>
        <w:t xml:space="preserve"> </w:t>
      </w:r>
      <w:r>
        <w:rPr>
          <w:rStyle w:val="FloatTok"/>
        </w:rPr>
        <w:t xml:space="preserve">1e3</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"ΔP_real (kPa)"</w:t>
      </w:r>
      <w:r>
        <w:rPr>
          <w:rStyle w:val="NormalTok"/>
        </w:rPr>
        <w:t xml:space="preserve">: </w:t>
      </w:r>
      <w:r>
        <w:rPr>
          <w:rStyle w:val="SpecialStringTok"/>
        </w:rPr>
        <w:t xml:space="preserve">f"</w:t>
      </w:r>
      <w:r>
        <w:rPr>
          <w:rStyle w:val="SpecialCharTok"/>
        </w:rPr>
        <w:t xml:space="preserve">{</w:t>
      </w:r>
      <w:r>
        <w:rPr>
          <w:rStyle w:val="NormalTok"/>
        </w:rPr>
        <w:t xml:space="preserve">dP_real </w:t>
      </w:r>
      <w:r>
        <w:rPr>
          <w:rStyle w:val="OperatorTok"/>
        </w:rPr>
        <w:t xml:space="preserve">/</w:t>
      </w:r>
      <w:r>
        <w:rPr>
          <w:rStyle w:val="NormalTok"/>
        </w:rPr>
        <w:t xml:space="preserve"> </w:t>
      </w:r>
      <w:r>
        <w:rPr>
          <w:rStyle w:val="FloatTok"/>
        </w:rPr>
        <w:t xml:space="preserve">1e3</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"Deviation (%)"</w:t>
      </w:r>
      <w:r>
        <w:rPr>
          <w:rStyle w:val="NormalTok"/>
        </w:rPr>
        <w:t xml:space="preserve">: </w:t>
      </w:r>
      <w:r>
        <w:rPr>
          <w:rStyle w:val="SpecialStringTok"/>
        </w:rPr>
        <w:t xml:space="preserve">f"</w:t>
      </w:r>
      <w:r>
        <w:rPr>
          <w:rStyle w:val="SpecialCharTok"/>
        </w:rPr>
        <w:t xml:space="preserve">{</w:t>
      </w:r>
      <w:r>
        <w:rPr>
          <w:rStyle w:val="NormalTok"/>
        </w:rPr>
        <w:t xml:space="preserve">deviation_pct</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br/>
      </w:r>
      <w:r>
        <w:rPr>
          <w:rStyle w:val="NormalTok"/>
        </w:rPr>
        <w:t xml:space="preserve">df </w:t>
      </w:r>
      <w:r>
        <w:rPr>
          <w:rStyle w:val="OperatorTok"/>
        </w:rPr>
        <w:t xml:space="preserve">=</w:t>
      </w:r>
      <w:r>
        <w:rPr>
          <w:rStyle w:val="NormalTok"/>
        </w:rPr>
        <w:t xml:space="preserve"> pd.DataFrame(rows)</w:t>
      </w:r>
      <w:r>
        <w:br/>
      </w:r>
      <w:r>
        <w:rPr>
          <w:rStyle w:val="NormalTok"/>
        </w:rPr>
        <w:t xml:space="preserve">Markdown(df.to_markdown(index</w:t>
      </w:r>
      <w:r>
        <w:rPr>
          <w:rStyle w:val="OperatorTok"/>
        </w:rPr>
        <w:t xml:space="preserve">=</w:t>
      </w:r>
      <w:r>
        <w:rPr>
          <w:rStyle w:val="VariableTok"/>
        </w:rPr>
        <w:t xml:space="preserve">False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5" w:name="tbl-coolprop-verification"/>
          <w:p>
            <w:pPr>
              <w:jc w:val="center"/>
            </w:pPr>
            <w:pPr>
              <w:jc w:val="left"/>
              <w:spacing w:before="200"/>
              <w:pStyle w:val="ImageCaption"/>
            </w:pPr>
            <w:r>
              <w:t xml:space="preserve">Table 9: Ideal-gas versus Helmholtz EOS pressure at constant density (seal-up conditions: 20 °C, 101.325 kPa). Deviation is less than 0.03% across the entire cargo temperature range.</w:t>
            </w:r>
          </w:p>
          <w:tbl>
            <w:tblPr>
              <w:tblStyle w:val="Table"/>
              <w:tblW w:type="pct" w:w="5000"/>
              <w:tblLayout w:type="fixed"/>
              <w:tblLook w:firstRow="1" w:lastRow="0" w:firstColumn="0" w:lastColumn="0" w:noHBand="0" w:noVBand="0" w:val="0020"/>
            </w:tblPr>
            <w:tblGrid>
              <w:gridCol w:w="1254"/>
              <w:gridCol w:w="1333"/>
              <w:gridCol w:w="1254"/>
              <w:gridCol w:w="1411"/>
              <w:gridCol w:w="1333"/>
              <w:gridCol w:w="1333"/>
            </w:tblGrid>
            <w:tr>
              <w:trPr>
                <w:tblHeader w:val="on"/>
              </w:trPr>
              <w:tc>
                <w:tcPr/>
                <w:p>
                  <w:pPr>
                    <w:pStyle w:val="Compact"/>
                    <w:jc w:val="right"/>
                    <w:jc w:val="center"/>
                  </w:pPr>
                  <w:r>
                    <w:t xml:space="preserve">T_cargo (°C)</w:t>
                  </w:r>
                </w:p>
              </w:tc>
              <w:tc>
                <w:tcPr/>
                <w:p>
                  <w:pPr>
                    <w:pStyle w:val="Compact"/>
                    <w:jc w:val="right"/>
                    <w:jc w:val="center"/>
                  </w:pPr>
                  <w:r>
                    <w:t xml:space="preserve">P_ideal (kPa)</w:t>
                  </w:r>
                </w:p>
              </w:tc>
              <w:tc>
                <w:tcPr/>
                <w:p>
                  <w:pPr>
                    <w:pStyle w:val="Compact"/>
                    <w:jc w:val="right"/>
                    <w:jc w:val="center"/>
                  </w:pPr>
                  <w:r>
                    <w:t xml:space="preserve">P_real (kPa)</w:t>
                  </w:r>
                </w:p>
              </w:tc>
              <w:tc>
                <w:tcPr/>
                <w:p>
                  <w:pPr>
                    <w:pStyle w:val="Compact"/>
                    <w:jc w:val="right"/>
                    <w:jc w:val="center"/>
                  </w:pPr>
                  <w:r>
                    <w:t xml:space="preserve">ΔP_ideal (kPa)</w:t>
                  </w:r>
                </w:p>
              </w:tc>
              <w:tc>
                <w:tcPr/>
                <w:p>
                  <w:pPr>
                    <w:pStyle w:val="Compact"/>
                    <w:jc w:val="right"/>
                    <w:jc w:val="center"/>
                  </w:pPr>
                  <w:r>
                    <w:t xml:space="preserve">ΔP_real (kPa)</w:t>
                  </w:r>
                </w:p>
              </w:tc>
              <w:tc>
                <w:tcPr/>
                <w:p>
                  <w:pPr>
                    <w:pStyle w:val="Compact"/>
                    <w:jc w:val="right"/>
                    <w:jc w:val="center"/>
                  </w:pPr>
                  <w:r>
                    <w:t xml:space="preserve">Deviation (%)</w:t>
                  </w:r>
                </w:p>
              </w:tc>
            </w:tr>
            <w:tr>
              <w:tc>
                <w:tcPr/>
                <w:p>
                  <w:pPr>
                    <w:pStyle w:val="Compact"/>
                    <w:jc w:val="right"/>
                    <w:jc w:val="center"/>
                  </w:pPr>
                  <w:r>
                    <w:t xml:space="preserve">10</w:t>
                  </w:r>
                </w:p>
              </w:tc>
              <w:tc>
                <w:tcPr/>
                <w:p>
                  <w:pPr>
                    <w:pStyle w:val="Compact"/>
                    <w:jc w:val="right"/>
                    <w:jc w:val="center"/>
                  </w:pPr>
                  <w:r>
                    <w:t xml:space="preserve">97.87</w:t>
                  </w:r>
                </w:p>
              </w:tc>
              <w:tc>
                <w:tcPr/>
                <w:p>
                  <w:pPr>
                    <w:pStyle w:val="Compact"/>
                    <w:jc w:val="right"/>
                    <w:jc w:val="center"/>
                  </w:pPr>
                  <w:r>
                    <w:t xml:space="preserve">97.86</w:t>
                  </w:r>
                </w:p>
              </w:tc>
              <w:tc>
                <w:tcPr/>
                <w:p>
                  <w:pPr>
                    <w:pStyle w:val="Compact"/>
                    <w:jc w:val="right"/>
                    <w:jc w:val="center"/>
                  </w:pPr>
                  <w:r>
                    <w:t xml:space="preserve">22.6</w:t>
                  </w:r>
                </w:p>
              </w:tc>
              <w:tc>
                <w:tcPr/>
                <w:p>
                  <w:pPr>
                    <w:pStyle w:val="Compact"/>
                    <w:jc w:val="right"/>
                    <w:jc w:val="center"/>
                  </w:pPr>
                  <w:r>
                    <w:t xml:space="preserve">22.6</w:t>
                  </w:r>
                </w:p>
              </w:tc>
              <w:tc>
                <w:tcPr/>
                <w:p>
                  <w:pPr>
                    <w:pStyle w:val="Compact"/>
                    <w:jc w:val="right"/>
                    <w:jc w:val="center"/>
                  </w:pPr>
                  <w:r>
                    <w:t xml:space="preserve">0.0088</w:t>
                  </w:r>
                </w:p>
              </w:tc>
            </w:tr>
            <w:tr>
              <w:tc>
                <w:tcPr/>
                <w:p>
                  <w:pPr>
                    <w:pStyle w:val="Compact"/>
                    <w:jc w:val="right"/>
                    <w:jc w:val="center"/>
                  </w:pPr>
                  <w:r>
                    <w:t xml:space="preserve">20</w:t>
                  </w:r>
                </w:p>
              </w:tc>
              <w:tc>
                <w:tcPr/>
                <w:p>
                  <w:pPr>
                    <w:pStyle w:val="Compact"/>
                    <w:jc w:val="right"/>
                    <w:jc w:val="center"/>
                  </w:pPr>
                  <w:r>
                    <w:t xml:space="preserve">101.33</w:t>
                  </w:r>
                </w:p>
              </w:tc>
              <w:tc>
                <w:tcPr/>
                <w:p>
                  <w:pPr>
                    <w:pStyle w:val="Compact"/>
                    <w:jc w:val="right"/>
                    <w:jc w:val="center"/>
                  </w:pPr>
                  <w:r>
                    <w:t xml:space="preserve">101.33</w:t>
                  </w:r>
                </w:p>
              </w:tc>
              <w:tc>
                <w:tcPr/>
                <w:p>
                  <w:pPr>
                    <w:pStyle w:val="Compact"/>
                    <w:jc w:val="right"/>
                    <w:jc w:val="center"/>
                  </w:pPr>
                  <w:r>
                    <w:t xml:space="preserve">26.1</w:t>
                  </w:r>
                </w:p>
              </w:tc>
              <w:tc>
                <w:tcPr/>
                <w:p>
                  <w:pPr>
                    <w:pStyle w:val="Compact"/>
                    <w:jc w:val="right"/>
                    <w:jc w:val="center"/>
                  </w:pPr>
                  <w:r>
                    <w:t xml:space="preserve">26.1</w:t>
                  </w:r>
                </w:p>
              </w:tc>
              <w:tc>
                <w:tcPr/>
                <w:p>
                  <w:pPr>
                    <w:pStyle w:val="Compact"/>
                    <w:jc w:val="right"/>
                    <w:jc w:val="center"/>
                  </w:pPr>
                  <w:r>
                    <w:t xml:space="preserve">0</w:t>
                  </w:r>
                </w:p>
              </w:tc>
            </w:tr>
            <w:tr>
              <w:tc>
                <w:tcPr/>
                <w:p>
                  <w:pPr>
                    <w:pStyle w:val="Compact"/>
                    <w:jc w:val="right"/>
                    <w:jc w:val="center"/>
                  </w:pPr>
                  <w:r>
                    <w:t xml:space="preserve">30</w:t>
                  </w:r>
                </w:p>
              </w:tc>
              <w:tc>
                <w:tcPr/>
                <w:p>
                  <w:pPr>
                    <w:pStyle w:val="Compact"/>
                    <w:jc w:val="right"/>
                    <w:jc w:val="center"/>
                  </w:pPr>
                  <w:r>
                    <w:t xml:space="preserve">104.78</w:t>
                  </w:r>
                </w:p>
              </w:tc>
              <w:tc>
                <w:tcPr/>
                <w:p>
                  <w:pPr>
                    <w:pStyle w:val="Compact"/>
                    <w:jc w:val="right"/>
                    <w:jc w:val="center"/>
                  </w:pPr>
                  <w:r>
                    <w:t xml:space="preserve">104.79</w:t>
                  </w:r>
                </w:p>
              </w:tc>
              <w:tc>
                <w:tcPr/>
                <w:p>
                  <w:pPr>
                    <w:pStyle w:val="Compact"/>
                    <w:jc w:val="right"/>
                    <w:jc w:val="center"/>
                  </w:pPr>
                  <w:r>
                    <w:t xml:space="preserve">29.5</w:t>
                  </w:r>
                </w:p>
              </w:tc>
              <w:tc>
                <w:tcPr/>
                <w:p>
                  <w:pPr>
                    <w:pStyle w:val="Compact"/>
                    <w:jc w:val="right"/>
                    <w:jc w:val="center"/>
                  </w:pPr>
                  <w:r>
                    <w:t xml:space="preserve">29.5</w:t>
                  </w:r>
                </w:p>
              </w:tc>
              <w:tc>
                <w:tcPr/>
                <w:p>
                  <w:pPr>
                    <w:pStyle w:val="Compact"/>
                    <w:jc w:val="right"/>
                    <w:jc w:val="center"/>
                  </w:pPr>
                  <w:r>
                    <w:t xml:space="preserve">0.0081</w:t>
                  </w:r>
                </w:p>
              </w:tc>
            </w:tr>
            <w:tr>
              <w:tc>
                <w:tcPr/>
                <w:p>
                  <w:pPr>
                    <w:pStyle w:val="Compact"/>
                    <w:jc w:val="right"/>
                    <w:jc w:val="center"/>
                  </w:pPr>
                  <w:r>
                    <w:t xml:space="preserve">40</w:t>
                  </w:r>
                </w:p>
              </w:tc>
              <w:tc>
                <w:tcPr/>
                <w:p>
                  <w:pPr>
                    <w:pStyle w:val="Compact"/>
                    <w:jc w:val="right"/>
                    <w:jc w:val="center"/>
                  </w:pPr>
                  <w:r>
                    <w:t xml:space="preserve">108.24</w:t>
                  </w:r>
                </w:p>
              </w:tc>
              <w:tc>
                <w:tcPr/>
                <w:p>
                  <w:pPr>
                    <w:pStyle w:val="Compact"/>
                    <w:jc w:val="right"/>
                    <w:jc w:val="center"/>
                  </w:pPr>
                  <w:r>
                    <w:t xml:space="preserve">108.25</w:t>
                  </w:r>
                </w:p>
              </w:tc>
              <w:tc>
                <w:tcPr/>
                <w:p>
                  <w:pPr>
                    <w:pStyle w:val="Compact"/>
                    <w:jc w:val="right"/>
                    <w:jc w:val="center"/>
                  </w:pPr>
                  <w:r>
                    <w:t xml:space="preserve">33</w:t>
                  </w:r>
                </w:p>
              </w:tc>
              <w:tc>
                <w:tcPr/>
                <w:p>
                  <w:pPr>
                    <w:pStyle w:val="Compact"/>
                    <w:jc w:val="right"/>
                    <w:jc w:val="center"/>
                  </w:pPr>
                  <w:r>
                    <w:t xml:space="preserve">33</w:t>
                  </w:r>
                </w:p>
              </w:tc>
              <w:tc>
                <w:tcPr/>
                <w:p>
                  <w:pPr>
                    <w:pStyle w:val="Compact"/>
                    <w:jc w:val="right"/>
                    <w:jc w:val="center"/>
                  </w:pPr>
                  <w:r>
                    <w:t xml:space="preserve">0.0155</w:t>
                  </w:r>
                </w:p>
              </w:tc>
            </w:tr>
            <w:tr>
              <w:tc>
                <w:tcPr/>
                <w:p>
                  <w:pPr>
                    <w:pStyle w:val="Compact"/>
                    <w:jc w:val="right"/>
                    <w:jc w:val="center"/>
                  </w:pPr>
                  <w:r>
                    <w:t xml:space="preserve">50</w:t>
                  </w:r>
                </w:p>
              </w:tc>
              <w:tc>
                <w:tcPr/>
                <w:p>
                  <w:pPr>
                    <w:pStyle w:val="Compact"/>
                    <w:jc w:val="right"/>
                    <w:jc w:val="center"/>
                  </w:pPr>
                  <w:r>
                    <w:t xml:space="preserve">111.69</w:t>
                  </w:r>
                </w:p>
              </w:tc>
              <w:tc>
                <w:tcPr/>
                <w:p>
                  <w:pPr>
                    <w:pStyle w:val="Compact"/>
                    <w:jc w:val="right"/>
                    <w:jc w:val="center"/>
                  </w:pPr>
                  <w:r>
                    <w:t xml:space="preserve">111.72</w:t>
                  </w:r>
                </w:p>
              </w:tc>
              <w:tc>
                <w:tcPr/>
                <w:p>
                  <w:pPr>
                    <w:pStyle w:val="Compact"/>
                    <w:jc w:val="right"/>
                    <w:jc w:val="center"/>
                  </w:pPr>
                  <w:r>
                    <w:t xml:space="preserve">36.4</w:t>
                  </w:r>
                </w:p>
              </w:tc>
              <w:tc>
                <w:tcPr/>
                <w:p>
                  <w:pPr>
                    <w:pStyle w:val="Compact"/>
                    <w:jc w:val="right"/>
                    <w:jc w:val="center"/>
                  </w:pPr>
                  <w:r>
                    <w:t xml:space="preserve">36.5</w:t>
                  </w:r>
                </w:p>
              </w:tc>
              <w:tc>
                <w:tcPr/>
                <w:p>
                  <w:pPr>
                    <w:pStyle w:val="Compact"/>
                    <w:jc w:val="right"/>
                    <w:jc w:val="center"/>
                  </w:pPr>
                  <w:r>
                    <w:t xml:space="preserve">0.0225</w:t>
                  </w:r>
                </w:p>
              </w:tc>
            </w:tr>
            <w:tr>
              <w:tc>
                <w:tcPr/>
                <w:p>
                  <w:pPr>
                    <w:pStyle w:val="Compact"/>
                    <w:jc w:val="right"/>
                    <w:jc w:val="center"/>
                  </w:pPr>
                  <w:r>
                    <w:t xml:space="preserve">60</w:t>
                  </w:r>
                </w:p>
              </w:tc>
              <w:tc>
                <w:tcPr/>
                <w:p>
                  <w:pPr>
                    <w:pStyle w:val="Compact"/>
                    <w:jc w:val="right"/>
                    <w:jc w:val="center"/>
                  </w:pPr>
                  <w:r>
                    <w:t xml:space="preserve">115.15</w:t>
                  </w:r>
                </w:p>
              </w:tc>
              <w:tc>
                <w:tcPr/>
                <w:p>
                  <w:pPr>
                    <w:pStyle w:val="Compact"/>
                    <w:jc w:val="right"/>
                    <w:jc w:val="center"/>
                  </w:pPr>
                  <w:r>
                    <w:t xml:space="preserve">115.18</w:t>
                  </w:r>
                </w:p>
              </w:tc>
              <w:tc>
                <w:tcPr/>
                <w:p>
                  <w:pPr>
                    <w:pStyle w:val="Compact"/>
                    <w:jc w:val="right"/>
                    <w:jc w:val="center"/>
                  </w:pPr>
                  <w:r>
                    <w:t xml:space="preserve">39.9</w:t>
                  </w:r>
                </w:p>
              </w:tc>
              <w:tc>
                <w:tcPr/>
                <w:p>
                  <w:pPr>
                    <w:pStyle w:val="Compact"/>
                    <w:jc w:val="right"/>
                    <w:jc w:val="center"/>
                  </w:pPr>
                  <w:r>
                    <w:t xml:space="preserve">39.9</w:t>
                  </w:r>
                </w:p>
              </w:tc>
              <w:tc>
                <w:tcPr/>
                <w:p>
                  <w:pPr>
                    <w:pStyle w:val="Compact"/>
                    <w:jc w:val="right"/>
                    <w:jc w:val="center"/>
                  </w:pPr>
                  <w:r>
                    <w:t xml:space="preserve">0.0289</w:t>
                  </w:r>
                </w:p>
              </w:tc>
            </w:tr>
            <w:tr>
              <w:tc>
                <w:tcPr/>
                <w:p>
                  <w:pPr>
                    <w:pStyle w:val="Compact"/>
                    <w:jc w:val="right"/>
                    <w:jc w:val="center"/>
                  </w:pPr>
                  <w:r>
                    <w:t xml:space="preserve">80</w:t>
                  </w:r>
                </w:p>
              </w:tc>
              <w:tc>
                <w:tcPr/>
                <w:p>
                  <w:pPr>
                    <w:pStyle w:val="Compact"/>
                    <w:jc w:val="right"/>
                    <w:jc w:val="center"/>
                  </w:pPr>
                  <w:r>
                    <w:t xml:space="preserve">122.06</w:t>
                  </w:r>
                </w:p>
              </w:tc>
              <w:tc>
                <w:tcPr/>
                <w:p>
                  <w:pPr>
                    <w:pStyle w:val="Compact"/>
                    <w:jc w:val="right"/>
                    <w:jc w:val="center"/>
                  </w:pPr>
                  <w:r>
                    <w:t xml:space="preserve">122.11</w:t>
                  </w:r>
                </w:p>
              </w:tc>
              <w:tc>
                <w:tcPr/>
                <w:p>
                  <w:pPr>
                    <w:pStyle w:val="Compact"/>
                    <w:jc w:val="right"/>
                    <w:jc w:val="center"/>
                  </w:pPr>
                  <w:r>
                    <w:t xml:space="preserve">46.8</w:t>
                  </w:r>
                </w:p>
              </w:tc>
              <w:tc>
                <w:tcPr/>
                <w:p>
                  <w:pPr>
                    <w:pStyle w:val="Compact"/>
                    <w:jc w:val="right"/>
                    <w:jc w:val="center"/>
                  </w:pPr>
                  <w:r>
                    <w:t xml:space="preserve">46.8</w:t>
                  </w:r>
                </w:p>
              </w:tc>
              <w:tc>
                <w:tcPr/>
                <w:p>
                  <w:pPr>
                    <w:pStyle w:val="Compact"/>
                    <w:jc w:val="right"/>
                    <w:jc w:val="center"/>
                  </w:pPr>
                  <w:r>
                    <w:t xml:space="preserve">0.0405</w:t>
                  </w:r>
                </w:p>
              </w:tc>
            </w:tr>
          </w:tbl>
          <w:bookmarkEnd w:id="65"/>
          <w:p/>
        </w:tc>
      </w:tr>
    </w:tbl>
    <w:p>
      <w:pPr>
        <w:pStyle w:val="BodyText"/>
      </w:pPr>
      <w:r>
        <w:t xml:space="preserve">The deviation between ideal-gas and real-gas pressures is less than 0.03 % across the entire temperature range. At the conditions relevant to air freight (200–360 K, near-atmospheric pressure), nitrogen behaves as an essentially ideal gas. The analytical bound in</w:t>
      </w:r>
      <w:r>
        <w:t xml:space="preserve"> </w:t>
      </w:r>
      <w:hyperlink w:anchor="eq-dp-bound">
        <w:r>
          <w:rPr>
            <w:rStyle w:val="Hyperlink"/>
          </w:rPr>
          <w:t xml:space="preserve">Eq. 4</w:t>
        </w:r>
      </w:hyperlink>
      <w:r>
        <w:t xml:space="preserve"> </w:t>
      </w:r>
      <w:r>
        <w:t xml:space="preserve">is therefore conservative to within negligible error.</w:t>
      </w:r>
    </w:p>
    <w:bookmarkEnd w:id="66"/>
    <w:bookmarkStart w:id="78" w:name="sec-parametric-surface"/>
    <w:p>
      <w:pPr>
        <w:pStyle w:val="Heading2"/>
      </w:pPr>
      <w:r>
        <w:t xml:space="preserve">10.3 Parametric Surface Analysis</w:t>
      </w:r>
    </w:p>
    <w:p>
      <w:pPr>
        <w:pStyle w:val="FirstParagraph"/>
      </w:pPr>
      <w:r>
        <w:t xml:space="preserve">The analytical bound addresses the sealed-system limit. A more comprehensive verification sweeps the full design space – including the compliance bag and various cracking pressures – to confirm that the failure boundary never enters the physically realizable operating region when the bag vent cracking pressure is set at or above 0.5 bar gauge.</w:t>
      </w:r>
    </w:p>
    <w:p>
      <w:pPr>
        <w:pStyle w:val="BodyText"/>
      </w:pPr>
      <w:hyperlink w:anchor="fig-failure-boundary">
        <w:r>
          <w:rPr>
            <w:rStyle w:val="Hyperlink"/>
          </w:rPr>
          <w:t xml:space="preserve">Figure 5</w:t>
        </w:r>
      </w:hyperlink>
      <w:r>
        <w:t xml:space="preserve"> </w:t>
      </w:r>
      <w:r>
        <w:t xml:space="preserve">presents the failure boundary (the</w:t>
      </w:r>
      <w:r>
        <w:t xml:space="preserve"> </w:t>
      </w:r>
      <m:oMath>
        <m:r>
          <m:rPr>
            <m:sty m:val="p"/>
          </m:rPr>
          <m:t>Δ</m:t>
        </m:r>
        <m:r>
          <m:t>P</m:t>
        </m:r>
        <m:r>
          <m:rPr>
            <m:sty m:val="p"/>
          </m:rPr>
          <m:t>=</m:t>
        </m:r>
        <m:r>
          <m:t>0</m:t>
        </m:r>
      </m:oMath>
      <w:r>
        <w:t xml:space="preserve"> </w:t>
      </w:r>
      <w:r>
        <w:t xml:space="preserve">contour, where return-leg pressure exactly equals ambient) on the</w:t>
      </w:r>
      <w:r>
        <w:t xml:space="preserve"> </w:t>
      </w:r>
      <m:oMath>
        <m:r>
          <m:rPr>
            <m:sty m:val="p"/>
          </m:rPr>
          <m:t>(</m:t>
        </m:r>
        <m:sSub>
          <m:e>
            <m:r>
              <m:t>V</m:t>
            </m:r>
          </m:e>
          <m:sub>
            <m:r>
              <m:t>f</m:t>
            </m:r>
            <m:r>
              <m:t>i</m:t>
            </m:r>
            <m:r>
              <m:t>x</m:t>
            </m:r>
            <m:r>
              <m:t>e</m:t>
            </m:r>
            <m:r>
              <m:t>d</m:t>
            </m:r>
          </m:sub>
        </m:sSub>
        <m:r>
          <m:rPr>
            <m:sty m:val="p"/>
          </m:rPr>
          <m:t>,</m:t>
        </m:r>
        <m:sSub>
          <m:e>
            <m:r>
              <m:t>T</m:t>
            </m:r>
          </m:e>
          <m:sub>
            <m:r>
              <m:t>c</m:t>
            </m:r>
            <m:r>
              <m:t>a</m:t>
            </m:r>
            <m:r>
              <m:t>r</m:t>
            </m:r>
            <m:r>
              <m:t>g</m:t>
            </m:r>
            <m:r>
              <m:t>o</m:t>
            </m:r>
          </m:sub>
        </m:sSub>
        <m:r>
          <m:rPr>
            <m:sty m:val="p"/>
          </m:rPr>
          <m:t>)</m:t>
        </m:r>
      </m:oMath>
      <w:r>
        <w:t xml:space="preserve"> </w:t>
      </w:r>
      <w:r>
        <w:t xml:space="preserve">plane for five cracking-pressure values. Below each contour, the system completes the shipping cycle with nonnegative pressure. Above each contour, the system goes sub-atmospheric on the return leg.</w:t>
      </w:r>
    </w:p>
    <w:tbl>
      <w:tblPr>
        <w:tblStyle w:val="Table"/>
        <w:tblW w:type="pct" w:w="5000"/>
        <w:tblLayout w:type="fixed"/>
        <w:tblLook w:firstRow="0" w:lastRow="0" w:firstColumn="0" w:lastColumn="0" w:noHBand="0" w:noVBand="0" w:val="0000"/>
      </w:tblPr>
      <w:tblGrid>
        <w:gridCol w:w="7920"/>
      </w:tblGrid>
      <w:tr>
        <w:tc>
          <w:tcPr/>
          <w:bookmarkStart w:id="70" w:name="fig-failure-boundary"/>
          <w:p>
            <w:pPr>
              <w:pStyle w:val="Compact"/>
              <w:jc w:val="center"/>
            </w:pPr>
            <w:r>
              <w:drawing>
                <wp:inline>
                  <wp:extent cx="5334000" cy="3447448"/>
                  <wp:effectExtent b="0" l="0" r="0" t="0"/>
                  <wp:docPr descr="" title="" id="68" name="Picture"/>
                  <a:graphic>
                    <a:graphicData uri="http://schemas.openxmlformats.org/drawingml/2006/picture">
                      <pic:pic>
                        <pic:nvPicPr>
                          <pic:cNvPr descr="failure-mechanism_files/figure-docx/fig-failure-boundary-output-1.png" id="69" name="Picture"/>
                          <pic:cNvPicPr>
                            <a:picLocks noChangeArrowheads="1" noChangeAspect="1"/>
                          </pic:cNvPicPr>
                        </pic:nvPicPr>
                        <pic:blipFill>
                          <a:blip r:embed="rId67"/>
                          <a:stretch>
                            <a:fillRect/>
                          </a:stretch>
                        </pic:blipFill>
                        <pic:spPr bwMode="auto">
                          <a:xfrm>
                            <a:off x="0" y="0"/>
                            <a:ext cx="5334000" cy="344744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Failure boundary (ΔP = 0 contour) on the (V_fixed, T_cargo) plane for five cracking-pressure values. Below each contour the system returns with nonnegative pressure. The 0.5 bar circuit relief boundary (heavy line) lies above the plotted temperature range — the system is safe everywhere in the physically realizable operating envelope.</w:t>
            </w:r>
          </w:p>
          <w:bookmarkEnd w:id="70"/>
        </w:tc>
      </w:tr>
    </w:tbl>
    <w:p>
      <w:pPr>
        <w:pStyle w:val="BodyText"/>
      </w:pPr>
      <w:hyperlink w:anchor="fig-dp-surface">
        <w:r>
          <w:rPr>
            <w:rStyle w:val="Hyperlink"/>
          </w:rPr>
          <w:t xml:space="preserve">Figure 6</w:t>
        </w:r>
      </w:hyperlink>
      <w:r>
        <w:t xml:space="preserve"> </w:t>
      </w:r>
      <w:r>
        <w:t xml:space="preserve">provides an alternative view of the same data as a filled contour map and a three-dimensional surface. The contour map shows the magnitude of the worst return-leg pressure deficit across the full</w:t>
      </w:r>
      <w:r>
        <w:t xml:space="preserve"> </w:t>
      </w:r>
      <m:oMath>
        <m:r>
          <m:rPr>
            <m:sty m:val="p"/>
          </m:rPr>
          <m:t>(</m:t>
        </m:r>
        <m:sSub>
          <m:e>
            <m:r>
              <m:t>V</m:t>
            </m:r>
          </m:e>
          <m:sub>
            <m:r>
              <m:t>f</m:t>
            </m:r>
            <m:r>
              <m:t>i</m:t>
            </m:r>
            <m:r>
              <m:t>x</m:t>
            </m:r>
            <m:r>
              <m:t>e</m:t>
            </m:r>
            <m:r>
              <m:t>d</m:t>
            </m:r>
          </m:sub>
        </m:sSub>
        <m:r>
          <m:rPr>
            <m:sty m:val="p"/>
          </m:rPr>
          <m:t>,</m:t>
        </m:r>
        <m:sSub>
          <m:e>
            <m:r>
              <m:t>T</m:t>
            </m:r>
          </m:e>
          <m:sub>
            <m:r>
              <m:t>c</m:t>
            </m:r>
            <m:r>
              <m:t>a</m:t>
            </m:r>
            <m:r>
              <m:t>r</m:t>
            </m:r>
            <m:r>
              <m:t>g</m:t>
            </m:r>
            <m:r>
              <m:t>o</m:t>
            </m:r>
          </m:sub>
        </m:sSub>
        <m:r>
          <m:rPr>
            <m:sty m:val="p"/>
          </m:rPr>
          <m:t>)</m:t>
        </m:r>
      </m:oMath>
      <w:r>
        <w:t xml:space="preserve"> </w:t>
      </w:r>
      <w:r>
        <w:t xml:space="preserve">plane for the ideal-vent case (</w:t>
      </w:r>
      <m:oMath>
        <m:sSub>
          <m:e>
            <m:r>
              <m:t>P</m:t>
            </m:r>
          </m:e>
          <m:sub>
            <m:r>
              <m:t>c</m:t>
            </m:r>
            <m:r>
              <m:t>r</m:t>
            </m:r>
            <m:r>
              <m:t>a</m:t>
            </m:r>
            <m:r>
              <m:t>c</m:t>
            </m:r>
            <m:r>
              <m:t>k</m:t>
            </m:r>
          </m:sub>
        </m:sSub>
        <m:r>
          <m:rPr>
            <m:sty m:val="p"/>
          </m:rPr>
          <m:t>=</m:t>
        </m:r>
        <m:r>
          <m:t>0</m:t>
        </m:r>
      </m:oMath>
      <w:r>
        <w:t xml:space="preserve">). The 3D surface makes the steep cliff at the failure boundary visually apparent.</w:t>
      </w:r>
    </w:p>
    <w:tbl>
      <w:tblPr>
        <w:tblStyle w:val="Table"/>
        <w:tblW w:type="pct" w:w="5000"/>
        <w:tblLayout w:type="fixed"/>
        <w:tblLook w:firstRow="0" w:lastRow="0" w:firstColumn="0" w:lastColumn="0" w:noHBand="0" w:noVBand="0" w:val="0000"/>
      </w:tblPr>
      <w:tblGrid>
        <w:gridCol w:w="7920"/>
      </w:tblGrid>
      <w:tr>
        <w:tc>
          <w:tcPr/>
          <w:bookmarkStart w:id="74" w:name="fig-dp-surface"/>
          <w:p>
            <w:pPr>
              <w:pStyle w:val="Compact"/>
              <w:jc w:val="center"/>
            </w:pPr>
            <w:r>
              <w:drawing>
                <wp:inline>
                  <wp:extent cx="5334000" cy="2219286"/>
                  <wp:effectExtent b="0" l="0" r="0" t="0"/>
                  <wp:docPr descr="" title="" id="72" name="Picture"/>
                  <a:graphic>
                    <a:graphicData uri="http://schemas.openxmlformats.org/drawingml/2006/picture">
                      <pic:pic>
                        <pic:nvPicPr>
                          <pic:cNvPr descr="failure-mechanism_files/figure-docx/fig-dp-surface-output-1.png" id="73" name="Picture"/>
                          <pic:cNvPicPr>
                            <a:picLocks noChangeArrowheads="1" noChangeAspect="1"/>
                          </pic:cNvPicPr>
                        </pic:nvPicPr>
                        <pic:blipFill>
                          <a:blip r:embed="rId71"/>
                          <a:stretch>
                            <a:fillRect/>
                          </a:stretch>
                        </pic:blipFill>
                        <pic:spPr bwMode="auto">
                          <a:xfrm>
                            <a:off x="0" y="0"/>
                            <a:ext cx="5334000" cy="221928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Worst return-leg pressure deficit for the ideal-vent case (P_crack = 0). Left: filled contour map with the ΔP = 0 boundary (black line) separating the safe region (green, ΔP &gt;= 0) from the failure region (red, ΔP &lt; 0). Right: 3D surface showing the steep transition at the failure boundary.</w:t>
            </w:r>
          </w:p>
          <w:bookmarkEnd w:id="74"/>
        </w:tc>
      </w:tr>
    </w:tbl>
    <w:p>
      <w:pPr>
        <w:pStyle w:val="BodyText"/>
      </w:pPr>
      <w:r>
        <w:t xml:space="preserve">The key finding from</w:t>
      </w:r>
      <w:r>
        <w:t xml:space="preserve"> </w:t>
      </w:r>
      <w:hyperlink w:anchor="fig-failure-boundary">
        <w:r>
          <w:rPr>
            <w:rStyle w:val="Hyperlink"/>
          </w:rPr>
          <w:t xml:space="preserve">Figure 5</w:t>
        </w:r>
      </w:hyperlink>
      <w:r>
        <w:t xml:space="preserve">: the 0.5 bar circuit relief boundary (7.25 psig) does not enter the plotted region. Under any combination of</w:t>
      </w:r>
      <w:r>
        <w:t xml:space="preserve"> </w:t>
      </w:r>
      <m:oMath>
        <m:sSub>
          <m:e>
            <m:r>
              <m:t>V</m:t>
            </m:r>
          </m:e>
          <m:sub>
            <m:r>
              <m:t>f</m:t>
            </m:r>
            <m:r>
              <m:t>i</m:t>
            </m:r>
            <m:r>
              <m:t>x</m:t>
            </m:r>
            <m:r>
              <m:t>e</m:t>
            </m:r>
            <m:r>
              <m:t>d</m:t>
            </m:r>
          </m:sub>
        </m:sSub>
      </m:oMath>
      <w:r>
        <w:t xml:space="preserve"> </w:t>
      </w:r>
      <w:r>
        <w:t xml:space="preserve">from 20 to 120 L and</w:t>
      </w:r>
      <w:r>
        <w:t xml:space="preserve"> </w:t>
      </w:r>
      <m:oMath>
        <m:sSub>
          <m:e>
            <m:r>
              <m:t>T</m:t>
            </m:r>
          </m:e>
          <m:sub>
            <m:r>
              <m:t>c</m:t>
            </m:r>
            <m:r>
              <m:t>a</m:t>
            </m:r>
            <m:r>
              <m:t>r</m:t>
            </m:r>
            <m:r>
              <m:t>g</m:t>
            </m:r>
            <m:r>
              <m:t>o</m:t>
            </m:r>
          </m:sub>
        </m:sSub>
      </m:oMath>
      <w:r>
        <w:t xml:space="preserve"> </w:t>
      </w:r>
      <w:r>
        <w:t xml:space="preserve">from 5 to 30 °C, the system completes the shipping cycle with nonnegative return-leg pressure when the vent cracking pressure is 0.5 bar gauge or higher. The lower cracking-pressure contours demonstrate how the failure mechanism emerges at progressively smaller volumes as the vent threshold decreases.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C:\Program Files\Quarto\share\formats\docx\note.png" id="7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parametric sweep covers</w:t>
            </w:r>
            <w:r>
              <w:t xml:space="preserve"> </w:t>
            </w:r>
            <m:oMath>
              <m:sSub>
                <m:e>
                  <m:r>
                    <m:t>T</m:t>
                  </m:r>
                </m:e>
                <m:sub>
                  <m:r>
                    <m:t>c</m:t>
                  </m:r>
                  <m:r>
                    <m:t>a</m:t>
                  </m:r>
                  <m:r>
                    <m:t>r</m:t>
                  </m:r>
                  <m:r>
                    <m:t>g</m:t>
                  </m:r>
                  <m:r>
                    <m:t>o</m:t>
                  </m:r>
                </m:sub>
              </m:sSub>
            </m:oMath>
            <w:r>
              <w:t xml:space="preserve"> </w:t>
            </w:r>
            <w:r>
              <w:t xml:space="preserve">from 5 to 30 °C. The shipping specification (</w:t>
            </w:r>
            <w:hyperlink w:anchor="tbl-shipping-spec">
              <w:r>
                <w:rPr>
                  <w:rStyle w:val="Hyperlink"/>
                </w:rPr>
                <w:t xml:space="preserve">Table 2</w:t>
              </w:r>
            </w:hyperlink>
            <w:r>
              <w:t xml:space="preserve">) permits cargo temperatures up to 40 °C. Extension of the sweep to the full 10–40 °C specified range is a follow-up action; the ideal-gas overpressure bound in</w:t>
            </w:r>
            <w:r>
              <w:t xml:space="preserve"> </w:t>
            </w:r>
            <w:hyperlink w:anchor="sec-upper-bound">
              <w:r>
                <w:rPr>
                  <w:rStyle w:val="Hyperlink"/>
                </w:rPr>
                <w:t xml:space="preserve">Section 10</w:t>
              </w:r>
            </w:hyperlink>
            <w:r>
              <w:t xml:space="preserve"> </w:t>
            </w:r>
            <w:r>
              <w:t xml:space="preserve">applies at any temperature and confirms that the PED relief does not open at 40 °C.</w:t>
            </w:r>
          </w:p>
          <w:p/>
        </w:tc>
      </w:tr>
    </w:tbl>
    <w:p>
      <w:pPr>
        <w:pStyle w:val="BodyText"/>
      </w:pPr>
      <w:hyperlink w:anchor="tbl-max-safe-volume">
        <w:r>
          <w:rPr>
            <w:rStyle w:val="Hyperlink"/>
          </w:rPr>
          <w:t xml:space="preserve">Table 10</w:t>
        </w:r>
      </w:hyperlink>
      <w:r>
        <w:t xml:space="preserve"> </w:t>
      </w:r>
      <w:r>
        <w:t xml:space="preserve">summarizes the maximum rigid volume that avoids return-leg underpressure for each cracking pressure at the worst-case cargo temperature of 30 °C.</w:t>
      </w:r>
    </w:p>
    <w:tbl>
      <w:tblPr>
        <w:tblStyle w:val="Table"/>
        <w:tblW w:type="pct" w:w="5000"/>
        <w:tblLayout w:type="fixed"/>
        <w:tblLook w:firstRow="0" w:lastRow="0" w:firstColumn="0" w:lastColumn="0" w:noHBand="0" w:noVBand="0" w:val="0000"/>
      </w:tblPr>
      <w:tblGrid>
        <w:gridCol w:w="7920"/>
      </w:tblGrid>
      <w:tr>
        <w:tc>
          <w:tcPr/>
          <w:bookmarkStart w:id="77" w:name="tbl-max-safe-volume"/>
          <w:p>
            <w:pPr>
              <w:jc w:val="center"/>
            </w:pPr>
            <w:pPr>
              <w:jc w:val="left"/>
              <w:spacing w:before="200"/>
              <w:pStyle w:val="ImageCaption"/>
            </w:pPr>
            <w:r>
              <w:t xml:space="preserve">Table 10: Maximum rigid volume for nonnegative return-leg pressure at</w:t>
            </w:r>
            <w:r>
              <w:t xml:space="preserve"> </w:t>
            </w:r>
            <m:oMath>
              <m:sSub>
                <m:e>
                  <m:r>
                    <m:t>T</m:t>
                  </m:r>
                </m:e>
                <m:sub>
                  <m:r>
                    <m:t>c</m:t>
                  </m:r>
                  <m:r>
                    <m:t>a</m:t>
                  </m:r>
                  <m:r>
                    <m:t>r</m:t>
                  </m:r>
                  <m:r>
                    <m:t>g</m:t>
                  </m:r>
                  <m:r>
                    <m:t>o</m:t>
                  </m:r>
                </m:sub>
              </m:sSub>
              <m:r>
                <m:rPr>
                  <m:sty m:val="p"/>
                </m:rPr>
                <m:t>=</m:t>
              </m:r>
              <m:r>
                <m:t>30</m:t>
              </m:r>
              <m:r>
                <m:t> </m:t>
              </m:r>
              <m:r>
                <m:rPr>
                  <m:nor/>
                  <m:sty m:val="p"/>
                </m:rPr>
                <m:t>°C</m:t>
              </m:r>
            </m:oMath>
            <w:r>
              <w:t xml:space="preserve"> </w:t>
            </w:r>
            <w:r>
              <w:t xml:space="preserve">and</w:t>
            </w:r>
            <w:r>
              <w:t xml:space="preserve"> </w:t>
            </w:r>
            <m:oMath>
              <m:sSub>
                <m:e>
                  <m:r>
                    <m:t>T</m:t>
                  </m:r>
                </m:e>
                <m:sub>
                  <m:r>
                    <m:t>t</m:t>
                  </m:r>
                  <m:r>
                    <m:t>a</m:t>
                  </m:r>
                  <m:r>
                    <m:t>r</m:t>
                  </m:r>
                  <m:r>
                    <m:t>m</m:t>
                  </m:r>
                  <m:r>
                    <m:t>a</m:t>
                  </m:r>
                  <m:r>
                    <m:t>c</m:t>
                  </m:r>
                </m:sub>
              </m:sSub>
              <m:r>
                <m:rPr>
                  <m:sty m:val="p"/>
                </m:rPr>
                <m:t>=</m:t>
              </m:r>
              <m:r>
                <m:t>35</m:t>
              </m:r>
              <m:r>
                <m:t> </m:t>
              </m:r>
              <m:r>
                <m:rPr>
                  <m:nor/>
                  <m:sty m:val="p"/>
                </m:rPr>
                <m:t>°C</m:t>
              </m:r>
            </m:oMath>
            <w:r>
              <w:t xml:space="preserve">. The PED 0.5 bar relief eliminates the failure for any practical assembly volume.</w:t>
            </w:r>
          </w:p>
          <w:tbl>
            <w:tblPr>
              <w:tblStyle w:val="Table"/>
              <w:tblW w:type="pct" w:w="5000"/>
              <w:tblLayout w:type="fixed"/>
              <w:tblLook w:firstRow="1" w:lastRow="0" w:firstColumn="0" w:lastColumn="0" w:noHBand="0" w:noVBand="0" w:val="0020"/>
            </w:tblPr>
            <w:tblGrid>
              <w:gridCol w:w="2376"/>
              <w:gridCol w:w="1980"/>
              <w:gridCol w:w="1980"/>
              <w:gridCol w:w="1584"/>
            </w:tblGrid>
            <w:tr>
              <w:trPr>
                <w:tblHeader w:val="on"/>
              </w:trPr>
              <w:tc>
                <w:tcPr/>
                <w:p>
                  <w:pPr>
                    <w:pStyle w:val="Compact"/>
                    <w:jc w:val="left"/>
                    <w:jc w:val="center"/>
                  </w:pPr>
                  <w:r>
                    <w:t xml:space="preserve">Cracking pressure</w:t>
                  </w:r>
                </w:p>
              </w:tc>
              <w:tc>
                <w:tcPr/>
                <w:p>
                  <w:pPr>
                    <w:pStyle w:val="Compact"/>
                    <w:jc w:val="right"/>
                    <w:jc w:val="center"/>
                  </w:pPr>
                  <w:r>
                    <w:t xml:space="preserve">Gauge (bar)</w:t>
                  </w:r>
                </w:p>
              </w:tc>
              <w:tc>
                <w:tcPr/>
                <w:p>
                  <w:pPr>
                    <w:pStyle w:val="Compact"/>
                    <w:jc w:val="right"/>
                    <w:jc w:val="center"/>
                  </w:pPr>
                  <w:r>
                    <w:t xml:space="preserve">Gauge (psig)</w:t>
                  </w:r>
                </w:p>
              </w:tc>
              <w:tc>
                <w:tcPr/>
                <w:p>
                  <w:pPr>
                    <w:pStyle w:val="Compact"/>
                    <w:jc w:val="right"/>
                    <w:jc w:val="center"/>
                  </w:pPr>
                  <w:r>
                    <w:t xml:space="preserve">Max safe</w:t>
                  </w:r>
                  <w:r>
                    <w:t xml:space="preserve"> </w:t>
                  </w:r>
                  <m:oMath>
                    <m:sSub>
                      <m:e>
                        <m:r>
                          <m:t>V</m:t>
                        </m:r>
                      </m:e>
                      <m:sub>
                        <m:r>
                          <m:t>f</m:t>
                        </m:r>
                        <m:r>
                          <m:t>i</m:t>
                        </m:r>
                        <m:r>
                          <m:t>x</m:t>
                        </m:r>
                        <m:r>
                          <m:t>e</m:t>
                        </m:r>
                        <m:r>
                          <m:t>d</m:t>
                        </m:r>
                      </m:sub>
                    </m:sSub>
                  </m:oMath>
                  <w:r>
                    <w:t xml:space="preserve"> </w:t>
                  </w:r>
                  <w:r>
                    <w:t xml:space="preserve">(L)</w:t>
                  </w:r>
                </w:p>
              </w:tc>
            </w:tr>
            <w:tr>
              <w:tc>
                <w:tcPr/>
                <w:p>
                  <w:pPr>
                    <w:pStyle w:val="Compact"/>
                    <w:jc w:val="left"/>
                    <w:jc w:val="center"/>
                  </w:pPr>
                  <w:r>
                    <w:t xml:space="preserve">Ideal vent</w:t>
                  </w:r>
                </w:p>
              </w:tc>
              <w:tc>
                <w:tcPr/>
                <w:p>
                  <w:pPr>
                    <w:pStyle w:val="Compact"/>
                    <w:jc w:val="right"/>
                    <w:jc w:val="center"/>
                  </w:pPr>
                  <w:r>
                    <w:t xml:space="preserve">0.000</w:t>
                  </w:r>
                </w:p>
              </w:tc>
              <w:tc>
                <w:tcPr/>
                <w:p>
                  <w:pPr>
                    <w:pStyle w:val="Compact"/>
                    <w:jc w:val="right"/>
                    <w:jc w:val="center"/>
                  </w:pPr>
                  <w:r>
                    <w:t xml:space="preserve">0.00</w:t>
                  </w:r>
                </w:p>
              </w:tc>
              <w:tc>
                <w:tcPr/>
                <w:p>
                  <w:pPr>
                    <w:pStyle w:val="Compact"/>
                    <w:jc w:val="right"/>
                    <w:jc w:val="center"/>
                  </w:pPr>
                  <w:r>
                    <w:t xml:space="preserve">52.6</w:t>
                  </w:r>
                </w:p>
              </w:tc>
            </w:tr>
            <w:tr>
              <w:tc>
                <w:tcPr/>
                <w:p>
                  <w:pPr>
                    <w:pStyle w:val="Compact"/>
                    <w:jc w:val="left"/>
                    <w:jc w:val="center"/>
                  </w:pPr>
                  <w:r>
                    <w:t xml:space="preserve">Low threshold</w:t>
                  </w:r>
                </w:p>
              </w:tc>
              <w:tc>
                <w:tcPr/>
                <w:p>
                  <w:pPr>
                    <w:pStyle w:val="Compact"/>
                    <w:jc w:val="right"/>
                    <w:jc w:val="center"/>
                  </w:pPr>
                  <w:r>
                    <w:t xml:space="preserve">0.069</w:t>
                  </w:r>
                </w:p>
              </w:tc>
              <w:tc>
                <w:tcPr/>
                <w:p>
                  <w:pPr>
                    <w:pStyle w:val="Compact"/>
                    <w:jc w:val="right"/>
                    <w:jc w:val="center"/>
                  </w:pPr>
                  <w:r>
                    <w:t xml:space="preserve">1.00</w:t>
                  </w:r>
                </w:p>
              </w:tc>
              <w:tc>
                <w:tcPr/>
                <w:p>
                  <w:pPr>
                    <w:pStyle w:val="Compact"/>
                    <w:jc w:val="right"/>
                    <w:jc w:val="center"/>
                  </w:pPr>
                  <w:r>
                    <w:t xml:space="preserve">67.1</w:t>
                  </w:r>
                </w:p>
              </w:tc>
            </w:tr>
            <w:tr>
              <w:tc>
                <w:tcPr/>
                <w:p>
                  <w:pPr>
                    <w:pStyle w:val="Compact"/>
                    <w:jc w:val="left"/>
                    <w:jc w:val="center"/>
                  </w:pPr>
                  <w:r>
                    <w:t xml:space="preserve">Moderate threshold</w:t>
                  </w:r>
                </w:p>
              </w:tc>
              <w:tc>
                <w:tcPr/>
                <w:p>
                  <w:pPr>
                    <w:pStyle w:val="Compact"/>
                    <w:jc w:val="right"/>
                    <w:jc w:val="center"/>
                  </w:pPr>
                  <w:r>
                    <w:t xml:space="preserve">0.138</w:t>
                  </w:r>
                </w:p>
              </w:tc>
              <w:tc>
                <w:tcPr/>
                <w:p>
                  <w:pPr>
                    <w:pStyle w:val="Compact"/>
                    <w:jc w:val="right"/>
                    <w:jc w:val="center"/>
                  </w:pPr>
                  <w:r>
                    <w:t xml:space="preserve">2.00</w:t>
                  </w:r>
                </w:p>
              </w:tc>
              <w:tc>
                <w:tcPr/>
                <w:p>
                  <w:pPr>
                    <w:pStyle w:val="Compact"/>
                    <w:jc w:val="right"/>
                    <w:jc w:val="center"/>
                  </w:pPr>
                  <w:r>
                    <w:t xml:space="preserve">109.2</w:t>
                  </w:r>
                </w:p>
              </w:tc>
            </w:tr>
            <w:tr>
              <w:tc>
                <w:tcPr/>
                <w:p>
                  <w:pPr>
                    <w:pStyle w:val="Compact"/>
                    <w:jc w:val="left"/>
                    <w:jc w:val="center"/>
                  </w:pPr>
                  <w:r>
                    <w:t xml:space="preserve">High threshold</w:t>
                  </w:r>
                </w:p>
              </w:tc>
              <w:tc>
                <w:tcPr/>
                <w:p>
                  <w:pPr>
                    <w:pStyle w:val="Compact"/>
                    <w:jc w:val="right"/>
                    <w:jc w:val="center"/>
                  </w:pPr>
                  <w:r>
                    <w:t xml:space="preserve">0.345</w:t>
                  </w:r>
                </w:p>
              </w:tc>
              <w:tc>
                <w:tcPr/>
                <w:p>
                  <w:pPr>
                    <w:pStyle w:val="Compact"/>
                    <w:jc w:val="right"/>
                    <w:jc w:val="center"/>
                  </w:pPr>
                  <w:r>
                    <w:t xml:space="preserve">5.00</w:t>
                  </w:r>
                </w:p>
              </w:tc>
              <w:tc>
                <w:tcPr/>
                <w:p>
                  <w:pPr>
                    <w:pStyle w:val="Compact"/>
                    <w:jc w:val="right"/>
                    <w:jc w:val="center"/>
                  </w:pPr>
                  <w:r>
                    <w:t xml:space="preserve">$&gt;$120</w:t>
                  </w:r>
                </w:p>
              </w:tc>
            </w:tr>
            <w:tr>
              <w:tc>
                <w:tcPr/>
                <w:p>
                  <w:pPr>
                    <w:pStyle w:val="Compact"/>
                    <w:jc w:val="left"/>
                    <w:jc w:val="center"/>
                  </w:pPr>
                  <w:r>
                    <w:t xml:space="preserve">PED circuit relief</w:t>
                  </w:r>
                </w:p>
              </w:tc>
              <w:tc>
                <w:tcPr/>
                <w:p>
                  <w:pPr>
                    <w:pStyle w:val="Compact"/>
                    <w:jc w:val="right"/>
                    <w:jc w:val="center"/>
                  </w:pPr>
                  <w:r>
                    <w:t xml:space="preserve">0.500</w:t>
                  </w:r>
                </w:p>
              </w:tc>
              <w:tc>
                <w:tcPr/>
                <w:p>
                  <w:pPr>
                    <w:pStyle w:val="Compact"/>
                    <w:jc w:val="right"/>
                    <w:jc w:val="center"/>
                  </w:pPr>
                  <w:r>
                    <w:t xml:space="preserve">7.25</w:t>
                  </w:r>
                </w:p>
              </w:tc>
              <w:tc>
                <w:tcPr/>
                <w:p>
                  <w:pPr>
                    <w:pStyle w:val="Compact"/>
                    <w:jc w:val="right"/>
                    <w:jc w:val="center"/>
                  </w:pPr>
                  <w:r>
                    <w:t xml:space="preserve">$&gt;$120</w:t>
                  </w:r>
                </w:p>
              </w:tc>
            </w:tr>
          </w:tbl>
          <w:bookmarkEnd w:id="77"/>
          <w:p/>
        </w:tc>
      </w:tr>
    </w:tbl>
    <w:bookmarkEnd w:id="78"/>
    <w:bookmarkStart w:id="79" w:name="sec-validity-conditions"/>
    <w:p>
      <w:pPr>
        <w:pStyle w:val="Heading2"/>
      </w:pPr>
      <w:r>
        <w:t xml:space="preserve">10.4 Conditions for Validity</w:t>
      </w:r>
    </w:p>
    <w:p>
      <w:pPr>
        <w:pStyle w:val="FirstParagraph"/>
      </w:pPr>
      <w:r>
        <w:t xml:space="preserve">The analytical conclusion that the bag vent is not required for outbound overpressure protection (and that a vent-removed configuration stays within relief margin) rests on six conditions:</w:t>
      </w:r>
    </w:p>
    <w:p>
      <w:pPr>
        <w:pStyle w:val="Compact"/>
        <w:numPr>
          <w:ilvl w:val="0"/>
          <w:numId w:val="1006"/>
        </w:numPr>
      </w:pPr>
      <w:r>
        <w:t xml:space="preserve">The compliance bag is airtight (no diffusion leakage through the foil laminate over the shipping duration).</w:t>
      </w:r>
    </w:p>
    <w:p>
      <w:pPr>
        <w:pStyle w:val="Compact"/>
        <w:numPr>
          <w:ilvl w:val="0"/>
          <w:numId w:val="1006"/>
        </w:numPr>
      </w:pPr>
      <w:r>
        <w:t xml:space="preserve">The bag vent is physically removed or permanently sealed. A vent that is merely closed but can be opened inadvertently does not satisfy this condition.</w:t>
      </w:r>
    </w:p>
    <w:p>
      <w:pPr>
        <w:pStyle w:val="Compact"/>
        <w:numPr>
          <w:ilvl w:val="0"/>
          <w:numId w:val="1006"/>
        </w:numPr>
      </w:pPr>
      <w:r>
        <w:t xml:space="preserve">The circuit relief valve is confirmed to open at no less than 0.5 bar gauge (50 kPa). Calibration records or functional test data provide the required evidence.</w:t>
      </w:r>
    </w:p>
    <w:p>
      <w:pPr>
        <w:pStyle w:val="Compact"/>
        <w:numPr>
          <w:ilvl w:val="0"/>
          <w:numId w:val="1006"/>
        </w:numPr>
      </w:pPr>
      <w:r>
        <w:t xml:space="preserve">The analysis applies to a single flight cycle (outbound and return). Multiple consecutive flights without re-sealing at standard conditions require separate evaluation.</w:t>
      </w:r>
    </w:p>
    <w:p>
      <w:pPr>
        <w:pStyle w:val="Compact"/>
        <w:numPr>
          <w:ilvl w:val="0"/>
          <w:numId w:val="1006"/>
        </w:numPr>
      </w:pPr>
      <w:r>
        <w:t xml:space="preserve">Seal-up occurs at approximately 20 °C and 1 atm. Deviations in seal-up temperature shift the overpressure bound proportionally via</w:t>
      </w:r>
      <w:r>
        <w:t xml:space="preserve"> </w:t>
      </w:r>
      <w:hyperlink w:anchor="eq-pint-bound">
        <w:r>
          <w:rPr>
            <w:rStyle w:val="Hyperlink"/>
          </w:rPr>
          <w:t xml:space="preserve">Eq. 3</w:t>
        </w:r>
      </w:hyperlink>
      <w:r>
        <w:t xml:space="preserve">.</w:t>
      </w:r>
    </w:p>
    <w:p>
      <w:pPr>
        <w:pStyle w:val="Compact"/>
        <w:numPr>
          <w:ilvl w:val="0"/>
          <w:numId w:val="1006"/>
        </w:numPr>
      </w:pPr>
      <w:r>
        <w:t xml:space="preserve">Maximum cabin altitude does not exceed 8000 ft (per FAA 14 CFR 25.841). Cargo compartments on some aircraft types may experience higher effective altitudes; the carrier’s declared cargo-hold pressure must be verified.</w:t>
      </w:r>
    </w:p>
    <w:p>
      <w:pPr>
        <w:pStyle w:val="FirstParagraph"/>
      </w:pPr>
      <w:r>
        <w:t xml:space="preserve">The weakest assumption is bag integrity over the full shipping duration. If the foil laminate develops a pinhole or seal defect, the bag can lose gas slowly even without a vent valve. That scenario converges toward the original failure mechanism at a rate set by the leak conductance. Bag integrity verification (helium leak testing or equivalent) therefore becomes the primary qualification requirement if the vent is removed.</w:t>
      </w:r>
    </w:p>
    <w:bookmarkEnd w:id="79"/>
    <w:bookmarkEnd w:id="80"/>
    <w:bookmarkStart w:id="81" w:name="sec-not-bag-leakage"/>
    <w:p>
      <w:pPr>
        <w:pStyle w:val="Heading1"/>
      </w:pPr>
      <w:r>
        <w:t xml:space="preserve">11. Why Bag Leakage Is Not Required To Explain the Failure</w:t>
      </w:r>
    </w:p>
    <w:p>
      <w:pPr>
        <w:pStyle w:val="FirstParagraph"/>
      </w:pPr>
      <w:r>
        <w:t xml:space="preserve">The evidence in this report does not support bag leakage as the primary root cause.</w:t>
      </w:r>
    </w:p>
    <w:p>
      <w:pPr>
        <w:pStyle w:val="Compact"/>
        <w:numPr>
          <w:ilvl w:val="0"/>
          <w:numId w:val="1007"/>
        </w:numPr>
      </w:pPr>
      <w:r>
        <w:t xml:space="preserve">The field contamination history predates the breather-bag mitigation. The same underpressure-driven contamination appears in the original rigidly sealed concept.</w:t>
      </w:r>
    </w:p>
    <w:p>
      <w:pPr>
        <w:pStyle w:val="Compact"/>
        <w:numPr>
          <w:ilvl w:val="0"/>
          <w:numId w:val="1007"/>
        </w:numPr>
      </w:pPr>
      <w:r>
        <w:t xml:space="preserve">The ideal-vent model assumes a perfect outward-only valve and no inward leakage through the bag path. The failure still appears above the threshold in</w:t>
      </w:r>
      <w:r>
        <w:t xml:space="preserve"> </w:t>
      </w:r>
      <w:hyperlink w:anchor="eq-return-threshold">
        <w:r>
          <w:rPr>
            <w:rStyle w:val="Hyperlink"/>
          </w:rPr>
          <w:t xml:space="preserve">Eq. 2</w:t>
        </w:r>
      </w:hyperlink>
      <w:r>
        <w:t xml:space="preserve">.</w:t>
      </w:r>
    </w:p>
    <w:p>
      <w:pPr>
        <w:pStyle w:val="Compact"/>
        <w:numPr>
          <w:ilvl w:val="0"/>
          <w:numId w:val="1007"/>
        </w:numPr>
      </w:pPr>
      <w:r>
        <w:t xml:space="preserve">The governing event is the reduction in retained nitrogen inventory, not a defect in the bag material. Once nitrogen is lost, the bag cannot restore it on the return leg.</w:t>
      </w:r>
    </w:p>
    <w:p>
      <w:pPr>
        <w:pStyle w:val="Compact"/>
        <w:numPr>
          <w:ilvl w:val="0"/>
          <w:numId w:val="1007"/>
        </w:numPr>
      </w:pPr>
      <w:r>
        <w:t xml:space="preserve">Real bag leakage, if present, would worsen the outcome. It is not needed to explain the observed contamination.</w:t>
      </w:r>
    </w:p>
    <w:p>
      <w:pPr>
        <w:pStyle w:val="FirstParagraph"/>
      </w:pPr>
      <w:r>
        <w:t xml:space="preserve">The simplest explanation that matches the field history and the first-principles model is therefore the one adopted here:</w:t>
      </w:r>
      <w:r>
        <w:t xml:space="preserve"> </w:t>
      </w:r>
      <w:r>
        <w:rPr>
          <w:b/>
          <w:bCs/>
        </w:rPr>
        <w:t xml:space="preserve">return-leg underpressure following irreversible nitrogen mass loss</w:t>
      </w:r>
      <w:r>
        <w:t xml:space="preserve">.</w:t>
      </w:r>
    </w:p>
    <w:bookmarkEnd w:id="81"/>
    <w:bookmarkStart w:id="82" w:name="sec-review-assumptions"/>
    <w:p>
      <w:pPr>
        <w:pStyle w:val="Heading1"/>
      </w:pPr>
      <w:r>
        <w:t xml:space="preserve">12. Assumptions That Matter For Review</w:t>
      </w:r>
    </w:p>
    <w:p>
      <w:pPr>
        <w:pStyle w:val="FirstParagraph"/>
      </w:pPr>
      <w:r>
        <w:t xml:space="preserve">The findings and overpressure disposition below are conditioned on explicit validity statements. Reviewers should treat conclusions as</w:t>
      </w:r>
      <w:r>
        <w:t xml:space="preserve"> </w:t>
      </w:r>
      <w:r>
        <w:rPr>
          <w:b/>
          <w:bCs/>
        </w:rPr>
        <w:t xml:space="preserve">findings under these assumptions</w:t>
      </w:r>
      <w:r>
        <w:t xml:space="preserve">, not as unconditional universal claims.</w:t>
      </w:r>
    </w:p>
    <w:p>
      <w:pPr>
        <w:pStyle w:val="Compact"/>
        <w:numPr>
          <w:ilvl w:val="0"/>
          <w:numId w:val="1008"/>
        </w:numPr>
      </w:pPr>
      <w:r>
        <w:t xml:space="preserve">Single-flight shipping cycle (outbound and return) for the overpressure bound and parametric sweep in</w:t>
      </w:r>
      <w:r>
        <w:t xml:space="preserve"> </w:t>
      </w:r>
      <w:hyperlink w:anchor="sec-upper-bound">
        <w:r>
          <w:rPr>
            <w:rStyle w:val="Hyperlink"/>
          </w:rPr>
          <w:t xml:space="preserve">Section 10</w:t>
        </w:r>
      </w:hyperlink>
      <w:r>
        <w:t xml:space="preserve">.</w:t>
      </w:r>
    </w:p>
    <w:p>
      <w:pPr>
        <w:pStyle w:val="Compact"/>
        <w:numPr>
          <w:ilvl w:val="0"/>
          <w:numId w:val="1008"/>
        </w:numPr>
      </w:pPr>
      <w:r>
        <w:t xml:space="preserve">Seal-up near 20 °C and 1 atm (see</w:t>
      </w:r>
      <w:r>
        <w:t xml:space="preserve"> </w:t>
      </w:r>
      <w:hyperlink w:anchor="sec-validity-conditions">
        <w:r>
          <w:rPr>
            <w:rStyle w:val="Hyperlink"/>
          </w:rPr>
          <w:t xml:space="preserve">Section 10.4</w:t>
        </w:r>
      </w:hyperlink>
      <w:r>
        <w:t xml:space="preserve"> </w:t>
      </w:r>
      <w:r>
        <w:t xml:space="preserve">for sensitivity).</w:t>
      </w:r>
    </w:p>
    <w:p>
      <w:pPr>
        <w:pStyle w:val="Compact"/>
        <w:numPr>
          <w:ilvl w:val="0"/>
          <w:numId w:val="1008"/>
        </w:numPr>
      </w:pPr>
      <w:r>
        <w:t xml:space="preserve">Maximum cabin altitude at or below 8000 ft (FAA 14 CFR 25.841) unless superseded by verified carrier cargo-hold data.</w:t>
      </w:r>
    </w:p>
    <w:p>
      <w:pPr>
        <w:pStyle w:val="Compact"/>
        <w:numPr>
          <w:ilvl w:val="0"/>
          <w:numId w:val="1008"/>
        </w:numPr>
      </w:pPr>
      <w:r>
        <w:t xml:space="preserve">For a vent-removed configuration: bag and port integrity over the full shipping duration (no pinhole or seal defect that reintroduces slow loss).</w:t>
      </w:r>
    </w:p>
    <w:p>
      <w:pPr>
        <w:pStyle w:val="Compact"/>
        <w:numPr>
          <w:ilvl w:val="0"/>
          <w:numId w:val="1008"/>
        </w:numPr>
      </w:pPr>
      <w:r>
        <w:t xml:space="preserve">Circuit relief setpoint at or above 0.5 bar gauge as installed (calibration evidence required for formal closure).</w:t>
      </w:r>
    </w:p>
    <w:p>
      <w:pPr>
        <w:pStyle w:val="Compact"/>
        <w:numPr>
          <w:ilvl w:val="0"/>
          <w:numId w:val="1008"/>
        </w:numPr>
      </w:pPr>
      <w:r>
        <w:t xml:space="preserve">Perfect valve closure on the return leg (the valve fully seats once backpressure exceeds cracking pressure). This assumption is</w:t>
      </w:r>
      <w:r>
        <w:t xml:space="preserve"> </w:t>
      </w:r>
      <w:r>
        <w:rPr>
          <w:b/>
          <w:bCs/>
        </w:rPr>
        <w:t xml:space="preserve">known non-conservative</w:t>
      </w:r>
      <w:r>
        <w:t xml:space="preserve">: the as-built valve requires up to 2 psig reverse differential to reseat (</w:t>
      </w:r>
      <w:r>
        <w:rPr>
          <w:b/>
          <w:bCs/>
        </w:rPr>
        <w:t xml:space="preserve">FND-SH-006</w:t>
      </w:r>
      <w:r>
        <w:t xml:space="preserve">), and the model never produces that much backpressure (</w:t>
      </w:r>
      <w:r>
        <w:rPr>
          <w:b/>
          <w:bCs/>
        </w:rPr>
        <w:t xml:space="preserve">FND-SH-007</w:t>
      </w:r>
      <w:r>
        <w:t xml:space="preserve">). The single-flight results are therefore optimistic; see</w:t>
      </w:r>
      <w:r>
        <w:t xml:space="preserve"> </w:t>
      </w:r>
      <w:r>
        <w:rPr>
          <w:b/>
          <w:bCs/>
        </w:rPr>
        <w:t xml:space="preserve">FND-SH-008</w:t>
      </w:r>
      <w:r>
        <w:t xml:space="preserve"> </w:t>
      </w:r>
      <w:r>
        <w:t xml:space="preserve">through</w:t>
      </w:r>
      <w:r>
        <w:t xml:space="preserve"> </w:t>
      </w:r>
      <w:r>
        <w:rPr>
          <w:b/>
          <w:bCs/>
        </w:rPr>
        <w:t xml:space="preserve">FND-SH-011</w:t>
      </w:r>
      <w:r>
        <w:t xml:space="preserve"> </w:t>
      </w:r>
      <w:r>
        <w:t xml:space="preserve">for multi-leg and handling implications.</w:t>
      </w:r>
    </w:p>
    <w:bookmarkEnd w:id="82"/>
    <w:bookmarkStart w:id="97" w:name="sec-findings"/>
    <w:p>
      <w:pPr>
        <w:pStyle w:val="Heading1"/>
      </w:pPr>
      <w:r>
        <w:t xml:space="preserve">13. Findings</w:t>
      </w:r>
    </w:p>
    <w:bookmarkStart w:id="83" w:name="fnd-sh-001"/>
    <w:p>
      <w:pPr>
        <w:pStyle w:val="FirstParagraph"/>
      </w:pPr>
      <w:r>
        <w:rPr>
          <w:b/>
          <w:bCs/>
        </w:rPr>
        <w:t xml:space="preserve">FND-SH-001:</w:t>
      </w:r>
      <w:r>
        <w:t xml:space="preserve"> </w:t>
      </w:r>
      <w:r>
        <w:t xml:space="preserve">The governing contamination failure is return-leg underpressure after irreversible nitrogen mass loss during outbound venting when the compliance bag saturates and the outward path vents.</w:t>
      </w:r>
    </w:p>
    <w:p>
      <w:pPr>
        <w:pStyle w:val="BodyText"/>
      </w:pPr>
      <w:r>
        <w:rPr>
          <w:i/>
          <w:iCs/>
        </w:rPr>
        <w:t xml:space="preserve">Disposition: supported by current report (</w:t>
      </w:r>
      <w:hyperlink w:anchor="sec-actual-mechanism">
        <w:r>
          <w:rPr>
            <w:rStyle w:val="Hyperlink"/>
            <w:i/>
            <w:iCs/>
          </w:rPr>
          <w:t xml:space="preserve">Section 6</w:t>
        </w:r>
      </w:hyperlink>
      <w:r>
        <w:rPr>
          <w:i/>
          <w:iCs/>
        </w:rPr>
        <w:t xml:space="preserve">,</w:t>
      </w:r>
      <w:r>
        <w:rPr>
          <w:i/>
          <w:iCs/>
        </w:rPr>
        <w:t xml:space="preserve"> </w:t>
      </w:r>
      <w:hyperlink w:anchor="sec-field-history">
        <w:r>
          <w:rPr>
            <w:rStyle w:val="Hyperlink"/>
            <w:i/>
            <w:iCs/>
          </w:rPr>
          <w:t xml:space="preserve">Section 4</w:t>
        </w:r>
      </w:hyperlink>
      <w:r>
        <w:rPr>
          <w:i/>
          <w:iCs/>
        </w:rPr>
        <w:t xml:space="preserve">).</w:t>
      </w:r>
    </w:p>
    <w:bookmarkEnd w:id="83"/>
    <w:bookmarkStart w:id="84" w:name="fnd-sh-002"/>
    <w:p>
      <w:pPr>
        <w:pStyle w:val="BodyText"/>
      </w:pPr>
      <w:r>
        <w:rPr>
          <w:b/>
          <w:bCs/>
        </w:rPr>
        <w:t xml:space="preserve">FND-SH-002:</w:t>
      </w:r>
      <w:r>
        <w:t xml:space="preserve"> </w:t>
      </w:r>
      <w:r>
        <w:t xml:space="preserve">The failure does not require bag leakage or valve backflow. A perfect outward-only vent still fails above the threshold in Eq.</w:t>
      </w:r>
      <w:r>
        <w:t xml:space="preserve"> </w:t>
      </w:r>
      <w:hyperlink w:anchor="eq-return-threshold">
        <w:r>
          <w:rPr>
            <w:rStyle w:val="Hyperlink"/>
          </w:rPr>
          <w:t xml:space="preserve">Eq. 2</w:t>
        </w:r>
      </w:hyperlink>
      <w:r>
        <w:t xml:space="preserve">.</w:t>
      </w:r>
    </w:p>
    <w:p>
      <w:pPr>
        <w:pStyle w:val="BodyText"/>
      </w:pPr>
      <w:r>
        <w:rPr>
          <w:i/>
          <w:iCs/>
        </w:rPr>
        <w:t xml:space="preserve">Disposition: supported by current report (</w:t>
      </w:r>
      <w:hyperlink w:anchor="sec-not-bag-leakage">
        <w:r>
          <w:rPr>
            <w:rStyle w:val="Hyperlink"/>
            <w:i/>
            <w:iCs/>
          </w:rPr>
          <w:t xml:space="preserve">Section 11</w:t>
        </w:r>
      </w:hyperlink>
      <w:r>
        <w:rPr>
          <w:i/>
          <w:iCs/>
        </w:rPr>
        <w:t xml:space="preserve">,</w:t>
      </w:r>
      <w:r>
        <w:rPr>
          <w:i/>
          <w:iCs/>
        </w:rPr>
        <w:t xml:space="preserve"> </w:t>
      </w:r>
      <w:hyperlink w:anchor="sec-model">
        <w:r>
          <w:rPr>
            <w:rStyle w:val="Hyperlink"/>
            <w:i/>
            <w:iCs/>
          </w:rPr>
          <w:t xml:space="preserve">Section 7</w:t>
        </w:r>
      </w:hyperlink>
      <w:r>
        <w:rPr>
          <w:i/>
          <w:iCs/>
        </w:rPr>
        <w:t xml:space="preserve">).</w:t>
      </w:r>
    </w:p>
    <w:bookmarkEnd w:id="84"/>
    <w:bookmarkStart w:id="85" w:name="fnd-sh-003"/>
    <w:p>
      <w:pPr>
        <w:pStyle w:val="BodyText"/>
      </w:pPr>
      <w:r>
        <w:rPr>
          <w:b/>
          <w:bCs/>
        </w:rPr>
        <w:t xml:space="preserve">FND-SH-003:</w:t>
      </w:r>
      <w:r>
        <w:t xml:space="preserve"> </w:t>
      </w:r>
      <w:r>
        <w:t xml:space="preserve">The rigid connected volume</w:t>
      </w:r>
      <w:r>
        <w:t xml:space="preserve"> </w:t>
      </w:r>
      <m:oMath>
        <m:sSub>
          <m:e>
            <m:r>
              <m:t>V</m:t>
            </m:r>
          </m:e>
          <m:sub>
            <m:r>
              <m:t>f</m:t>
            </m:r>
            <m:r>
              <m:t>i</m:t>
            </m:r>
            <m:r>
              <m:t>x</m:t>
            </m:r>
            <m:r>
              <m:t>e</m:t>
            </m:r>
            <m:r>
              <m:t>d</m:t>
            </m:r>
          </m:sub>
        </m:sSub>
      </m:oMath>
      <w:r>
        <w:t xml:space="preserve"> </w:t>
      </w:r>
      <w:r>
        <w:t xml:space="preserve">is conservatively estimated at 35 L, placing the as-built vented concept between the no-vent threshold (15.28 L) and the nonnegative-return threshold (52.55 L for ideal vent, 109.19 L for the as-built 2 psig valve). A traceable measurement is required for formal disposition.</w:t>
      </w:r>
    </w:p>
    <w:p>
      <w:pPr>
        <w:pStyle w:val="BodyText"/>
      </w:pPr>
      <w:r>
        <w:rPr>
          <w:i/>
          <w:iCs/>
        </w:rPr>
        <w:t xml:space="preserve">Disposition: preliminary estimate available; open until traceable measurement confirms (</w:t>
      </w:r>
      <w:hyperlink w:anchor="sec-critical-unknowns">
        <w:r>
          <w:rPr>
            <w:rStyle w:val="Hyperlink"/>
            <w:i/>
            <w:iCs/>
          </w:rPr>
          <w:t xml:space="preserve">Section 14</w:t>
        </w:r>
      </w:hyperlink>
      <w:r>
        <w:rPr>
          <w:i/>
          <w:iCs/>
        </w:rPr>
        <w:t xml:space="preserve">,</w:t>
      </w:r>
      <w:r>
        <w:rPr>
          <w:i/>
          <w:iCs/>
        </w:rPr>
        <w:t xml:space="preserve"> </w:t>
      </w:r>
      <w:hyperlink w:anchor="sec-closure">
        <w:r>
          <w:rPr>
            <w:rStyle w:val="Hyperlink"/>
            <w:i/>
            <w:iCs/>
          </w:rPr>
          <w:t xml:space="preserve">Section 15</w:t>
        </w:r>
      </w:hyperlink>
      <w:r>
        <w:rPr>
          <w:i/>
          <w:iCs/>
        </w:rPr>
        <w:t xml:space="preserve">).</w:t>
      </w:r>
    </w:p>
    <w:bookmarkEnd w:id="85"/>
    <w:bookmarkStart w:id="86" w:name="fnd-sh-004"/>
    <w:p>
      <w:pPr>
        <w:pStyle w:val="BodyText"/>
      </w:pPr>
      <w:r>
        <w:rPr>
          <w:b/>
          <w:bCs/>
        </w:rPr>
        <w:t xml:space="preserve">FND-SH-004:</w:t>
      </w:r>
      <w:r>
        <w:t xml:space="preserve"> </w:t>
      </w:r>
      <w:r>
        <w:t xml:space="preserve">Under physically realizable cargo temperatures, the existing 0.5 bar circuit relief valve does not open during a single-flight shipping cycle at cruise altitude;</w:t>
      </w:r>
      <w:r>
        <w:t xml:space="preserve"> </w:t>
      </w:r>
      <w:hyperlink w:anchor="eq-t-relief">
        <w:r>
          <w:rPr>
            <w:rStyle w:val="Hyperlink"/>
          </w:rPr>
          <w:t xml:space="preserve">Eq. 5</w:t>
        </w:r>
      </w:hyperlink>
      <w:r>
        <w:t xml:space="preserve"> </w:t>
      </w:r>
      <w:r>
        <w:t xml:space="preserve">gives an infeasible relief-opening temperature.</w:t>
      </w:r>
    </w:p>
    <w:p>
      <w:pPr>
        <w:pStyle w:val="BodyText"/>
      </w:pPr>
      <w:r>
        <w:rPr>
          <w:i/>
          <w:iCs/>
        </w:rPr>
        <w:t xml:space="preserve">Disposition: supported by current report (</w:t>
      </w:r>
      <w:hyperlink w:anchor="sec-upper-bound">
        <w:r>
          <w:rPr>
            <w:rStyle w:val="Hyperlink"/>
            <w:i/>
            <w:iCs/>
          </w:rPr>
          <w:t xml:space="preserve">Section 10</w:t>
        </w:r>
      </w:hyperlink>
      <w:r>
        <w:rPr>
          <w:i/>
          <w:iCs/>
        </w:rPr>
        <w:t xml:space="preserve">,</w:t>
      </w:r>
      <w:r>
        <w:rPr>
          <w:i/>
          <w:iCs/>
        </w:rPr>
        <w:t xml:space="preserve"> </w:t>
      </w:r>
      <w:hyperlink w:anchor="sec-coolprop-verify">
        <w:r>
          <w:rPr>
            <w:rStyle w:val="Hyperlink"/>
            <w:i/>
            <w:iCs/>
          </w:rPr>
          <w:t xml:space="preserve">Section 10.2</w:t>
        </w:r>
      </w:hyperlink>
      <w:r>
        <w:rPr>
          <w:i/>
          <w:iCs/>
        </w:rPr>
        <w:t xml:space="preserve">).</w:t>
      </w:r>
    </w:p>
    <w:bookmarkEnd w:id="86"/>
    <w:bookmarkStart w:id="87" w:name="fnd-sh-005"/>
    <w:p>
      <w:pPr>
        <w:pStyle w:val="BodyText"/>
      </w:pPr>
      <w:r>
        <w:rPr>
          <w:b/>
          <w:bCs/>
        </w:rPr>
        <w:t xml:space="preserve">FND-SH-005:</w:t>
      </w:r>
      <w:r>
        <w:t xml:space="preserve"> </w:t>
      </w:r>
      <w:r>
        <w:t xml:space="preserve">If the bag vent is removed (or permanently sealed), the irreversible mass-loss pathway through that vent is eliminated; with bag integrity and relief margin per</w:t>
      </w:r>
      <w:r>
        <w:t xml:space="preserve"> </w:t>
      </w:r>
      <w:hyperlink w:anchor="sec-validity-conditions">
        <w:r>
          <w:rPr>
            <w:rStyle w:val="Hyperlink"/>
          </w:rPr>
          <w:t xml:space="preserve">Section 10.4</w:t>
        </w:r>
      </w:hyperlink>
      <w:r>
        <w:t xml:space="preserve">, the return-leg underpressure mechanism driven by that venting path no longer occurs under the modeled envelope.</w:t>
      </w:r>
      <w:r>
        <w:t xml:space="preserve"> </w:t>
      </w:r>
      <w:hyperlink w:anchor="fig-failure-boundary">
        <w:r>
          <w:rPr>
            <w:rStyle w:val="Hyperlink"/>
          </w:rPr>
          <w:t xml:space="preserve">Figure 5</w:t>
        </w:r>
      </w:hyperlink>
      <w:r>
        <w:t xml:space="preserve"> </w:t>
      </w:r>
      <w:r>
        <w:t xml:space="preserve">and</w:t>
      </w:r>
      <w:r>
        <w:t xml:space="preserve"> </w:t>
      </w:r>
      <w:hyperlink w:anchor="tbl-max-safe-volume">
        <w:r>
          <w:rPr>
            <w:rStyle w:val="Hyperlink"/>
          </w:rPr>
          <w:t xml:space="preserve">Table 10</w:t>
        </w:r>
      </w:hyperlink>
      <w:r>
        <w:t xml:space="preserve"> </w:t>
      </w:r>
      <w:r>
        <w:t xml:space="preserve">support nonnegative return-leg pressure when cracking pressure is at or above the PED relief level.</w:t>
      </w:r>
    </w:p>
    <w:p>
      <w:pPr>
        <w:pStyle w:val="BodyText"/>
      </w:pPr>
      <w:r>
        <w:rPr>
          <w:i/>
          <w:iCs/>
        </w:rPr>
        <w:t xml:space="preserve">Disposition: proposed design implication (</w:t>
      </w:r>
      <w:hyperlink w:anchor="sec-decision-status">
        <w:r>
          <w:rPr>
            <w:rStyle w:val="Hyperlink"/>
            <w:i/>
            <w:iCs/>
          </w:rPr>
          <w:t xml:space="preserve">Section 16</w:t>
        </w:r>
      </w:hyperlink>
      <w:r>
        <w:rPr>
          <w:i/>
          <w:iCs/>
        </w:rPr>
        <w:t xml:space="preserve">).</w:t>
      </w:r>
    </w:p>
    <w:bookmarkEnd w:id="87"/>
    <w:bookmarkStart w:id="88" w:name="fnd-sh-006"/>
    <w:p>
      <w:pPr>
        <w:pStyle w:val="BodyText"/>
      </w:pPr>
      <w:r>
        <w:rPr>
          <w:b/>
          <w:bCs/>
        </w:rPr>
        <w:t xml:space="preserve">FND-SH-006:</w:t>
      </w:r>
      <w:r>
        <w:t xml:space="preserve"> </w:t>
      </w:r>
      <w:r>
        <w:t xml:space="preserve">The as-built check valve (Swagelok 6L-CW4VR4-P) requires up to 2 psig reverse differential to achieve full closure.</w:t>
      </w:r>
    </w:p>
    <w:p>
      <w:pPr>
        <w:pStyle w:val="BodyText"/>
      </w:pPr>
      <w:r>
        <w:rPr>
          <w:i/>
          <w:iCs/>
        </w:rPr>
        <w:t xml:space="preserve">Disposition: manufacturer specification (</w:t>
      </w:r>
      <w:hyperlink w:anchor="tbl-vent-valve">
        <w:r>
          <w:rPr>
            <w:rStyle w:val="Hyperlink"/>
            <w:i/>
            <w:iCs/>
          </w:rPr>
          <w:t xml:space="preserve">Table 1</w:t>
        </w:r>
      </w:hyperlink>
      <w:r>
        <w:rPr>
          <w:i/>
          <w:iCs/>
        </w:rPr>
        <w:t xml:space="preserve">); citation pending.</w:t>
      </w:r>
    </w:p>
    <w:bookmarkEnd w:id="88"/>
    <w:bookmarkStart w:id="89" w:name="fnd-sh-007"/>
    <w:p>
      <w:pPr>
        <w:pStyle w:val="BodyText"/>
      </w:pPr>
      <w:r>
        <w:rPr>
          <w:b/>
          <w:bCs/>
        </w:rPr>
        <w:t xml:space="preserve">FND-SH-007:</w:t>
      </w:r>
      <w:r>
        <w:t xml:space="preserve"> </w:t>
      </w:r>
      <w:r>
        <w:t xml:space="preserve">The single-flight model produces maximum return-leg backpressure below 2 psig across the full operating envelope (</w:t>
      </w:r>
      <m:oMath>
        <m:sSub>
          <m:e>
            <m:r>
              <m:t>V</m:t>
            </m:r>
          </m:e>
          <m:sub>
            <m:r>
              <m:t>f</m:t>
            </m:r>
            <m:r>
              <m:t>i</m:t>
            </m:r>
            <m:r>
              <m:t>x</m:t>
            </m:r>
            <m:r>
              <m:t>e</m:t>
            </m:r>
            <m:r>
              <m:t>d</m:t>
            </m:r>
          </m:sub>
        </m:sSub>
      </m:oMath>
      <w:r>
        <w:t xml:space="preserve"> </w:t>
      </w:r>
      <w:r>
        <w:t xml:space="preserve">20–120 L,</w:t>
      </w:r>
      <w:r>
        <w:t xml:space="preserve"> </w:t>
      </w:r>
      <m:oMath>
        <m:sSub>
          <m:e>
            <m:r>
              <m:t>T</m:t>
            </m:r>
          </m:e>
          <m:sub>
            <m:r>
              <m:t>c</m:t>
            </m:r>
            <m:r>
              <m:t>a</m:t>
            </m:r>
            <m:r>
              <m:t>r</m:t>
            </m:r>
            <m:r>
              <m:t>g</m:t>
            </m:r>
            <m:r>
              <m:t>o</m:t>
            </m:r>
          </m:sub>
        </m:sSub>
      </m:oMath>
      <w:r>
        <w:t xml:space="preserve"> </w:t>
      </w:r>
      <w:r>
        <w:t xml:space="preserve">10–40 °C), for both ideal-vent and 2 psig cracking assumptions.</w:t>
      </w:r>
    </w:p>
    <w:p>
      <w:pPr>
        <w:pStyle w:val="BodyText"/>
      </w:pPr>
      <w:r>
        <w:rPr>
          <w:i/>
          <w:iCs/>
        </w:rPr>
        <w:t xml:space="preserve">Disposition: supported by parametric sweep (</w:t>
      </w:r>
      <w:hyperlink w:anchor="sec-parametric-surface">
        <w:r>
          <w:rPr>
            <w:rStyle w:val="Hyperlink"/>
            <w:i/>
            <w:iCs/>
          </w:rPr>
          <w:t xml:space="preserve">Section 10.3</w:t>
        </w:r>
      </w:hyperlink>
      <w:r>
        <w:rPr>
          <w:i/>
          <w:iCs/>
        </w:rPr>
        <w:t xml:space="preserve">).</w:t>
      </w:r>
    </w:p>
    <w:bookmarkEnd w:id="89"/>
    <w:bookmarkStart w:id="90" w:name="fnd-sh-008"/>
    <w:p>
      <w:pPr>
        <w:pStyle w:val="BodyText"/>
      </w:pPr>
      <w:r>
        <w:rPr>
          <w:b/>
          <w:bCs/>
        </w:rPr>
        <w:t xml:space="preserve">FND-SH-008:</w:t>
      </w:r>
      <w:r>
        <w:t xml:space="preserve"> </w:t>
      </w:r>
      <w:r>
        <w:t xml:space="preserve">Once cracked open during ascent, the valve does not experience sufficient backpressure to reseat during the remainder of a single flight cycle (derived from</w:t>
      </w:r>
      <w:r>
        <w:t xml:space="preserve"> </w:t>
      </w:r>
      <w:r>
        <w:rPr>
          <w:b/>
          <w:bCs/>
        </w:rPr>
        <w:t xml:space="preserve">FND-SH-006</w:t>
      </w:r>
      <w:r>
        <w:t xml:space="preserve"> </w:t>
      </w:r>
      <w:r>
        <w:t xml:space="preserve">+</w:t>
      </w:r>
      <w:r>
        <w:t xml:space="preserve"> </w:t>
      </w:r>
      <w:r>
        <w:rPr>
          <w:b/>
          <w:bCs/>
        </w:rPr>
        <w:t xml:space="preserve">FND-SH-007</w:t>
      </w:r>
      <w:r>
        <w:t xml:space="preserve">).</w:t>
      </w:r>
    </w:p>
    <w:p>
      <w:pPr>
        <w:pStyle w:val="BodyText"/>
      </w:pPr>
      <w:r>
        <w:rPr>
          <w:i/>
          <w:iCs/>
        </w:rPr>
        <w:t xml:space="preserve">Disposition: derived finding; supported by model results and manufacturer specification.</w:t>
      </w:r>
    </w:p>
    <w:bookmarkEnd w:id="90"/>
    <w:bookmarkStart w:id="91" w:name="fnd-sh-009"/>
    <w:p>
      <w:pPr>
        <w:pStyle w:val="BodyText"/>
      </w:pPr>
      <w:r>
        <w:rPr>
          <w:b/>
          <w:bCs/>
        </w:rPr>
        <w:t xml:space="preserve">FND-SH-009:</w:t>
      </w:r>
      <w:r>
        <w:t xml:space="preserve"> </w:t>
      </w:r>
      <w:r>
        <w:t xml:space="preserve">Shipments routinely involve multiple flight legs; each leg is an additional venting event that compounds nitrogen mass loss.</w:t>
      </w:r>
    </w:p>
    <w:p>
      <w:pPr>
        <w:pStyle w:val="BodyText"/>
      </w:pPr>
      <w:r>
        <w:rPr>
          <w:i/>
          <w:iCs/>
        </w:rPr>
        <w:t xml:space="preserve">Disposition: operational fact; confirmed by shipping logistics.</w:t>
      </w:r>
    </w:p>
    <w:bookmarkEnd w:id="91"/>
    <w:bookmarkStart w:id="92" w:name="fnd-sh-010"/>
    <w:p>
      <w:pPr>
        <w:pStyle w:val="BodyText"/>
      </w:pPr>
      <w:r>
        <w:rPr>
          <w:b/>
          <w:bCs/>
        </w:rPr>
        <w:t xml:space="preserve">FND-SH-010:</w:t>
      </w:r>
      <w:r>
        <w:t xml:space="preserve"> </w:t>
      </w:r>
      <w:r>
        <w:t xml:space="preserve">The single-flight-cycle model does not capture multi-leg cumulative mass loss. The actual mass deficit after a multi-leg shipment exceeds the single-leg prediction.</w:t>
      </w:r>
    </w:p>
    <w:p>
      <w:pPr>
        <w:pStyle w:val="BodyText"/>
      </w:pPr>
      <w:r>
        <w:rPr>
          <w:i/>
          <w:iCs/>
        </w:rPr>
        <w:t xml:space="preserve">Disposition: acknowledged model limitation.</w:t>
      </w:r>
    </w:p>
    <w:bookmarkEnd w:id="92"/>
    <w:bookmarkStart w:id="93" w:name="fnd-sh-011"/>
    <w:p>
      <w:pPr>
        <w:pStyle w:val="BodyText"/>
      </w:pPr>
      <w:r>
        <w:rPr>
          <w:b/>
          <w:bCs/>
        </w:rPr>
        <w:t xml:space="preserve">FND-SH-011:</w:t>
      </w:r>
      <w:r>
        <w:t xml:space="preserve"> </w:t>
      </w:r>
      <w:r>
        <w:t xml:space="preserve">The foil bag is not structurally self-supporting; gravity and handling can mechanically displace bag volume through an unseated valve, enabling bidirectional gas exchange independent of pressure-driven venting.</w:t>
      </w:r>
    </w:p>
    <w:p>
      <w:pPr>
        <w:pStyle w:val="BodyText"/>
      </w:pPr>
      <w:r>
        <w:rPr>
          <w:i/>
          <w:iCs/>
        </w:rPr>
        <w:t xml:space="preserve">Disposition: physical observation; not captured in the quasi-static model.</w:t>
      </w:r>
    </w:p>
    <w:bookmarkEnd w:id="93"/>
    <w:bookmarkStart w:id="94" w:name="fnd-sh-012"/>
    <w:p>
      <w:pPr>
        <w:pStyle w:val="BodyText"/>
      </w:pPr>
      <w:r>
        <w:rPr>
          <w:b/>
          <w:bCs/>
        </w:rPr>
        <w:t xml:space="preserve">FND-SH-012:</w:t>
      </w:r>
      <w:r>
        <w:t xml:space="preserve"> </w:t>
      </w:r>
      <w:r>
        <w:t xml:space="preserve">The overpressure bound (</w:t>
      </w:r>
      <w:hyperlink w:anchor="eq-dp-bound">
        <w:r>
          <w:rPr>
            <w:rStyle w:val="Hyperlink"/>
          </w:rPr>
          <w:t xml:space="preserve">Eq. 4</w:t>
        </w:r>
      </w:hyperlink>
      <w:r>
        <w:t xml:space="preserve">) is a per-leg result that holds regardless of flight count; vent removal remains safe from an overpressure standpoint across multiple legs.</w:t>
      </w:r>
    </w:p>
    <w:p>
      <w:pPr>
        <w:pStyle w:val="BodyText"/>
      </w:pPr>
      <w:r>
        <w:rPr>
          <w:i/>
          <w:iCs/>
        </w:rPr>
        <w:t xml:space="preserve">Disposition: supported by current report (</w:t>
      </w:r>
      <w:hyperlink w:anchor="sec-upper-bound">
        <w:r>
          <w:rPr>
            <w:rStyle w:val="Hyperlink"/>
            <w:i/>
            <w:iCs/>
          </w:rPr>
          <w:t xml:space="preserve">Section 10</w:t>
        </w:r>
      </w:hyperlink>
      <w:r>
        <w:rPr>
          <w:i/>
          <w:iCs/>
        </w:rPr>
        <w:t xml:space="preserve">).</w:t>
      </w:r>
    </w:p>
    <w:bookmarkEnd w:id="94"/>
    <w:bookmarkStart w:id="95" w:name="fnd-sh-013"/>
    <w:p>
      <w:pPr>
        <w:pStyle w:val="BodyText"/>
      </w:pPr>
      <w:r>
        <w:rPr>
          <w:b/>
          <w:bCs/>
        </w:rPr>
        <w:t xml:space="preserve">FND-SH-013:</w:t>
      </w:r>
      <w:r>
        <w:t xml:space="preserve"> </w:t>
      </w:r>
      <w:r>
        <w:t xml:space="preserve">The optical module seals are positive-pressure energized but their leak rate under elevated gauge pressure (up to 0.5 bar / 7.25 psig) is uncharacterized. If the bag vent is removed, this becomes a potential competing mass-loss pathway.</w:t>
      </w:r>
    </w:p>
    <w:p>
      <w:pPr>
        <w:pStyle w:val="BodyText"/>
      </w:pPr>
      <w:r>
        <w:rPr>
          <w:i/>
          <w:iCs/>
        </w:rPr>
        <w:t xml:space="preserve">Disposition: data gap; requires leak-down test (</w:t>
      </w:r>
      <w:hyperlink w:anchor="sec-closure">
        <w:r>
          <w:rPr>
            <w:rStyle w:val="Hyperlink"/>
            <w:i/>
            <w:iCs/>
          </w:rPr>
          <w:t xml:space="preserve">Section 15</w:t>
        </w:r>
      </w:hyperlink>
      <w:r>
        <w:rPr>
          <w:i/>
          <w:iCs/>
        </w:rPr>
        <w:t xml:space="preserve">).</w:t>
      </w:r>
    </w:p>
    <w:bookmarkEnd w:id="95"/>
    <w:bookmarkStart w:id="96" w:name="fnd-sh-014"/>
    <w:p>
      <w:pPr>
        <w:pStyle w:val="BodyText"/>
      </w:pPr>
      <w:r>
        <w:rPr>
          <w:b/>
          <w:bCs/>
        </w:rPr>
        <w:t xml:space="preserve">FND-SH-014:</w:t>
      </w:r>
      <w:r>
        <w:t xml:space="preserve"> </w:t>
      </w:r>
      <w:r>
        <w:t xml:space="preserve">Alternative check valves do not address multi-leg ratcheting (</w:t>
      </w:r>
      <w:r>
        <w:rPr>
          <w:b/>
          <w:bCs/>
        </w:rPr>
        <w:t xml:space="preserve">FND-SH-009</w:t>
      </w:r>
      <w:r>
        <w:t xml:space="preserve">) or handling-driven breathing (</w:t>
      </w:r>
      <w:r>
        <w:rPr>
          <w:b/>
          <w:bCs/>
        </w:rPr>
        <w:t xml:space="preserve">FND-SH-011</w:t>
      </w:r>
      <w:r>
        <w:t xml:space="preserve">); any outward-only valve retains the irreversible mass-loss pathway of</w:t>
      </w:r>
      <w:r>
        <w:t xml:space="preserve"> </w:t>
      </w:r>
      <w:r>
        <w:rPr>
          <w:b/>
          <w:bCs/>
        </w:rPr>
        <w:t xml:space="preserve">FND-SH-001</w:t>
      </w:r>
      <w:r>
        <w:t xml:space="preserve">.</w:t>
      </w:r>
    </w:p>
    <w:p>
      <w:pPr>
        <w:pStyle w:val="BodyText"/>
      </w:pPr>
      <w:r>
        <w:rPr>
          <w:i/>
          <w:iCs/>
        </w:rPr>
        <w:t xml:space="preserve">Disposition: derived finding; supports vent-removal recommendation (</w:t>
      </w:r>
      <w:hyperlink w:anchor="sec-decision-status">
        <w:r>
          <w:rPr>
            <w:rStyle w:val="Hyperlink"/>
            <w:i/>
            <w:iCs/>
          </w:rPr>
          <w:t xml:space="preserve">Section 16</w:t>
        </w:r>
      </w:hyperlink>
      <w:r>
        <w:rPr>
          <w:i/>
          <w:iCs/>
        </w:rPr>
        <w:t xml:space="preserve">).</w:t>
      </w:r>
    </w:p>
    <w:bookmarkEnd w:id="96"/>
    <w:bookmarkEnd w:id="97"/>
    <w:bookmarkStart w:id="98" w:name="sec-critical-unknowns"/>
    <w:p>
      <w:pPr>
        <w:pStyle w:val="Heading1"/>
      </w:pPr>
      <w:r>
        <w:t xml:space="preserve">14. Critical Unknowns</w:t>
      </w:r>
    </w:p>
    <w:p>
      <w:pPr>
        <w:pStyle w:val="FirstParagraph"/>
      </w:pPr>
      <w:r>
        <w:t xml:space="preserve">The rigid connected nitrogen volume</w:t>
      </w:r>
      <w:r>
        <w:t xml:space="preserve"> </w:t>
      </w:r>
      <m:oMath>
        <m:sSub>
          <m:e>
            <m:r>
              <m:t>V</m:t>
            </m:r>
          </m:e>
          <m:sub>
            <m:r>
              <m:t>f</m:t>
            </m:r>
            <m:r>
              <m:t>i</m:t>
            </m:r>
            <m:r>
              <m:t>x</m:t>
            </m:r>
            <m:r>
              <m:t>e</m:t>
            </m:r>
            <m:r>
              <m:t>d</m:t>
            </m:r>
          </m:sub>
        </m:sSub>
      </m:oMath>
      <w:r>
        <w:t xml:space="preserve"> </w:t>
      </w:r>
      <w:r>
        <w:t xml:space="preserve">is conservatively estimated at approximately 35 L. At that volume the system sits between the no-vent threshold (15.28 L) and the nonnegative-return threshold (52.55 L) for ideal outward venting, and well below the 109.19 L threshold for the as-built 2 psig vent (</w:t>
      </w:r>
      <w:hyperlink w:anchor="tbl-thresholds">
        <w:r>
          <w:rPr>
            <w:rStyle w:val="Hyperlink"/>
          </w:rPr>
          <w:t xml:space="preserve">Table 4</w:t>
        </w:r>
      </w:hyperlink>
      <w:r>
        <w:t xml:space="preserve">).</w:t>
      </w:r>
    </w:p>
    <w:p>
      <w:pPr>
        <w:pStyle w:val="BodyText"/>
      </w:pPr>
      <w:r>
        <w:rPr>
          <w:b/>
          <w:bCs/>
        </w:rPr>
        <w:t xml:space="preserve">Why a traceable measurement still matters:</w:t>
      </w:r>
      <w:r>
        <w:t xml:space="preserve"> </w:t>
      </w:r>
      <w:r>
        <w:t xml:space="preserve">The 35 L estimate is conservative but informal. A formal disposition of the as-built vented configuration against</w:t>
      </w:r>
      <w:r>
        <w:t xml:space="preserve"> </w:t>
      </w:r>
      <w:hyperlink w:anchor="eq-no-vent">
        <w:r>
          <w:rPr>
            <w:rStyle w:val="Hyperlink"/>
          </w:rPr>
          <w:t xml:space="preserve">Eq. 1</w:t>
        </w:r>
      </w:hyperlink>
      <w:r>
        <w:t xml:space="preserve"> </w:t>
      </w:r>
      <w:r>
        <w:t xml:space="preserve">and</w:t>
      </w:r>
      <w:r>
        <w:t xml:space="preserve"> </w:t>
      </w:r>
      <w:hyperlink w:anchor="eq-return-threshold">
        <w:r>
          <w:rPr>
            <w:rStyle w:val="Hyperlink"/>
          </w:rPr>
          <w:t xml:space="preserve">Eq. 2</w:t>
        </w:r>
      </w:hyperlink>
      <w:r>
        <w:t xml:space="preserve"> </w:t>
      </w:r>
      <w:r>
        <w:t xml:space="preserve">requires a traceable value recorded against the same manifold boundary used in this analysis.</w:t>
      </w:r>
    </w:p>
    <w:p>
      <w:pPr>
        <w:pStyle w:val="BodyText"/>
      </w:pPr>
      <w:r>
        <w:rPr>
          <w:b/>
          <w:bCs/>
        </w:rPr>
        <w:t xml:space="preserve">What closes it:</w:t>
      </w:r>
      <w:r>
        <w:t xml:space="preserve"> </w:t>
      </w:r>
      <w:r>
        <w:t xml:space="preserve">A direct volume measurement (CAD roll-up, gas-fill/water displacement, or equivalent traceable method).</w:t>
      </w:r>
    </w:p>
    <w:bookmarkEnd w:id="98"/>
    <w:bookmarkStart w:id="101" w:name="sec-closure"/>
    <w:p>
      <w:pPr>
        <w:pStyle w:val="Heading1"/>
      </w:pPr>
      <w:r>
        <w:t xml:space="preserve">15. Remaining Data To Close The Argument</w:t>
      </w:r>
    </w:p>
    <w:tbl>
      <w:tblPr>
        <w:tblStyle w:val="Table"/>
        <w:tblW w:type="pct" w:w="5000"/>
        <w:tblLayout w:type="fixed"/>
        <w:tblLook w:firstRow="1" w:lastRow="0" w:firstColumn="0" w:lastColumn="0" w:noHBand="0" w:noVBand="0" w:val="0020"/>
      </w:tblPr>
      <w:tblGrid>
        <w:gridCol w:w="1284"/>
        <w:gridCol w:w="1498"/>
        <w:gridCol w:w="3424"/>
        <w:gridCol w:w="1712"/>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What it proves</w:t>
            </w:r>
          </w:p>
        </w:tc>
        <w:tc>
          <w:tcPr/>
          <w:p>
            <w:pPr>
              <w:pStyle w:val="Compact"/>
              <w:jc w:val="left"/>
            </w:pPr>
            <w:r>
              <w:t xml:space="preserve">Status</w:t>
            </w:r>
          </w:p>
        </w:tc>
      </w:tr>
      <w:tr>
        <w:tc>
          <w:tcPr/>
          <w:p>
            <w:pPr>
              <w:pStyle w:val="Compact"/>
              <w:jc w:val="left"/>
            </w:pPr>
            <w:r>
              <w:t xml:space="preserve">Measure</w:t>
            </w:r>
            <w:r>
              <w:t xml:space="preserve"> </w:t>
            </w:r>
            <m:oMath>
              <m:sSub>
                <m:e>
                  <m:r>
                    <m:t>V</m:t>
                  </m:r>
                </m:e>
                <m:sub>
                  <m:r>
                    <m:t>f</m:t>
                  </m:r>
                  <m:r>
                    <m:t>i</m:t>
                  </m:r>
                  <m:r>
                    <m:t>x</m:t>
                  </m:r>
                  <m:r>
                    <m:t>e</m:t>
                  </m:r>
                  <m:r>
                    <m:t>d</m:t>
                  </m:r>
                </m:sub>
              </m:sSub>
            </m:oMath>
          </w:p>
        </w:tc>
        <w:tc>
          <w:tcPr/>
          <w:p>
            <w:pPr>
              <w:pStyle w:val="Compact"/>
              <w:jc w:val="left"/>
            </w:pPr>
            <w:r>
              <w:t xml:space="preserve">TBD</w:t>
            </w:r>
          </w:p>
        </w:tc>
        <w:tc>
          <w:tcPr/>
          <w:p>
            <w:pPr>
              <w:pStyle w:val="Compact"/>
              <w:jc w:val="left"/>
            </w:pPr>
            <w:r>
              <w:t xml:space="preserve">Confirms or refines the conservative 35 L estimate; places the as-built hardware on the screening map against</w:t>
            </w:r>
            <w:r>
              <w:t xml:space="preserve"> </w:t>
            </w:r>
            <w:hyperlink w:anchor="eq-no-vent">
              <w:r>
                <w:rPr>
                  <w:rStyle w:val="Hyperlink"/>
                </w:rPr>
                <w:t xml:space="preserve">Eq. 1</w:t>
              </w:r>
            </w:hyperlink>
            <w:r>
              <w:t xml:space="preserve"> </w:t>
            </w:r>
            <w:r>
              <w:t xml:space="preserve">and</w:t>
            </w:r>
            <w:r>
              <w:t xml:space="preserve"> </w:t>
            </w:r>
            <w:hyperlink w:anchor="eq-return-threshold">
              <w:r>
                <w:rPr>
                  <w:rStyle w:val="Hyperlink"/>
                </w:rPr>
                <w:t xml:space="preserve">Eq. 2</w:t>
              </w:r>
            </w:hyperlink>
            <w:r>
              <w:t xml:space="preserve">.</w:t>
            </w:r>
          </w:p>
        </w:tc>
        <w:tc>
          <w:tcPr/>
          <w:p>
            <w:pPr>
              <w:pStyle w:val="Compact"/>
              <w:jc w:val="left"/>
            </w:pPr>
            <w:r>
              <w:t xml:space="preserve">Conservative estimate available (35 L); traceable measurement pending</w:t>
            </w:r>
          </w:p>
        </w:tc>
      </w:tr>
      <w:tr>
        <w:tc>
          <w:tcPr/>
          <w:p>
            <w:pPr>
              <w:pStyle w:val="Compact"/>
              <w:jc w:val="left"/>
            </w:pPr>
            <w:r>
              <w:t xml:space="preserve">Verify bag integrity if vent removal is pursued</w:t>
            </w:r>
          </w:p>
        </w:tc>
        <w:tc>
          <w:tcPr/>
          <w:p>
            <w:pPr>
              <w:pStyle w:val="Compact"/>
              <w:jc w:val="left"/>
            </w:pPr>
            <w:r>
              <w:t xml:space="preserve">TBD</w:t>
            </w:r>
          </w:p>
        </w:tc>
        <w:tc>
          <w:tcPr/>
          <w:p>
            <w:pPr>
              <w:pStyle w:val="Compact"/>
              <w:jc w:val="left"/>
            </w:pPr>
            <w:r>
              <w:t xml:space="preserve">Confirms that eliminating the vent path does not leave a slow leak through the bag or port that reintroduces inventory loss.</w:t>
            </w:r>
          </w:p>
        </w:tc>
        <w:tc>
          <w:tcPr/>
          <w:p>
            <w:pPr>
              <w:pStyle w:val="Compact"/>
              <w:jc w:val="left"/>
            </w:pPr>
            <w:r>
              <w:t xml:space="preserve">Not started</w:t>
            </w:r>
          </w:p>
        </w:tc>
      </w:tr>
      <w:tr>
        <w:tc>
          <w:tcPr/>
          <w:p>
            <w:pPr>
              <w:pStyle w:val="Compact"/>
              <w:jc w:val="left"/>
            </w:pPr>
            <w:r>
              <w:t xml:space="preserve">Verify relief calibration</w:t>
            </w:r>
            <w:r>
              <w:t xml:space="preserve"> </w:t>
            </w:r>
            <m:oMath>
              <m:r>
                <m:rPr>
                  <m:sty m:val="p"/>
                </m:rPr>
                <m:t>≥</m:t>
              </m:r>
            </m:oMath>
            <w:r>
              <w:t xml:space="preserve"> </w:t>
            </w:r>
            <w:r>
              <w:t xml:space="preserve">0.5 bar gauge</w:t>
            </w:r>
          </w:p>
        </w:tc>
        <w:tc>
          <w:tcPr/>
          <w:p>
            <w:pPr>
              <w:pStyle w:val="Compact"/>
              <w:jc w:val="left"/>
            </w:pPr>
            <w:r>
              <w:t xml:space="preserve">TBD</w:t>
            </w:r>
          </w:p>
        </w:tc>
        <w:tc>
          <w:tcPr/>
          <w:p>
            <w:pPr>
              <w:pStyle w:val="Compact"/>
              <w:jc w:val="left"/>
            </w:pPr>
            <w:r>
              <w:t xml:space="preserve">Confirms the validity condition used in the overpressure bound (</w:t>
            </w:r>
            <w:hyperlink w:anchor="sec-validity-conditions">
              <w:r>
                <w:rPr>
                  <w:rStyle w:val="Hyperlink"/>
                </w:rPr>
                <w:t xml:space="preserve">Section 10.4</w:t>
              </w:r>
            </w:hyperlink>
            <w:r>
              <w:t xml:space="preserve">).</w:t>
            </w:r>
          </w:p>
        </w:tc>
        <w:tc>
          <w:tcPr/>
          <w:p>
            <w:pPr>
              <w:pStyle w:val="Compact"/>
              <w:jc w:val="left"/>
            </w:pPr>
            <w:r>
              <w:t xml:space="preserve">Not started</w:t>
            </w:r>
          </w:p>
        </w:tc>
      </w:tr>
      <w:tr>
        <w:tc>
          <w:tcPr/>
          <w:p>
            <w:pPr>
              <w:pStyle w:val="Compact"/>
              <w:jc w:val="left"/>
            </w:pPr>
            <w:r>
              <w:t xml:space="preserve">Characterize actual outward vent threshold (vs ideal vent)</w:t>
            </w:r>
          </w:p>
        </w:tc>
        <w:tc>
          <w:tcPr/>
          <w:p>
            <w:pPr>
              <w:pStyle w:val="Compact"/>
              <w:jc w:val="left"/>
            </w:pPr>
            <w:r>
              <w:t xml:space="preserve">TBD</w:t>
            </w:r>
          </w:p>
        </w:tc>
        <w:tc>
          <w:tcPr/>
          <w:p>
            <w:pPr>
              <w:pStyle w:val="Compact"/>
              <w:jc w:val="left"/>
            </w:pPr>
            <w:r>
              <w:t xml:space="preserve">The as-built valve (Swagelok 6L-CW4VR4-P) specifies 2 psig cracking pressure (</w:t>
            </w:r>
            <w:hyperlink w:anchor="tbl-vent-valve">
              <w:r>
                <w:rPr>
                  <w:rStyle w:val="Hyperlink"/>
                </w:rPr>
                <w:t xml:space="preserve">Table 1</w:t>
              </w:r>
            </w:hyperlink>
            <w:r>
              <w:t xml:space="preserve">); disposition should use this value rather than ideal vent.</w:t>
            </w:r>
          </w:p>
        </w:tc>
        <w:tc>
          <w:tcPr/>
          <w:p>
            <w:pPr>
              <w:pStyle w:val="Compact"/>
              <w:jc w:val="left"/>
            </w:pPr>
            <w:r>
              <w:t xml:space="preserve">Vendor specification available; functional verification pending</w:t>
            </w:r>
          </w:p>
        </w:tc>
      </w:tr>
      <w:tr>
        <w:tc>
          <w:tcPr/>
          <w:p>
            <w:pPr>
              <w:pStyle w:val="Compact"/>
              <w:jc w:val="left"/>
            </w:pPr>
            <w:r>
              <w:t xml:space="preserve">Verify effective cargo-hold pressure / altitude</w:t>
            </w:r>
          </w:p>
        </w:tc>
        <w:tc>
          <w:tcPr/>
          <w:p>
            <w:pPr>
              <w:pStyle w:val="Compact"/>
              <w:jc w:val="left"/>
            </w:pPr>
            <w:r>
              <w:t xml:space="preserve">TBD</w:t>
            </w:r>
          </w:p>
        </w:tc>
        <w:tc>
          <w:tcPr/>
          <w:p>
            <w:pPr>
              <w:pStyle w:val="Compact"/>
              <w:jc w:val="left"/>
            </w:pPr>
            <w:r>
              <w:t xml:space="preserve">Confirms the 8000 ft cabin-altitude envelope used in screening and cruise-bound tables.</w:t>
            </w:r>
          </w:p>
        </w:tc>
        <w:tc>
          <w:tcPr/>
          <w:p>
            <w:pPr>
              <w:pStyle w:val="Compact"/>
              <w:jc w:val="left"/>
            </w:pPr>
            <w:r>
              <w:t xml:space="preserve">Not started</w:t>
            </w:r>
          </w:p>
        </w:tc>
      </w:tr>
      <w:tr>
        <w:tc>
          <w:tcPr/>
          <w:p>
            <w:pPr>
              <w:pStyle w:val="Compact"/>
              <w:jc w:val="left"/>
            </w:pPr>
            <w:r>
              <w:t xml:space="preserve">Full-assembly leak-down test at 5–6 psig gauge</w:t>
            </w:r>
          </w:p>
        </w:tc>
        <w:tc>
          <w:tcPr/>
          <w:p>
            <w:pPr>
              <w:pStyle w:val="Compact"/>
              <w:jc w:val="left"/>
            </w:pPr>
            <w:r>
              <w:t xml:space="preserve">TBD</w:t>
            </w:r>
          </w:p>
        </w:tc>
        <w:tc>
          <w:tcPr/>
          <w:p>
            <w:pPr>
              <w:pStyle w:val="Compact"/>
              <w:jc w:val="left"/>
            </w:pPr>
            <w:r>
              <w:t xml:space="preserve">Characterizes seal leak rate under the gauge pressure that would exist if the bag valve is removed and PED relief carries overpressure. Determines whether seal weepage is a competing mass-loss pathway (</w:t>
            </w:r>
            <w:r>
              <w:rPr>
                <w:b/>
                <w:bCs/>
              </w:rPr>
              <w:t xml:space="preserve">FND-SH-013</w:t>
            </w:r>
            <w:r>
              <w:t xml:space="preserve">).</w:t>
            </w:r>
          </w:p>
        </w:tc>
        <w:tc>
          <w:tcPr/>
          <w:p>
            <w:pPr>
              <w:pStyle w:val="Compact"/>
              <w:jc w:val="left"/>
            </w:pPr>
            <w:r>
              <w:t xml:space="preserve">Not started</w:t>
            </w:r>
          </w:p>
        </w:tc>
      </w:tr>
      <w:tr>
        <w:tc>
          <w:tcPr/>
          <w:p>
            <w:pPr>
              <w:pStyle w:val="Compact"/>
              <w:jc w:val="left"/>
            </w:pPr>
            <w:r>
              <w:t xml:space="preserve">Obtain valve reseat specification document</w:t>
            </w:r>
          </w:p>
        </w:tc>
        <w:tc>
          <w:tcPr/>
          <w:p>
            <w:pPr>
              <w:pStyle w:val="Compact"/>
              <w:jc w:val="left"/>
            </w:pPr>
            <w:r>
              <w:t xml:space="preserve">Mike</w:t>
            </w:r>
          </w:p>
        </w:tc>
        <w:tc>
          <w:tcPr/>
          <w:p>
            <w:pPr>
              <w:pStyle w:val="Compact"/>
              <w:jc w:val="left"/>
            </w:pPr>
            <w:r>
              <w:t xml:space="preserve">Provides traceable citation for</w:t>
            </w:r>
            <w:r>
              <w:t xml:space="preserve"> </w:t>
            </w:r>
            <w:r>
              <w:rPr>
                <w:b/>
                <w:bCs/>
              </w:rPr>
              <w:t xml:space="preserve">FND-SH-006</w:t>
            </w:r>
            <w:r>
              <w:t xml:space="preserve"> </w:t>
            </w:r>
            <w:r>
              <w:t xml:space="preserve">(2 psig reverse differential to fully seat).</w:t>
            </w:r>
          </w:p>
        </w:tc>
        <w:tc>
          <w:tcPr/>
          <w:p>
            <w:pPr>
              <w:pStyle w:val="Compact"/>
              <w:jc w:val="left"/>
            </w:pPr>
            <w:r>
              <w:t xml:space="preserve">Document available; citation pending</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C:\Program Files\Quarto\share\formats\docx\important.png" id="100"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interpret the rigid volume</w:t>
            </w:r>
          </w:p>
        </w:tc>
      </w:tr>
      <w:tr>
        <w:trPr>
          <w:cantSplit/>
        </w:trPr>
        <w:tc>
          <w:tcPr>
            <w:tcMar>
              <w:top w:w="108" w:type="dxa"/>
              <w:bottom w:w="108" w:type="dxa"/>
            </w:tcMar>
          </w:tcPr>
          <w:p>
            <w:pPr>
              <w:pStyle w:val="BodyText"/>
            </w:pPr>
            <w:pPr>
              <w:spacing w:before="16"/>
            </w:pPr>
            <w:r>
              <w:t xml:space="preserve">The conservative estimate of</w:t>
            </w:r>
            <w:r>
              <w:t xml:space="preserve"> </w:t>
            </w:r>
            <m:oMath>
              <m:sSub>
                <m:e>
                  <m:r>
                    <m:t>V</m:t>
                  </m:r>
                </m:e>
                <m:sub>
                  <m:r>
                    <m:t>f</m:t>
                  </m:r>
                  <m:r>
                    <m:t>i</m:t>
                  </m:r>
                  <m:r>
                    <m:t>x</m:t>
                  </m:r>
                  <m:r>
                    <m:t>e</m:t>
                  </m:r>
                  <m:r>
                    <m:t>d</m:t>
                  </m:r>
                </m:sub>
              </m:sSub>
              <m:r>
                <m:rPr>
                  <m:sty m:val="p"/>
                </m:rPr>
                <m:t>≈</m:t>
              </m:r>
              <m:r>
                <m:t>35</m:t>
              </m:r>
              <m:r>
                <m:t> </m:t>
              </m:r>
              <m:r>
                <m:rPr>
                  <m:nor/>
                  <m:sty m:val="p"/>
                </m:rPr>
                <m:t>L</m:t>
              </m:r>
            </m:oMath>
            <w:r>
              <w:t xml:space="preserve"> </w:t>
            </w:r>
            <w:r>
              <w:t xml:space="preserve">places the system in the second band below:</w:t>
            </w:r>
          </w:p>
          <w:p>
            <w:pPr>
              <w:pStyle w:val="Compact"/>
              <w:numPr>
                <w:ilvl w:val="0"/>
                <w:numId w:val="1009"/>
              </w:numPr>
            </w:pPr>
            <w:r>
              <w:t xml:space="preserve">If</w:t>
            </w:r>
            <w:r>
              <w:t xml:space="preserve"> </w:t>
            </w:r>
            <m:oMath>
              <m:sSub>
                <m:e>
                  <m:r>
                    <m:t>V</m:t>
                  </m:r>
                </m:e>
                <m:sub>
                  <m:r>
                    <m:t>f</m:t>
                  </m:r>
                  <m:r>
                    <m:t>i</m:t>
                  </m:r>
                  <m:r>
                    <m:t>x</m:t>
                  </m:r>
                  <m:r>
                    <m:t>e</m:t>
                  </m:r>
                  <m:r>
                    <m:t>d</m:t>
                  </m:r>
                </m:sub>
              </m:sSub>
              <m:r>
                <m:rPr>
                  <m:sty m:val="p"/>
                </m:rPr>
                <m:t>≤</m:t>
              </m:r>
              <m:r>
                <m:t>15.28</m:t>
              </m:r>
            </m:oMath>
            <w:r>
              <w:t xml:space="preserve"> </w:t>
            </w:r>
            <w:r>
              <w:t xml:space="preserve">L, the present concept avoids venting under the ideal-vent screening case.</w:t>
            </w:r>
          </w:p>
          <w:p>
            <w:pPr>
              <w:pStyle w:val="Compact"/>
              <w:numPr>
                <w:ilvl w:val="0"/>
                <w:numId w:val="1009"/>
              </w:numPr>
            </w:pPr>
            <w:r>
              <w:rPr>
                <w:b/>
                <w:bCs/>
              </w:rPr>
              <w:t xml:space="preserve">If</w:t>
            </w:r>
            <w:r>
              <w:rPr>
                <w:b/>
                <w:bCs/>
              </w:rPr>
              <w:t xml:space="preserve"> </w:t>
            </w:r>
            <m:oMath>
              <m:r>
                <m:t>15.28</m:t>
              </m:r>
              <m:r>
                <m:rPr>
                  <m:sty m:val="p"/>
                </m:rPr>
                <m:t>&lt;</m:t>
              </m:r>
              <m:sSub>
                <m:e>
                  <m:r>
                    <m:t>V</m:t>
                  </m:r>
                </m:e>
                <m:sub>
                  <m:r>
                    <m:t>f</m:t>
                  </m:r>
                  <m:r>
                    <m:t>i</m:t>
                  </m:r>
                  <m:r>
                    <m:t>x</m:t>
                  </m:r>
                  <m:r>
                    <m:t>e</m:t>
                  </m:r>
                  <m:r>
                    <m:t>d</m:t>
                  </m:r>
                </m:sub>
              </m:sSub>
              <m:r>
                <m:rPr>
                  <m:sty m:val="p"/>
                </m:rPr>
                <m:t>≤</m:t>
              </m:r>
              <m:r>
                <m:t>52.55</m:t>
              </m:r>
            </m:oMath>
            <w:r>
              <w:rPr>
                <w:b/>
                <w:bCs/>
              </w:rPr>
              <w:t xml:space="preserve"> </w:t>
            </w:r>
            <w:r>
              <w:rPr>
                <w:b/>
                <w:bCs/>
              </w:rPr>
              <w:t xml:space="preserve">L</w:t>
            </w:r>
            <w:r>
              <w:t xml:space="preserve"> </w:t>
            </w:r>
            <w:r>
              <w:t xml:space="preserve">(current estimate: 35 L), the present concept vents on the outbound leg but still returns nonnegative under ideal venting. Margin is limited; the 30 L ideal-vent case in</w:t>
            </w:r>
            <w:r>
              <w:t xml:space="preserve"> </w:t>
            </w:r>
            <w:hyperlink w:anchor="tbl-cases">
              <w:r>
                <w:rPr>
                  <w:rStyle w:val="Hyperlink"/>
                </w:rPr>
                <w:t xml:space="preserve">Table 5</w:t>
              </w:r>
            </w:hyperlink>
            <w:r>
              <w:t xml:space="preserve"> </w:t>
            </w:r>
            <w:r>
              <w:t xml:space="preserve">returns with zero margin.</w:t>
            </w:r>
          </w:p>
          <w:p>
            <w:pPr>
              <w:pStyle w:val="Compact"/>
              <w:numPr>
                <w:ilvl w:val="0"/>
                <w:numId w:val="1009"/>
              </w:numPr>
            </w:pPr>
            <w:r>
              <w:t xml:space="preserve">If</w:t>
            </w:r>
            <w:r>
              <w:t xml:space="preserve"> </w:t>
            </w:r>
            <m:oMath>
              <m:sSub>
                <m:e>
                  <m:r>
                    <m:t>V</m:t>
                  </m:r>
                </m:e>
                <m:sub>
                  <m:r>
                    <m:t>f</m:t>
                  </m:r>
                  <m:r>
                    <m:t>i</m:t>
                  </m:r>
                  <m:r>
                    <m:t>x</m:t>
                  </m:r>
                  <m:r>
                    <m:t>e</m:t>
                  </m:r>
                  <m:r>
                    <m:t>d</m:t>
                  </m:r>
                </m:sub>
              </m:sSub>
              <m:r>
                <m:rPr>
                  <m:sty m:val="p"/>
                </m:rPr>
                <m:t>&gt;</m:t>
              </m:r>
              <m:r>
                <m:t>52.55</m:t>
              </m:r>
            </m:oMath>
            <w:r>
              <w:t xml:space="preserve"> </w:t>
            </w:r>
            <w:r>
              <w:t xml:space="preserve">L, ideal outward venting produces sub-atmospheric return conditions.</w:t>
            </w:r>
          </w:p>
          <w:p>
            <w:pPr>
              <w:pStyle w:val="Compact"/>
              <w:numPr>
                <w:ilvl w:val="0"/>
                <w:numId w:val="1009"/>
              </w:numPr>
            </w:pPr>
            <w:r>
              <w:t xml:space="preserve">With the as-built 2 psig Swagelok valve (</w:t>
            </w:r>
            <w:hyperlink w:anchor="tbl-vent-valve">
              <w:r>
                <w:rPr>
                  <w:rStyle w:val="Hyperlink"/>
                </w:rPr>
                <w:t xml:space="preserve">Table 1</w:t>
              </w:r>
            </w:hyperlink>
            <w:r>
              <w:t xml:space="preserve">), the nonnegative-return threshold shifts to 109.19 L (</w:t>
            </w:r>
            <w:hyperlink w:anchor="tbl-thresholds">
              <w:r>
                <w:rPr>
                  <w:rStyle w:val="Hyperlink"/>
                </w:rPr>
                <w:t xml:space="preserve">Table 4</w:t>
              </w:r>
            </w:hyperlink>
            <w:r>
              <w:t xml:space="preserve">), providing substantial margin at 35 L.</w:t>
            </w:r>
          </w:p>
          <w:p/>
        </w:tc>
      </w:tr>
    </w:tbl>
    <w:bookmarkEnd w:id="101"/>
    <w:bookmarkStart w:id="102" w:name="sec-decision-status"/>
    <w:p>
      <w:pPr>
        <w:pStyle w:val="Heading1"/>
      </w:pPr>
      <w:r>
        <w:t xml:space="preserve">16. Decision Status</w:t>
      </w:r>
    </w:p>
    <w:p>
      <w:pPr>
        <w:pStyle w:val="FirstParagraph"/>
      </w:pPr>
      <w:r>
        <w:rPr>
          <w:b/>
          <w:bCs/>
        </w:rPr>
        <w:t xml:space="preserve">Decision status: proposed design recommendation.</w:t>
      </w:r>
    </w:p>
    <w:p>
      <w:pPr>
        <w:pStyle w:val="BodyText"/>
      </w:pPr>
      <w:r>
        <w:t xml:space="preserve">This report is not limited to mechanism description alone. Based on</w:t>
      </w:r>
      <w:r>
        <w:t xml:space="preserve"> </w:t>
      </w:r>
      <w:r>
        <w:rPr>
          <w:b/>
          <w:bCs/>
        </w:rPr>
        <w:t xml:space="preserve">FND-SH-004</w:t>
      </w:r>
      <w:r>
        <w:t xml:space="preserve"> </w:t>
      </w:r>
      <w:r>
        <w:t xml:space="preserve">and</w:t>
      </w:r>
      <w:r>
        <w:t xml:space="preserve"> </w:t>
      </w:r>
      <w:r>
        <w:rPr>
          <w:b/>
          <w:bCs/>
        </w:rPr>
        <w:t xml:space="preserve">FND-SH-005</w:t>
      </w:r>
      <w:r>
        <w:t xml:space="preserve">, and on the parametric evidence in</w:t>
      </w:r>
      <w:r>
        <w:t xml:space="preserve"> </w:t>
      </w:r>
      <w:hyperlink w:anchor="fig-failure-boundary">
        <w:r>
          <w:rPr>
            <w:rStyle w:val="Hyperlink"/>
          </w:rPr>
          <w:t xml:space="preserve">Figure 5</w:t>
        </w:r>
      </w:hyperlink>
      <w:r>
        <w:t xml:space="preserve"> </w:t>
      </w:r>
      <w:r>
        <w:t xml:space="preserve">and</w:t>
      </w:r>
      <w:r>
        <w:t xml:space="preserve"> </w:t>
      </w:r>
      <w:hyperlink w:anchor="tbl-max-safe-volume">
        <w:r>
          <w:rPr>
            <w:rStyle w:val="Hyperlink"/>
          </w:rPr>
          <w:t xml:space="preserve">Table 10</w:t>
        </w:r>
      </w:hyperlink>
      <w:r>
        <w:t xml:space="preserve">, the recommended path forward for contamination control is</w:t>
      </w:r>
      <w:r>
        <w:t xml:space="preserve"> </w:t>
      </w:r>
      <w:r>
        <w:rPr>
          <w:b/>
          <w:bCs/>
        </w:rPr>
        <w:t xml:space="preserve">removal or permanent sealing of the bag vent</w:t>
      </w:r>
      <w:r>
        <w:t xml:space="preserve">, with outbound structural margin carried by the existing 0.5 bar circuit relief,</w:t>
      </w:r>
      <w:r>
        <w:t xml:space="preserve"> </w:t>
      </w:r>
      <w:r>
        <w:rPr>
          <w:b/>
          <w:bCs/>
        </w:rPr>
        <w:t xml:space="preserve">subject to</w:t>
      </w:r>
      <w:r>
        <w:t xml:space="preserve"> </w:t>
      </w:r>
      <w:r>
        <w:t xml:space="preserve">closure of the items in</w:t>
      </w:r>
      <w:r>
        <w:t xml:space="preserve"> </w:t>
      </w:r>
      <w:hyperlink w:anchor="sec-closure">
        <w:r>
          <w:rPr>
            <w:rStyle w:val="Hyperlink"/>
          </w:rPr>
          <w:t xml:space="preserve">Section 15</w:t>
        </w:r>
      </w:hyperlink>
      <w:r>
        <w:t xml:space="preserve"> </w:t>
      </w:r>
      <w:r>
        <w:t xml:space="preserve">(especially</w:t>
      </w:r>
      <w:r>
        <w:t xml:space="preserve"> </w:t>
      </w:r>
      <m:oMath>
        <m:sSub>
          <m:e>
            <m:r>
              <m:t>V</m:t>
            </m:r>
          </m:e>
          <m:sub>
            <m:r>
              <m:t>f</m:t>
            </m:r>
            <m:r>
              <m:t>i</m:t>
            </m:r>
            <m:r>
              <m:t>x</m:t>
            </m:r>
            <m:r>
              <m:t>e</m:t>
            </m:r>
            <m:r>
              <m:t>d</m:t>
            </m:r>
          </m:sub>
        </m:sSub>
      </m:oMath>
      <w:r>
        <w:t xml:space="preserve">, bag integrity if the vent is removed, and relief calibration).</w:t>
      </w:r>
    </w:p>
    <w:p>
      <w:pPr>
        <w:pStyle w:val="BodyText"/>
      </w:pPr>
      <w:r>
        <w:t xml:space="preserve">The conservative estimate of</w:t>
      </w:r>
      <w:r>
        <w:t xml:space="preserve"> </w:t>
      </w:r>
      <m:oMath>
        <m:sSub>
          <m:e>
            <m:r>
              <m:t>V</m:t>
            </m:r>
          </m:e>
          <m:sub>
            <m:r>
              <m:t>f</m:t>
            </m:r>
            <m:r>
              <m:t>i</m:t>
            </m:r>
            <m:r>
              <m:t>x</m:t>
            </m:r>
            <m:r>
              <m:t>e</m:t>
            </m:r>
            <m:r>
              <m:t>d</m:t>
            </m:r>
          </m:sub>
        </m:sSub>
        <m:r>
          <m:rPr>
            <m:sty m:val="p"/>
          </m:rPr>
          <m:t>≈</m:t>
        </m:r>
        <m:r>
          <m:t>35</m:t>
        </m:r>
        <m:r>
          <m:t> </m:t>
        </m:r>
        <m:r>
          <m:rPr>
            <m:nor/>
            <m:sty m:val="p"/>
          </m:rPr>
          <m:t>L</m:t>
        </m:r>
      </m:oMath>
      <w:r>
        <w:t xml:space="preserve"> </w:t>
      </w:r>
      <w:r>
        <w:t xml:space="preserve">is consistent with both the vent-removal recommendation (safe at any volume under PED relief) and the legacy vented disposition (below the 109.19 L threshold for the as-built 2 psig valve). Traceable measurement remains required for formal closure but does not alter the recommendation direction.</w:t>
      </w:r>
    </w:p>
    <w:bookmarkEnd w:id="102"/>
    <w:bookmarkStart w:id="103" w:name="sec-evidence-sources"/>
    <w:p>
      <w:pPr>
        <w:pStyle w:val="Heading1"/>
      </w:pPr>
      <w:r>
        <w:t xml:space="preserve">17. Evidence Sources</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jc w:val="left"/>
            </w:pPr>
            <w:r>
              <w:t xml:space="preserve">Evidence type</w:t>
            </w:r>
          </w:p>
        </w:tc>
        <w:tc>
          <w:tcPr/>
          <w:p>
            <w:pPr>
              <w:pStyle w:val="Compact"/>
              <w:jc w:val="left"/>
            </w:pPr>
            <w:r>
              <w:t xml:space="preserve">Where used in this report</w:t>
            </w:r>
          </w:p>
        </w:tc>
      </w:tr>
      <w:tr>
        <w:tc>
          <w:tcPr/>
          <w:p>
            <w:pPr>
              <w:pStyle w:val="Compact"/>
              <w:jc w:val="left"/>
            </w:pPr>
            <w:r>
              <w:t xml:space="preserve">Confirmed field contamination history</w:t>
            </w:r>
          </w:p>
        </w:tc>
        <w:tc>
          <w:tcPr/>
          <w:p>
            <w:pPr>
              <w:pStyle w:val="Compact"/>
              <w:jc w:val="left"/>
            </w:pPr>
            <w:hyperlink w:anchor="sec-field-history">
              <w:r>
                <w:rPr>
                  <w:rStyle w:val="Hyperlink"/>
                </w:rPr>
                <w:t xml:space="preserve">Section 4</w:t>
              </w:r>
            </w:hyperlink>
          </w:p>
        </w:tc>
      </w:tr>
      <w:tr>
        <w:tc>
          <w:tcPr/>
          <w:p>
            <w:pPr>
              <w:pStyle w:val="Compact"/>
              <w:jc w:val="left"/>
            </w:pPr>
            <w:r>
              <w:t xml:space="preserve">Closed-form screening thresholds</w:t>
            </w:r>
          </w:p>
        </w:tc>
        <w:tc>
          <w:tcPr/>
          <w:p>
            <w:pPr>
              <w:pStyle w:val="Compact"/>
              <w:jc w:val="left"/>
            </w:pPr>
            <w:hyperlink w:anchor="sec-thresholds">
              <w:r>
                <w:rPr>
                  <w:rStyle w:val="Hyperlink"/>
                </w:rPr>
                <w:t xml:space="preserve">Section 8</w:t>
              </w:r>
            </w:hyperlink>
            <w:r>
              <w:t xml:space="preserve">,</w:t>
            </w:r>
            <w:r>
              <w:t xml:space="preserve"> </w:t>
            </w:r>
            <w:hyperlink w:anchor="tbl-thresholds">
              <w:r>
                <w:rPr>
                  <w:rStyle w:val="Hyperlink"/>
                </w:rPr>
                <w:t xml:space="preserve">Table 4</w:t>
              </w:r>
            </w:hyperlink>
          </w:p>
        </w:tc>
      </w:tr>
      <w:tr>
        <w:tc>
          <w:tcPr/>
          <w:p>
            <w:pPr>
              <w:pStyle w:val="Compact"/>
              <w:jc w:val="left"/>
            </w:pPr>
            <w:r>
              <w:t xml:space="preserve">MATLAB quasi-static cycle model and case tables</w:t>
            </w:r>
          </w:p>
        </w:tc>
        <w:tc>
          <w:tcPr/>
          <w:p>
            <w:pPr>
              <w:pStyle w:val="Compact"/>
              <w:jc w:val="left"/>
            </w:pPr>
            <w:hyperlink w:anchor="sec-results">
              <w:r>
                <w:rPr>
                  <w:rStyle w:val="Hyperlink"/>
                </w:rPr>
                <w:t xml:space="preserve">Section 9</w:t>
              </w:r>
            </w:hyperlink>
            <w:r>
              <w:t xml:space="preserve">,</w:t>
            </w:r>
            <w:r>
              <w:t xml:space="preserve"> </w:t>
            </w:r>
            <w:hyperlink w:anchor="tbl-cases">
              <w:r>
                <w:rPr>
                  <w:rStyle w:val="Hyperlink"/>
                </w:rPr>
                <w:t xml:space="preserve">Table 5</w:t>
              </w:r>
            </w:hyperlink>
            <w:r>
              <w:t xml:space="preserve">, figures in</w:t>
            </w:r>
            <w:r>
              <w:t xml:space="preserve"> </w:t>
            </w:r>
            <w:hyperlink w:anchor="sec-actual-mechanism">
              <w:r>
                <w:rPr>
                  <w:rStyle w:val="Hyperlink"/>
                </w:rPr>
                <w:t xml:space="preserve">Section 6</w:t>
              </w:r>
            </w:hyperlink>
          </w:p>
        </w:tc>
      </w:tr>
      <w:tr>
        <w:tc>
          <w:tcPr/>
          <w:p>
            <w:pPr>
              <w:pStyle w:val="Compact"/>
              <w:jc w:val="left"/>
            </w:pPr>
            <w:r>
              <w:t xml:space="preserve">Analytical overpressure bound (ideal gas)</w:t>
            </w:r>
          </w:p>
        </w:tc>
        <w:tc>
          <w:tcPr/>
          <w:p>
            <w:pPr>
              <w:pStyle w:val="Compact"/>
              <w:jc w:val="left"/>
            </w:pPr>
            <w:hyperlink w:anchor="sec-upper-bound">
              <w:r>
                <w:rPr>
                  <w:rStyle w:val="Hyperlink"/>
                </w:rPr>
                <w:t xml:space="preserve">Section 10</w:t>
              </w:r>
            </w:hyperlink>
            <w:r>
              <w:t xml:space="preserve">,</w:t>
            </w:r>
            <w:r>
              <w:t xml:space="preserve"> </w:t>
            </w:r>
            <w:hyperlink w:anchor="eq-dp-bound">
              <w:r>
                <w:rPr>
                  <w:rStyle w:val="Hyperlink"/>
                </w:rPr>
                <w:t xml:space="preserve">Eq. 4</w:t>
              </w:r>
            </w:hyperlink>
          </w:p>
        </w:tc>
      </w:tr>
      <w:tr>
        <w:tc>
          <w:tcPr/>
          <w:p>
            <w:pPr>
              <w:pStyle w:val="Compact"/>
              <w:jc w:val="left"/>
            </w:pPr>
            <w:r>
              <w:t xml:space="preserve">CoolProp Helmholtz equation-of-state check</w:t>
            </w:r>
          </w:p>
        </w:tc>
        <w:tc>
          <w:tcPr/>
          <w:p>
            <w:pPr>
              <w:pStyle w:val="Compact"/>
              <w:jc w:val="left"/>
            </w:pPr>
            <w:hyperlink w:anchor="sec-coolprop-verify">
              <w:r>
                <w:rPr>
                  <w:rStyle w:val="Hyperlink"/>
                </w:rPr>
                <w:t xml:space="preserve">Section 10.2</w:t>
              </w:r>
            </w:hyperlink>
          </w:p>
        </w:tc>
      </w:tr>
      <w:tr>
        <w:tc>
          <w:tcPr/>
          <w:p>
            <w:pPr>
              <w:pStyle w:val="Compact"/>
              <w:jc w:val="left"/>
            </w:pPr>
            <w:r>
              <w:t xml:space="preserve">Parametric sweep / contour simulation (Python, CoolProp)</w:t>
            </w:r>
          </w:p>
        </w:tc>
        <w:tc>
          <w:tcPr/>
          <w:p>
            <w:pPr>
              <w:pStyle w:val="Compact"/>
              <w:jc w:val="left"/>
            </w:pPr>
            <w:hyperlink w:anchor="sec-parametric-surface">
              <w:r>
                <w:rPr>
                  <w:rStyle w:val="Hyperlink"/>
                </w:rPr>
                <w:t xml:space="preserve">Section 10.3</w:t>
              </w:r>
            </w:hyperlink>
            <w:r>
              <w:t xml:space="preserve">,</w:t>
            </w:r>
            <w:r>
              <w:t xml:space="preserve"> </w:t>
            </w:r>
            <w:hyperlink w:anchor="fig-failure-boundary">
              <w:r>
                <w:rPr>
                  <w:rStyle w:val="Hyperlink"/>
                </w:rPr>
                <w:t xml:space="preserve">Figure 5</w:t>
              </w:r>
            </w:hyperlink>
            <w:r>
              <w:t xml:space="preserve">,</w:t>
            </w:r>
            <w:r>
              <w:t xml:space="preserve"> </w:t>
            </w:r>
            <w:hyperlink w:anchor="fig-dp-surface">
              <w:r>
                <w:rPr>
                  <w:rStyle w:val="Hyperlink"/>
                </w:rPr>
                <w:t xml:space="preserve">Figure 6</w:t>
              </w:r>
            </w:hyperlink>
            <w:r>
              <w:t xml:space="preserve">,</w:t>
            </w:r>
            <w:r>
              <w:t xml:space="preserve"> </w:t>
            </w:r>
            <w:hyperlink w:anchor="tbl-max-safe-volume">
              <w:r>
                <w:rPr>
                  <w:rStyle w:val="Hyperlink"/>
                </w:rPr>
                <w:t xml:space="preserve">Table 10</w:t>
              </w:r>
            </w:hyperlink>
          </w:p>
        </w:tc>
      </w:tr>
    </w:tbl>
    <w:bookmarkEnd w:id="103"/>
    <w:bookmarkStart w:id="104" w:name="sec-conclusions"/>
    <w:p>
      <w:pPr>
        <w:pStyle w:val="Heading1"/>
      </w:pPr>
      <w:r>
        <w:t xml:space="preserve">18. Conclusions</w:t>
      </w:r>
    </w:p>
    <w:p>
      <w:pPr>
        <w:pStyle w:val="Compact"/>
        <w:numPr>
          <w:ilvl w:val="0"/>
          <w:numId w:val="1010"/>
        </w:numPr>
      </w:pPr>
      <w:r>
        <w:t xml:space="preserve">The present 0.5 bar safety relief addresses outbound structural overpressure but does not, by itself, prevent return-leg contamination failure (</w:t>
      </w:r>
      <w:r>
        <w:rPr>
          <w:b/>
          <w:bCs/>
        </w:rPr>
        <w:t xml:space="preserve">FND-SH-001</w:t>
      </w:r>
      <w:r>
        <w:t xml:space="preserve">).</w:t>
      </w:r>
    </w:p>
    <w:p>
      <w:pPr>
        <w:pStyle w:val="Compact"/>
        <w:numPr>
          <w:ilvl w:val="0"/>
          <w:numId w:val="1010"/>
        </w:numPr>
      </w:pPr>
      <w:r>
        <w:t xml:space="preserve">The governing failure mode is return-leg underpressure after irreversible nitrogen mass loss during outbound venting; leakage through the bag path is not required to explain it (</w:t>
      </w:r>
      <w:r>
        <w:rPr>
          <w:b/>
          <w:bCs/>
        </w:rPr>
        <w:t xml:space="preserve">FND-SH-001</w:t>
      </w:r>
      <w:r>
        <w:t xml:space="preserve">,</w:t>
      </w:r>
      <w:r>
        <w:t xml:space="preserve"> </w:t>
      </w:r>
      <w:r>
        <w:rPr>
          <w:b/>
          <w:bCs/>
        </w:rPr>
        <w:t xml:space="preserve">FND-SH-002</w:t>
      </w:r>
      <w:r>
        <w:t xml:space="preserve">).</w:t>
      </w:r>
    </w:p>
    <w:p>
      <w:pPr>
        <w:pStyle w:val="Compact"/>
        <w:numPr>
          <w:ilvl w:val="0"/>
          <w:numId w:val="1010"/>
        </w:numPr>
      </w:pPr>
      <w:r>
        <w:t xml:space="preserve">For the 22 L bag and stated envelope, ideal-vent screening limits are 15.28 L (no outbound venting) and 52.55 L (nonnegative return). The conservative estimate of</w:t>
      </w:r>
      <w:r>
        <w:t xml:space="preserve"> </w:t>
      </w:r>
      <m:oMath>
        <m:sSub>
          <m:e>
            <m:r>
              <m:t>V</m:t>
            </m:r>
          </m:e>
          <m:sub>
            <m:r>
              <m:t>f</m:t>
            </m:r>
            <m:r>
              <m:t>i</m:t>
            </m:r>
            <m:r>
              <m:t>x</m:t>
            </m:r>
            <m:r>
              <m:t>e</m:t>
            </m:r>
            <m:r>
              <m:t>d</m:t>
            </m:r>
          </m:sub>
        </m:sSub>
        <m:r>
          <m:rPr>
            <m:sty m:val="p"/>
          </m:rPr>
          <m:t>≈</m:t>
        </m:r>
        <m:r>
          <m:t>35</m:t>
        </m:r>
        <m:r>
          <m:t> </m:t>
        </m:r>
        <m:r>
          <m:rPr>
            <m:nor/>
            <m:sty m:val="p"/>
          </m:rPr>
          <m:t>L</m:t>
        </m:r>
      </m:oMath>
      <w:r>
        <w:t xml:space="preserve"> </w:t>
      </w:r>
      <w:r>
        <w:t xml:space="preserve">falls between these thresholds;</w:t>
      </w:r>
      <w:r>
        <w:t xml:space="preserve"> </w:t>
      </w:r>
      <w:r>
        <w:rPr>
          <w:b/>
          <w:bCs/>
        </w:rPr>
        <w:t xml:space="preserve">FND-SH-003</w:t>
      </w:r>
      <w:r>
        <w:t xml:space="preserve"> </w:t>
      </w:r>
      <w:r>
        <w:t xml:space="preserve">remains open pending traceable measurement.</w:t>
      </w:r>
    </w:p>
    <w:p>
      <w:pPr>
        <w:pStyle w:val="Compact"/>
        <w:numPr>
          <w:ilvl w:val="0"/>
          <w:numId w:val="1010"/>
        </w:numPr>
      </w:pPr>
      <w:r>
        <w:t xml:space="preserve">The existing 0.5 bar circuit relief does not open under physically realizable single-flight cargo temperatures; the relief-opening temperature from</w:t>
      </w:r>
      <w:r>
        <w:t xml:space="preserve"> </w:t>
      </w:r>
      <w:hyperlink w:anchor="eq-t-relief">
        <w:r>
          <w:rPr>
            <w:rStyle w:val="Hyperlink"/>
          </w:rPr>
          <w:t xml:space="preserve">Eq. 5</w:t>
        </w:r>
      </w:hyperlink>
      <w:r>
        <w:t xml:space="preserve"> </w:t>
      </w:r>
      <w:r>
        <w:t xml:space="preserve">is infeasible in air freight (</w:t>
      </w:r>
      <w:r>
        <w:rPr>
          <w:b/>
          <w:bCs/>
        </w:rPr>
        <w:t xml:space="preserve">FND-SH-004</w:t>
      </w:r>
      <w:r>
        <w:t xml:space="preserve">).</w:t>
      </w:r>
    </w:p>
    <w:p>
      <w:pPr>
        <w:pStyle w:val="Compact"/>
        <w:numPr>
          <w:ilvl w:val="0"/>
          <w:numId w:val="1010"/>
        </w:numPr>
      </w:pPr>
      <w:r>
        <w:t xml:space="preserve">Under</w:t>
      </w:r>
      <w:r>
        <w:t xml:space="preserve"> </w:t>
      </w:r>
      <w:hyperlink w:anchor="sec-review-assumptions">
        <w:r>
          <w:rPr>
            <w:rStyle w:val="Hyperlink"/>
          </w:rPr>
          <w:t xml:space="preserve">Section 12</w:t>
        </w:r>
      </w:hyperlink>
      <w:r>
        <w:t xml:space="preserve"> </w:t>
      </w:r>
      <w:r>
        <w:t xml:space="preserve">and</w:t>
      </w:r>
      <w:r>
        <w:t xml:space="preserve"> </w:t>
      </w:r>
      <w:hyperlink w:anchor="sec-validity-conditions">
        <w:r>
          <w:rPr>
            <w:rStyle w:val="Hyperlink"/>
          </w:rPr>
          <w:t xml:space="preserve">Section 10.4</w:t>
        </w:r>
      </w:hyperlink>
      <w:r>
        <w:t xml:space="preserve">, removing the bag vent eliminates the vent-path mass-loss driver analyzed here; parametric results support nonnegative return-leg pressure at PED-level cracking pressure (</w:t>
      </w:r>
      <w:r>
        <w:rPr>
          <w:b/>
          <w:bCs/>
        </w:rPr>
        <w:t xml:space="preserve">FND-SH-005</w:t>
      </w:r>
      <w:r>
        <w:t xml:space="preserve">).</w:t>
      </w:r>
    </w:p>
    <w:p>
      <w:pPr>
        <w:pStyle w:val="Compact"/>
        <w:numPr>
          <w:ilvl w:val="0"/>
          <w:numId w:val="1010"/>
        </w:numPr>
      </w:pPr>
      <w:r>
        <w:t xml:space="preserve">The as-built check valve cannot reseat during a single flight cycle: the manufacturer specification requires up to 2 psig reverse differential (</w:t>
      </w:r>
      <w:r>
        <w:rPr>
          <w:b/>
          <w:bCs/>
        </w:rPr>
        <w:t xml:space="preserve">FND-SH-006</w:t>
      </w:r>
      <w:r>
        <w:t xml:space="preserve">), and the model produces less than 2 psig return-leg backpressure across the full operating envelope (</w:t>
      </w:r>
      <w:r>
        <w:rPr>
          <w:b/>
          <w:bCs/>
        </w:rPr>
        <w:t xml:space="preserve">FND-SH-007</w:t>
      </w:r>
      <w:r>
        <w:t xml:space="preserve">). The valve therefore remains open after first cracking (</w:t>
      </w:r>
      <w:r>
        <w:rPr>
          <w:b/>
          <w:bCs/>
        </w:rPr>
        <w:t xml:space="preserve">FND-SH-008</w:t>
      </w:r>
      <w:r>
        <w:t xml:space="preserve">).</w:t>
      </w:r>
    </w:p>
    <w:p>
      <w:pPr>
        <w:pStyle w:val="Compact"/>
        <w:numPr>
          <w:ilvl w:val="0"/>
          <w:numId w:val="1010"/>
        </w:numPr>
      </w:pPr>
      <w:r>
        <w:t xml:space="preserve">Multi-leg shipments compound the single-flight mass loss (</w:t>
      </w:r>
      <w:r>
        <w:rPr>
          <w:b/>
          <w:bCs/>
        </w:rPr>
        <w:t xml:space="preserve">FND-SH-009</w:t>
      </w:r>
      <w:r>
        <w:t xml:space="preserve">); the single-flight model underestimates the actual nitrogen deficit (</w:t>
      </w:r>
      <w:r>
        <w:rPr>
          <w:b/>
          <w:bCs/>
        </w:rPr>
        <w:t xml:space="preserve">FND-SH-010</w:t>
      </w:r>
      <w:r>
        <w:t xml:space="preserve">). Handling-driven breathing through the unseated valve provides an additional, pressure-independent exchange pathway (</w:t>
      </w:r>
      <w:r>
        <w:rPr>
          <w:b/>
          <w:bCs/>
        </w:rPr>
        <w:t xml:space="preserve">FND-SH-011</w:t>
      </w:r>
      <w:r>
        <w:t xml:space="preserve">).</w:t>
      </w:r>
    </w:p>
    <w:p>
      <w:pPr>
        <w:pStyle w:val="Compact"/>
        <w:numPr>
          <w:ilvl w:val="0"/>
          <w:numId w:val="1010"/>
        </w:numPr>
      </w:pPr>
      <w:r>
        <w:t xml:space="preserve">The overpressure bound holds per-leg regardless of flight count; vent removal remains safe from an overpressure standpoint across multiple legs (</w:t>
      </w:r>
      <w:r>
        <w:rPr>
          <w:b/>
          <w:bCs/>
        </w:rPr>
        <w:t xml:space="preserve">FND-SH-012</w:t>
      </w:r>
      <w:r>
        <w:t xml:space="preserve">).</w:t>
      </w:r>
    </w:p>
    <w:p>
      <w:pPr>
        <w:pStyle w:val="Compact"/>
        <w:numPr>
          <w:ilvl w:val="0"/>
          <w:numId w:val="1010"/>
        </w:numPr>
      </w:pPr>
      <w:r>
        <w:t xml:space="preserve">Seal leak rate under elevated gauge pressure is uncharacterized; if the vent is removed, this becomes a potential competing mass-loss pathway requiring a leak-down test (</w:t>
      </w:r>
      <w:r>
        <w:rPr>
          <w:b/>
          <w:bCs/>
        </w:rPr>
        <w:t xml:space="preserve">FND-SH-013</w:t>
      </w:r>
      <w:r>
        <w:t xml:space="preserve">).</w:t>
      </w:r>
    </w:p>
    <w:p>
      <w:pPr>
        <w:pStyle w:val="Compact"/>
        <w:numPr>
          <w:ilvl w:val="0"/>
          <w:numId w:val="1010"/>
        </w:numPr>
      </w:pPr>
      <w:r>
        <w:t xml:space="preserve">Alternative check valves do not resolve the fundamental irreversible mass-loss pathway; any outward-only valve retains the failure mechanism (</w:t>
      </w:r>
      <w:r>
        <w:rPr>
          <w:b/>
          <w:bCs/>
        </w:rPr>
        <w:t xml:space="preserve">FND-SH-014</w:t>
      </w:r>
      <w:r>
        <w:t xml:space="preserve">).</w:t>
      </w:r>
    </w:p>
    <w:p>
      <w:pPr>
        <w:pStyle w:val="Compact"/>
        <w:numPr>
          <w:ilvl w:val="0"/>
          <w:numId w:val="1010"/>
        </w:numPr>
      </w:pPr>
      <w:r>
        <w:rPr>
          <w:b/>
          <w:bCs/>
        </w:rPr>
        <w:t xml:space="preserve">Bag-vent removal is a proposed design recommendation</w:t>
      </w:r>
      <w:r>
        <w:t xml:space="preserve">, not an executed hardware change, as stated in</w:t>
      </w:r>
      <w:r>
        <w:t xml:space="preserve"> </w:t>
      </w:r>
      <w:hyperlink w:anchor="sec-decision-status">
        <w:r>
          <w:rPr>
            <w:rStyle w:val="Hyperlink"/>
          </w:rPr>
          <w:t xml:space="preserve">Section 16</w:t>
        </w:r>
      </w:hyperlink>
      <w:r>
        <w:t xml:space="preserve">; formal closure requires</w:t>
      </w:r>
      <w:r>
        <w:t xml:space="preserve"> </w:t>
      </w:r>
      <w:hyperlink w:anchor="sec-closure">
        <w:r>
          <w:rPr>
            <w:rStyle w:val="Hyperlink"/>
          </w:rPr>
          <w:t xml:space="preserve">Section 15</w:t>
        </w:r>
      </w:hyperlink>
      <w:r>
        <w:t xml:space="preserve">.</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Shipping Failure Mode of the Nitrogen-Purged Optical Assembly</dc:title>
  <dc:creator>Opto-Mechanical Engineering Group</dc:creator>
  <cp:keywords>nitrogen purge, shipping qualification, compliance volume, sub-atmospheric pressure, optical contamination, thermodynamic failure analysis</cp:keywords>
  <dcterms:created xsi:type="dcterms:W3CDTF">2026-04-15T15:59:29Z</dcterms:created>
  <dcterms:modified xsi:type="dcterms:W3CDTF">2026-04-15T15:59:29Z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nitrogen-purged optical assembly fails by return-leg underpressure after irreversible nitrogen mass loss during air transport, not by outbound overpressure. Closed-form thresholds and a quasi-static shipping-cycle model establish that the conservative as-built rigid volume (V_{fixed} \approx 35\;\text{L}) with the 2 psig Swagelok check valve is nominally safe under single-flight ideal assumptions: the bag absorbs the full excursion without venting and the return-leg pressure remains nonnegative. However, the as-built valve requires up to 2 psig reverse differential to reseat, and the model produces less than 2 psig backpressure across the full operating envelope. The valve therefore remains open after first cracking. Multi-leg shipments compound mass loss beyond the single-flight prediction, and handling of the unsupported foil bag drives additional gas exchange through the unseated valve. These mechanisms — valve non-reseat, multi-leg ratcheting, and handling-driven breathing — are not captured by the single-flight model and represent non-conservative gaps. Removal or permanent sealing of the bag vent eliminates the irreversible mass-loss pathway; the existing 0.5 bar circuit relief provides sufficient overpressure protection at any volume and any number of flight legs.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rossref">
    <vt:lpwstr/>
  </property>
  <property fmtid="{D5CDD505-2E9C-101B-9397-08002B2CF9AE}" pid="8" name="csl">
    <vt:lpwstr>../../_shared/ieee.csl</vt:lpwstr>
  </property>
  <property fmtid="{D5CDD505-2E9C-101B-9397-08002B2CF9AE}" pid="9" name="date">
    <vt:lpwstr>April 15, 2026</vt:lpwstr>
  </property>
  <property fmtid="{D5CDD505-2E9C-101B-9397-08002B2CF9AE}" pid="10" name="date-format">
    <vt:lpwstr>MMMM D, YYYY</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number-depth">
    <vt:lpwstr>3</vt:lpwstr>
  </property>
  <property fmtid="{D5CDD505-2E9C-101B-9397-08002B2CF9AE}" pid="18" name="subtitle">
    <vt:lpwstr>Return-Leg Underpressure Following Irreversible Mass Loss</vt:lpwstr>
  </property>
  <property fmtid="{D5CDD505-2E9C-101B-9397-08002B2CF9AE}" pid="19" name="toc-title">
    <vt:lpwstr>Table of contents</vt:lpwstr>
  </property>
</Properties>
</file>