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spacing w:lineRule="auto" w:line="276"/>
        <w:rPr>
          <w:b/>
          <w:bCs/>
          <w:outline w:val="false"/>
          <w:color w:val="1F1F1F"/>
          <w:u w:val="none" w:color="1F1F1F"/>
        </w:rPr>
      </w:pPr>
      <w:r>
        <w:rPr>
          <w:b/>
          <w:bCs/>
          <w:outline w:val="false"/>
          <w:color w:val="1F1F1F"/>
          <w:u w:val="none" w:color="1F1F1F"/>
        </w:rPr>
        <w:t xml:space="preserve">SPEC-005 </w:t>
      </w:r>
      <w:r>
        <w:rPr>
          <w:b/>
          <w:bCs/>
          <w:outline w:val="false"/>
          <w:color w:val="1F1F1F"/>
          <w:u w:val="none" w:color="1F1F1F"/>
          <w:lang w:val="en-US"/>
        </w:rPr>
        <w:t>— ARCHITECTURE &amp; DEPLOYMENT SPECIFICATION</w:t>
      </w:r>
    </w:p>
    <w:p>
      <w:pPr>
        <w:pStyle w:val="Body"/>
        <w:spacing w:lineRule="auto" w:line="276"/>
        <w:rPr>
          <w:b/>
          <w:bCs/>
          <w:outline w:val="false"/>
          <w:color w:val="1F1F1F"/>
          <w:u w:val="none" w:color="1F1F1F"/>
        </w:rPr>
      </w:pPr>
      <w:r>
        <w:rPr>
          <w:b/>
          <w:bCs/>
          <w:outline w:val="false"/>
          <w:color w:val="1F1F1F"/>
          <w:u w:val="none" w:color="1F1F1F"/>
          <w:lang w:val="en-US"/>
        </w:rPr>
        <w:t>FamilyConnect: Disaster Family Assistance, Reconnection &amp; Coordination Platform</w:t>
      </w:r>
    </w:p>
    <w:p>
      <w:pPr>
        <w:pStyle w:val="Body"/>
        <w:spacing w:lineRule="auto" w:line="276"/>
        <w:rPr>
          <w:outline w:val="false"/>
          <w:color w:val="1F1F1F"/>
          <w:u w:val="none" w:color="1F1F1F"/>
        </w:rPr>
      </w:pPr>
      <w:r>
        <w:rPr>
          <w:b/>
          <w:bCs/>
          <w:outline w:val="false"/>
          <w:color w:val="1F1F1F"/>
          <w:u w:val="none" w:color="1F1F1F"/>
          <w:lang w:val="de-DE"/>
        </w:rPr>
        <w:t>Version:</w:t>
      </w:r>
      <w:r>
        <w:rPr>
          <w:outline w:val="false"/>
          <w:color w:val="1F1F1F"/>
          <w:u w:val="none" w:color="1F1F1F"/>
        </w:rPr>
        <w:t xml:space="preserve"> 0.1</w:t>
      </w:r>
    </w:p>
    <w:p>
      <w:pPr>
        <w:pStyle w:val="Body"/>
        <w:spacing w:lineRule="auto" w:line="276"/>
        <w:rPr>
          <w:outline w:val="false"/>
          <w:color w:val="1F1F1F"/>
          <w:u w:val="none" w:color="1F1F1F"/>
        </w:rPr>
      </w:pPr>
      <w:r>
        <w:rPr>
          <w:b/>
          <w:bCs/>
          <w:outline w:val="false"/>
          <w:color w:val="1F1F1F"/>
          <w:u w:val="none" w:color="1F1F1F"/>
          <w:lang w:val="nl-NL"/>
        </w:rPr>
        <w:t>Status:</w:t>
      </w:r>
      <w:r>
        <w:rPr>
          <w:outline w:val="false"/>
          <w:color w:val="1F1F1F"/>
          <w:u w:val="none" w:color="1F1F1F"/>
          <w:lang w:val="da-DK"/>
        </w:rPr>
        <w:t xml:space="preserve"> Draft Baseline </w:t>
      </w:r>
      <w:r>
        <w:rPr>
          <w:outline w:val="false"/>
          <w:color w:val="1F1F1F"/>
          <w:u w:val="none" w:color="1F1F1F"/>
          <w:lang w:val="en-US"/>
        </w:rPr>
        <w:t>— MVP First</w:t>
      </w:r>
    </w:p>
    <w:p>
      <w:pPr>
        <w:pStyle w:val="Body"/>
        <w:spacing w:lineRule="auto" w:line="276"/>
        <w:rPr>
          <w:outline w:val="false"/>
          <w:color w:val="1F1F1F"/>
          <w:u w:val="none" w:color="1F1F1F"/>
        </w:rPr>
      </w:pPr>
      <w:r>
        <w:rPr>
          <w:b/>
          <w:bCs/>
          <w:outline w:val="false"/>
          <w:color w:val="1F1F1F"/>
          <w:u w:val="none" w:color="1F1F1F"/>
          <w:lang w:val="en-US"/>
        </w:rPr>
        <w:t>Methodology:</w:t>
      </w:r>
      <w:r>
        <w:rPr>
          <w:outline w:val="false"/>
          <w:color w:val="1F1F1F"/>
          <w:u w:val="none" w:color="1F1F1F"/>
          <w:lang w:val="en-US"/>
        </w:rPr>
        <w:t xml:space="preserve"> Spec-Driven Development</w:t>
      </w:r>
    </w:p>
    <w:p>
      <w:pPr>
        <w:pStyle w:val="Heading2"/>
        <w:spacing w:lineRule="auto" w:line="276" w:before="0" w:after="0"/>
        <w:rPr>
          <w:outline w:val="false"/>
          <w:color w:val="1F1F1F"/>
          <w:u w:val="none" w:color="1F1F1F"/>
        </w:rPr>
      </w:pPr>
      <w:r>
        <w:rPr>
          <w:outline w:val="false"/>
          <w:color w:val="1F1F1F"/>
          <w:u w:val="none" w:color="1F1F1F"/>
          <w:lang w:val="en-US"/>
        </w:rPr>
        <w:t>1. Purpose and Scope</w:t>
      </w:r>
    </w:p>
    <w:p>
      <w:pPr>
        <w:pStyle w:val="Body"/>
        <w:spacing w:lineRule="auto" w:line="276"/>
        <w:rPr>
          <w:outline w:val="false"/>
          <w:color w:val="1F1F1F"/>
          <w:u w:val="none" w:color="1F1F1F"/>
        </w:rPr>
      </w:pPr>
      <w:r>
        <w:rPr>
          <w:outline w:val="false"/>
          <w:color w:val="1F1F1F"/>
          <w:u w:val="none" w:color="1F1F1F"/>
          <w:lang w:val="en-US"/>
        </w:rPr>
        <w:t>SPEC-005 defines the Minimum Viable Product (MVP) architecture and deployment model for FamilyConnect. It establishes the technical blueprint required to enforce the security, privacy, and operational controls defined in SPEC-001 through SPEC-004, ensuring the platform can withstand the degraded telecommunications and high-stress environments characteristic of disaster zones like the 2015 Nepal earthquake.</w:t>
      </w:r>
    </w:p>
    <w:p>
      <w:pPr>
        <w:pStyle w:val="Heading2"/>
        <w:spacing w:lineRule="auto" w:line="276" w:before="0" w:after="0"/>
        <w:rPr>
          <w:outline w:val="false"/>
          <w:color w:val="1F1F1F"/>
          <w:u w:val="none" w:color="1F1F1F"/>
        </w:rPr>
      </w:pPr>
      <w:r>
        <w:rPr>
          <w:outline w:val="false"/>
          <w:color w:val="1F1F1F"/>
          <w:u w:val="none" w:color="1F1F1F"/>
          <w:lang w:val="en-US"/>
        </w:rPr>
        <w:t>2. Architecture Principles</w:t>
      </w:r>
    </w:p>
    <w:p>
      <w:pPr>
        <w:pStyle w:val="Body"/>
        <w:numPr>
          <w:ilvl w:val="0"/>
          <w:numId w:val="1"/>
        </w:numPr>
        <w:spacing w:lineRule="auto" w:line="276" w:before="0" w:after="0"/>
        <w:ind w:hanging="360" w:left="590" w:right="0"/>
        <w:rPr>
          <w:lang w:val="en-US"/>
        </w:rPr>
      </w:pPr>
      <w:r>
        <w:rPr>
          <w:b/>
          <w:bCs/>
          <w:outline w:val="false"/>
          <w:color w:val="1F1F1F"/>
          <w:u w:val="none" w:color="1F1F1F"/>
          <w:lang w:val="en-US"/>
        </w:rPr>
        <w:t>Authoritative-Source Principle:</w:t>
      </w:r>
      <w:r>
        <w:rPr>
          <w:outline w:val="false"/>
          <w:color w:val="1F1F1F"/>
          <w:u w:val="none" w:color="1F1F1F"/>
          <w:lang w:val="en-US"/>
        </w:rPr>
        <w:t xml:space="preserve"> FamilyConnect is a coordination layer, not the system of record. Police, hospitals, and humanitarian organizations retain their authoritative records.</w:t>
      </w:r>
    </w:p>
    <w:p>
      <w:pPr>
        <w:pStyle w:val="Body"/>
        <w:numPr>
          <w:ilvl w:val="0"/>
          <w:numId w:val="1"/>
        </w:numPr>
        <w:spacing w:lineRule="auto" w:line="276" w:before="0" w:after="0"/>
        <w:ind w:hanging="360" w:left="590" w:right="0"/>
        <w:rPr>
          <w:lang w:val="en-US"/>
        </w:rPr>
      </w:pPr>
      <w:r>
        <w:rPr>
          <w:b/>
          <w:bCs/>
          <w:outline w:val="false"/>
          <w:color w:val="1F1F1F"/>
          <w:u w:val="none" w:color="1F1F1F"/>
          <w:lang w:val="en-US"/>
        </w:rPr>
        <w:t>Privacy by Design &amp; Minimum Necessary Disclosure:</w:t>
      </w:r>
      <w:r>
        <w:rPr>
          <w:outline w:val="false"/>
          <w:color w:val="1F1F1F"/>
          <w:u w:val="none" w:color="1F1F1F"/>
          <w:lang w:val="en-US"/>
        </w:rPr>
        <w:t xml:space="preserve"> Systems must cryptographically restrict access to only the data fields required for a verified purpose.</w:t>
      </w:r>
    </w:p>
    <w:p>
      <w:pPr>
        <w:pStyle w:val="Body"/>
        <w:numPr>
          <w:ilvl w:val="0"/>
          <w:numId w:val="1"/>
        </w:numPr>
        <w:spacing w:lineRule="auto" w:line="276" w:before="0" w:after="0"/>
        <w:ind w:hanging="360" w:left="590" w:right="0"/>
        <w:rPr>
          <w:lang w:val="en-US"/>
        </w:rPr>
      </w:pPr>
      <w:r>
        <w:rPr>
          <w:b/>
          <w:bCs/>
          <w:outline w:val="false"/>
          <w:color w:val="1F1F1F"/>
          <w:u w:val="none" w:color="1F1F1F"/>
          <w:lang w:val="en-US"/>
        </w:rPr>
        <w:t>Zero Trust &amp; ABAC:</w:t>
      </w:r>
      <w:r>
        <w:rPr>
          <w:outline w:val="false"/>
          <w:color w:val="1F1F1F"/>
          <w:u w:val="none" w:color="1F1F1F"/>
          <w:lang w:val="en-US"/>
        </w:rPr>
        <w:t xml:space="preserve"> No user or network is implicitly trusted. Access requires dynamic evaluation of identity, role, and context.</w:t>
      </w:r>
    </w:p>
    <w:p>
      <w:pPr>
        <w:pStyle w:val="Body"/>
        <w:numPr>
          <w:ilvl w:val="0"/>
          <w:numId w:val="1"/>
        </w:numPr>
        <w:spacing w:lineRule="auto" w:line="276" w:before="0" w:after="0"/>
        <w:ind w:hanging="360" w:left="590" w:right="0"/>
        <w:rPr>
          <w:lang w:val="en-US"/>
        </w:rPr>
      </w:pPr>
      <w:r>
        <w:rPr>
          <w:b/>
          <w:bCs/>
          <w:outline w:val="false"/>
          <w:color w:val="1F1F1F"/>
          <w:u w:val="none" w:color="1F1F1F"/>
          <w:lang w:val="en-US"/>
        </w:rPr>
        <w:t>Human-in-the-Loop:</w:t>
      </w:r>
      <w:r>
        <w:rPr>
          <w:outline w:val="false"/>
          <w:color w:val="1F1F1F"/>
          <w:u w:val="none" w:color="1F1F1F"/>
          <w:lang w:val="en-US"/>
        </w:rPr>
        <w:t xml:space="preserve"> AI and automated systems are strictly assistive. They cannot legally close cases, confirm identities, or authorize safeguarding handovers.</w:t>
      </w:r>
    </w:p>
    <w:p>
      <w:pPr>
        <w:pStyle w:val="Body"/>
        <w:numPr>
          <w:ilvl w:val="0"/>
          <w:numId w:val="1"/>
        </w:numPr>
        <w:spacing w:lineRule="auto" w:line="276" w:before="0" w:after="0"/>
        <w:ind w:hanging="360" w:left="590" w:right="0"/>
        <w:rPr>
          <w:lang w:val="en-US"/>
        </w:rPr>
      </w:pPr>
      <w:r>
        <w:rPr>
          <w:b/>
          <w:bCs/>
          <w:outline w:val="false"/>
          <w:color w:val="1F1F1F"/>
          <w:u w:val="none" w:color="1F1F1F"/>
          <w:lang w:val="en-US"/>
        </w:rPr>
        <w:t>Offline-First Capability:</w:t>
      </w:r>
      <w:r>
        <w:rPr>
          <w:outline w:val="false"/>
          <w:color w:val="1F1F1F"/>
          <w:u w:val="none" w:color="1F1F1F"/>
          <w:lang w:val="en-US"/>
        </w:rPr>
        <w:t xml:space="preserve"> Field operations must survive intermittent connectivity, leveraging local queuing and synchronization.</w:t>
      </w:r>
    </w:p>
    <w:p>
      <w:pPr>
        <w:pStyle w:val="Body"/>
        <w:numPr>
          <w:ilvl w:val="0"/>
          <w:numId w:val="1"/>
        </w:numPr>
        <w:spacing w:lineRule="auto" w:line="276" w:before="0" w:after="0"/>
        <w:ind w:hanging="360" w:left="590" w:right="0"/>
        <w:rPr>
          <w:lang w:val="de-DE"/>
        </w:rPr>
      </w:pPr>
      <w:r>
        <w:rPr>
          <w:b/>
          <w:bCs/>
          <w:outline w:val="false"/>
          <w:color w:val="1F1F1F"/>
          <w:u w:val="none" w:color="1F1F1F"/>
          <w:lang w:val="de-DE"/>
        </w:rPr>
        <w:t>Event-Driven Audit:</w:t>
      </w:r>
      <w:r>
        <w:rPr>
          <w:outline w:val="false"/>
          <w:color w:val="1F1F1F"/>
          <w:u w:val="none" w:color="1F1F1F"/>
          <w:lang w:val="en-US"/>
        </w:rPr>
        <w:t xml:space="preserve"> Every state transition must generate an immutable audit trail.</w:t>
      </w:r>
    </w:p>
    <w:p>
      <w:pPr>
        <w:pStyle w:val="Body"/>
        <w:numPr>
          <w:ilvl w:val="0"/>
          <w:numId w:val="1"/>
        </w:numPr>
        <w:spacing w:lineRule="auto" w:line="276" w:before="0" w:after="0"/>
        <w:ind w:hanging="360" w:left="590" w:right="0"/>
        <w:rPr>
          <w:lang w:val="en-US"/>
        </w:rPr>
      </w:pPr>
      <w:r>
        <w:rPr>
          <w:b/>
          <w:bCs/>
          <w:outline w:val="false"/>
          <w:color w:val="1F1F1F"/>
          <w:u w:val="none" w:color="1F1F1F"/>
          <w:lang w:val="en-US"/>
        </w:rPr>
        <w:t>Graceful Degradation:</w:t>
      </w:r>
      <w:r>
        <w:rPr>
          <w:outline w:val="false"/>
          <w:color w:val="1F1F1F"/>
          <w:u w:val="none" w:color="1F1F1F"/>
          <w:lang w:val="en-US"/>
        </w:rPr>
        <w:t xml:space="preserve"> The system must queue and retry requests when upstream partner agencies are offline.</w:t>
      </w:r>
    </w:p>
    <w:p>
      <w:pPr>
        <w:pStyle w:val="Heading2"/>
        <w:spacing w:lineRule="auto" w:line="276" w:before="0" w:after="0"/>
        <w:rPr>
          <w:outline w:val="false"/>
          <w:color w:val="1F1F1F"/>
          <w:u w:val="none" w:color="1F1F1F"/>
        </w:rPr>
      </w:pPr>
      <w:r>
        <w:rPr>
          <w:outline w:val="false"/>
          <w:color w:val="1F1F1F"/>
          <w:u w:val="none" w:color="1F1F1F"/>
          <w:lang w:val="en-US"/>
        </w:rPr>
        <w:t>3. MVP Deployment Model</w:t>
      </w:r>
    </w:p>
    <w:p>
      <w:pPr>
        <w:pStyle w:val="Body"/>
        <w:spacing w:lineRule="auto" w:line="276"/>
        <w:rPr>
          <w:outline w:val="false"/>
          <w:color w:val="1F1F1F"/>
          <w:u w:val="none" w:color="1F1F1F"/>
        </w:rPr>
      </w:pPr>
      <w:r>
        <w:rPr>
          <w:outline w:val="false"/>
          <w:color w:val="1F1F1F"/>
          <w:u w:val="none" w:color="1F1F1F"/>
          <w:lang w:val="en-US"/>
        </w:rPr>
        <w:t>The MVP enforces a single disaster-event deployment with logical tenant isolation to minimize complexity.</w:t>
      </w:r>
    </w:p>
    <w:p>
      <w:pPr>
        <w:pStyle w:val="Body"/>
        <w:spacing w:lineRule="auto" w:line="276"/>
        <w:ind w:hanging="0" w:left="480" w:right="0"/>
        <w:rPr>
          <w:outline w:val="false"/>
          <w:color w:val="1F1F1F"/>
          <w:u w:val="none" w:color="1F1F1F"/>
        </w:rPr>
      </w:pPr>
      <w:r>
        <w:rPr>
          <w:outline w:val="false"/>
          <w:color w:val="1F1F1F"/>
          <w:u w:val="none" w:color="1F1F1F"/>
        </w:rPr>
      </w:r>
    </w:p>
    <w:p>
      <w:pPr>
        <w:pStyle w:val="Body"/>
        <w:spacing w:lineRule="auto" w:line="276" w:before="390" w:after="0"/>
        <w:ind w:hanging="0" w:left="480" w:right="0"/>
        <w:rPr>
          <w:outline w:val="false"/>
          <w:color w:val="1F1F1F"/>
          <w:u w:val="none" w:color="1F1F1F"/>
        </w:rPr>
      </w:pPr>
      <w:r>
        <w:rPr>
          <w:outline w:val="false"/>
          <w:color w:val="1F1F1F"/>
          <w:u w:val="none" w:color="1F1F1F"/>
        </w:rPr>
      </w:r>
    </w:p>
    <w:p>
      <w:pPr>
        <w:pStyle w:val="Body"/>
        <w:spacing w:lineRule="auto" w:line="276"/>
        <w:ind w:hanging="0" w:left="480" w:right="165"/>
        <w:rPr>
          <w:outline w:val="false"/>
          <w:color w:val="1F1F1F"/>
          <w:u w:val="none" w:color="1F1F1F"/>
        </w:rPr>
      </w:pPr>
      <w:r>
        <w:rPr>
          <w:outline w:val="false"/>
          <w:color w:val="1F1F1F"/>
          <w:u w:val="none" w:color="1F1F1F"/>
        </w:rPr>
      </w:r>
    </w:p>
    <w:p>
      <w:pPr>
        <w:pStyle w:val="Body"/>
        <w:spacing w:lineRule="auto" w:line="276"/>
        <w:ind w:hanging="0" w:left="480" w:right="165"/>
        <w:rPr>
          <w:outline w:val="false"/>
          <w:color w:val="FFFFFF"/>
          <w:u w:val="none" w:color="FFFFFF"/>
          <w:shd w:fill="141414" w:val="clear"/>
        </w:rPr>
      </w:pPr>
      <w:r>
        <w:rPr>
          <w:outline w:val="false"/>
          <w:color w:val="FFFFFF"/>
          <w:u w:val="none" w:color="FFFFFF"/>
          <w:shd w:fill="141414" w:val="clear"/>
          <w:lang w:val="fr-FR"/>
        </w:rPr>
        <w:t>Plaintext</w:t>
      </w:r>
    </w:p>
    <w:p>
      <w:pPr>
        <w:pStyle w:val="Body"/>
        <w:spacing w:lineRule="auto" w:line="276"/>
        <w:ind w:hanging="0" w:left="480" w:right="0"/>
        <w:rPr>
          <w:outline w:val="false"/>
          <w:color w:val="1F1F1F"/>
          <w:u w:val="none" w:color="1F1F1F"/>
          <w:shd w:fill="141414" w:val="clear"/>
        </w:rPr>
      </w:pPr>
      <w:r>
        <w:rPr>
          <w:outline w:val="false"/>
          <w:color w:val="1F1F1F"/>
          <w:u w:val="none" w:color="1F1F1F"/>
          <w:shd w:fill="FFFFFF" w:val="clear"/>
          <w:lang w:val="en-US"/>
        </w:rPr>
        <w:t>FamilyConnect Platform</w:t>
      </w:r>
      <w:r>
        <w:rPr>
          <w:outline w:val="false"/>
          <w:color w:val="1F1F1F"/>
          <w:u w:val="none" w:color="1F1F1F"/>
          <w:shd w:fill="FFFFFF" w:val="clear"/>
        </w:rPr>
        <w:br/>
        <w:t xml:space="preserve"> └── </w:t>
      </w:r>
      <w:r>
        <w:rPr>
          <w:outline w:val="false"/>
          <w:color w:val="1F1F1F"/>
          <w:u w:val="none" w:color="1F1F1F"/>
          <w:shd w:fill="FFFFFF" w:val="clear"/>
          <w:lang w:val="en-US"/>
        </w:rPr>
        <w:t>Disaster Event: Nepal/Tibet Border</w:t>
      </w:r>
      <w:r>
        <w:rPr>
          <w:outline w:val="false"/>
          <w:color w:val="1F1F1F"/>
          <w:u w:val="none" w:color="1F1F1F"/>
          <w:shd w:fill="FFFFFF" w:val="clear"/>
        </w:rPr>
        <w:br/>
        <w:t xml:space="preserve">      ├── </w:t>
      </w:r>
      <w:r>
        <w:rPr>
          <w:outline w:val="false"/>
          <w:color w:val="1F1F1F"/>
          <w:u w:val="none" w:color="1F1F1F"/>
          <w:shd w:fill="FFFFFF" w:val="clear"/>
          <w:lang w:val="en-US"/>
        </w:rPr>
        <w:t>Public Services</w:t>
      </w:r>
      <w:r>
        <w:rPr>
          <w:outline w:val="false"/>
          <w:color w:val="1F1F1F"/>
          <w:u w:val="none" w:color="1F1F1F"/>
          <w:shd w:fill="FFFFFF" w:val="clear"/>
        </w:rPr>
        <w:br/>
        <w:t xml:space="preserve">      ├── </w:t>
      </w:r>
      <w:r>
        <w:rPr>
          <w:outline w:val="false"/>
          <w:color w:val="1F1F1F"/>
          <w:u w:val="none" w:color="1F1F1F"/>
          <w:shd w:fill="FFFFFF" w:val="clear"/>
          <w:lang w:val="en-US"/>
        </w:rPr>
        <w:t>Family Services</w:t>
      </w:r>
      <w:r>
        <w:rPr>
          <w:outline w:val="false"/>
          <w:color w:val="1F1F1F"/>
          <w:u w:val="none" w:color="1F1F1F"/>
          <w:shd w:fill="FFFFFF" w:val="clear"/>
        </w:rPr>
        <w:br/>
        <w:t xml:space="preserve">      ├── </w:t>
      </w:r>
      <w:r>
        <w:rPr>
          <w:outline w:val="false"/>
          <w:color w:val="1F1F1F"/>
          <w:u w:val="none" w:color="1F1F1F"/>
          <w:shd w:fill="FFFFFF" w:val="clear"/>
          <w:lang w:val="en-US"/>
        </w:rPr>
        <w:t>Agency Services</w:t>
      </w:r>
      <w:r>
        <w:rPr>
          <w:outline w:val="false"/>
          <w:color w:val="1F1F1F"/>
          <w:u w:val="none" w:color="1F1F1F"/>
          <w:shd w:fill="FFFFFF" w:val="clear"/>
        </w:rPr>
        <w:br/>
        <w:t xml:space="preserve">      └── </w:t>
      </w:r>
      <w:r>
        <w:rPr>
          <w:outline w:val="false"/>
          <w:color w:val="1F1F1F"/>
          <w:u w:val="none" w:color="1F1F1F"/>
          <w:shd w:fill="FFFFFF" w:val="clear"/>
          <w:lang w:val="fr-FR"/>
        </w:rPr>
        <w:t>Operations</w:t>
      </w:r>
      <w:r>
        <w:rPr>
          <w:outline w:val="false"/>
          <w:color w:val="1F1F1F"/>
          <w:u w:val="none" w:color="1F1F1F"/>
          <w:shd w:fill="141414" w:val="clear"/>
        </w:rPr>
        <w:br/>
      </w:r>
    </w:p>
    <w:p>
      <w:pPr>
        <w:pStyle w:val="Heading2"/>
        <w:spacing w:lineRule="auto" w:line="276" w:before="0" w:after="0"/>
        <w:rPr>
          <w:outline w:val="false"/>
          <w:color w:val="1F1F1F"/>
          <w:u w:val="none" w:color="1F1F1F"/>
        </w:rPr>
      </w:pPr>
      <w:r>
        <w:rPr>
          <w:outline w:val="false"/>
          <w:color w:val="1F1F1F"/>
          <w:u w:val="none" w:color="1F1F1F"/>
          <w:lang w:val="en-US"/>
        </w:rPr>
        <w:t>4. Channel Architecture</w:t>
      </w:r>
    </w:p>
    <w:p>
      <w:pPr>
        <w:pStyle w:val="Body"/>
        <w:spacing w:lineRule="auto" w:line="276"/>
        <w:rPr>
          <w:outline w:val="false"/>
          <w:color w:val="1F1F1F"/>
          <w:u w:val="none" w:color="1F1F1F"/>
        </w:rPr>
      </w:pPr>
      <w:r>
        <w:rPr>
          <w:outline w:val="false"/>
          <w:color w:val="1F1F1F"/>
          <w:u w:val="none" w:color="1F1F1F"/>
          <w:lang w:val="en-US"/>
        </w:rPr>
        <w:t>To deploy rapidly and accommodate users without high-end devices or connectivity, the MVP supports:</w:t>
      </w:r>
    </w:p>
    <w:p>
      <w:pPr>
        <w:pStyle w:val="Body"/>
        <w:numPr>
          <w:ilvl w:val="0"/>
          <w:numId w:val="2"/>
        </w:numPr>
        <w:spacing w:lineRule="auto" w:line="276" w:before="0" w:after="0"/>
        <w:ind w:hanging="360" w:left="590" w:right="0"/>
        <w:rPr>
          <w:lang w:val="en-US"/>
        </w:rPr>
      </w:pPr>
      <w:r>
        <w:rPr>
          <w:b/>
          <w:bCs/>
          <w:outline w:val="false"/>
          <w:color w:val="1F1F1F"/>
          <w:u w:val="none" w:color="1F1F1F"/>
          <w:lang w:val="en-US"/>
        </w:rPr>
        <w:t>Responsive Web:</w:t>
      </w:r>
      <w:r>
        <w:rPr>
          <w:outline w:val="false"/>
          <w:color w:val="1F1F1F"/>
          <w:u w:val="none" w:color="1F1F1F"/>
          <w:lang w:val="en-US"/>
        </w:rPr>
        <w:t xml:space="preserve"> Yes</w:t>
      </w:r>
    </w:p>
    <w:p>
      <w:pPr>
        <w:pStyle w:val="Body"/>
        <w:numPr>
          <w:ilvl w:val="0"/>
          <w:numId w:val="2"/>
        </w:numPr>
        <w:spacing w:lineRule="auto" w:line="276" w:before="0" w:after="0"/>
        <w:ind w:hanging="360" w:left="590" w:right="0"/>
        <w:rPr>
          <w:lang w:val="en-US"/>
        </w:rPr>
      </w:pPr>
      <w:r>
        <w:rPr>
          <w:b/>
          <w:bCs/>
          <w:outline w:val="false"/>
          <w:color w:val="1F1F1F"/>
          <w:u w:val="none" w:color="1F1F1F"/>
          <w:lang w:val="en-US"/>
        </w:rPr>
        <w:t>Mobile Browser / PWA:</w:t>
      </w:r>
      <w:r>
        <w:rPr>
          <w:outline w:val="false"/>
          <w:color w:val="1F1F1F"/>
          <w:u w:val="none" w:color="1F1F1F"/>
          <w:lang w:val="en-US"/>
        </w:rPr>
        <w:t xml:space="preserve"> Yes</w:t>
      </w:r>
    </w:p>
    <w:p>
      <w:pPr>
        <w:pStyle w:val="Body"/>
        <w:numPr>
          <w:ilvl w:val="0"/>
          <w:numId w:val="2"/>
        </w:numPr>
        <w:spacing w:lineRule="auto" w:line="276" w:before="0" w:after="0"/>
        <w:ind w:hanging="360" w:left="590" w:right="0"/>
        <w:rPr>
          <w:lang w:val="en-US"/>
        </w:rPr>
      </w:pPr>
      <w:r>
        <w:rPr>
          <w:b/>
          <w:bCs/>
          <w:outline w:val="false"/>
          <w:color w:val="1F1F1F"/>
          <w:u w:val="none" w:color="1F1F1F"/>
          <w:lang w:val="en-US"/>
        </w:rPr>
        <w:t>Agency Portal:</w:t>
      </w:r>
      <w:r>
        <w:rPr>
          <w:outline w:val="false"/>
          <w:color w:val="1F1F1F"/>
          <w:u w:val="none" w:color="1F1F1F"/>
          <w:lang w:val="en-US"/>
        </w:rPr>
        <w:t xml:space="preserve"> Yes</w:t>
      </w:r>
    </w:p>
    <w:p>
      <w:pPr>
        <w:pStyle w:val="Body"/>
        <w:numPr>
          <w:ilvl w:val="0"/>
          <w:numId w:val="2"/>
        </w:numPr>
        <w:spacing w:lineRule="auto" w:line="276" w:before="0" w:after="0"/>
        <w:ind w:hanging="360" w:left="590" w:right="0"/>
        <w:rPr/>
      </w:pPr>
      <w:r>
        <w:rPr>
          <w:b/>
          <w:bCs/>
          <w:outline w:val="false"/>
          <w:color w:val="1F1F1F"/>
          <w:u w:val="none" w:color="1F1F1F"/>
        </w:rPr>
        <w:t>SMS:</w:t>
      </w:r>
      <w:r>
        <w:rPr>
          <w:outline w:val="false"/>
          <w:color w:val="1F1F1F"/>
          <w:u w:val="none" w:color="1F1F1F"/>
          <w:lang w:val="en-US"/>
        </w:rPr>
        <w:t xml:space="preserve"> Yes (Critical for low-bandwidth notifications)</w:t>
      </w:r>
    </w:p>
    <w:p>
      <w:pPr>
        <w:pStyle w:val="Body"/>
        <w:numPr>
          <w:ilvl w:val="0"/>
          <w:numId w:val="2"/>
        </w:numPr>
        <w:spacing w:lineRule="auto" w:line="276" w:before="0" w:after="0"/>
        <w:ind w:hanging="360" w:left="590" w:right="0"/>
        <w:rPr/>
      </w:pPr>
      <w:r>
        <w:rPr>
          <w:b/>
          <w:bCs/>
          <w:outline w:val="false"/>
          <w:color w:val="1F1F1F"/>
          <w:u w:val="none" w:color="1F1F1F"/>
        </w:rPr>
        <w:t>Email:</w:t>
      </w:r>
      <w:r>
        <w:rPr>
          <w:outline w:val="false"/>
          <w:color w:val="1F1F1F"/>
          <w:u w:val="none" w:color="1F1F1F"/>
          <w:lang w:val="en-US"/>
        </w:rPr>
        <w:t xml:space="preserve"> Yes</w:t>
      </w:r>
    </w:p>
    <w:p>
      <w:pPr>
        <w:pStyle w:val="Body"/>
        <w:numPr>
          <w:ilvl w:val="0"/>
          <w:numId w:val="2"/>
        </w:numPr>
        <w:spacing w:lineRule="auto" w:line="276" w:before="0" w:after="0"/>
        <w:ind w:hanging="360" w:left="590" w:right="0"/>
        <w:rPr>
          <w:lang w:val="it-IT"/>
        </w:rPr>
      </w:pPr>
      <w:r>
        <w:rPr>
          <w:b/>
          <w:bCs/>
          <w:outline w:val="false"/>
          <w:color w:val="1F1F1F"/>
          <w:u w:val="none" w:color="1F1F1F"/>
          <w:lang w:val="it-IT"/>
        </w:rPr>
        <w:t>VHF / Radio:</w:t>
      </w:r>
      <w:r>
        <w:rPr>
          <w:outline w:val="false"/>
          <w:color w:val="1F1F1F"/>
          <w:u w:val="none" w:color="1F1F1F"/>
          <w:lang w:val="en-US"/>
        </w:rPr>
        <w:t xml:space="preserve"> Operational process mapped to manual digital ingestion</w:t>
      </w:r>
    </w:p>
    <w:p>
      <w:pPr>
        <w:pStyle w:val="Body"/>
        <w:numPr>
          <w:ilvl w:val="0"/>
          <w:numId w:val="2"/>
        </w:numPr>
        <w:spacing w:lineRule="auto" w:line="276" w:before="0" w:after="0"/>
        <w:ind w:hanging="360" w:left="590" w:right="0"/>
        <w:rPr>
          <w:lang w:val="it-IT"/>
        </w:rPr>
      </w:pPr>
      <w:r>
        <w:rPr>
          <w:b/>
          <w:bCs/>
          <w:outline w:val="false"/>
          <w:color w:val="1F1F1F"/>
          <w:u w:val="none" w:color="1F1F1F"/>
          <w:lang w:val="it-IT"/>
        </w:rPr>
        <w:t>Native Mobile App:</w:t>
      </w:r>
      <w:r>
        <w:rPr>
          <w:outline w:val="false"/>
          <w:color w:val="1F1F1F"/>
          <w:u w:val="none" w:color="1F1F1F"/>
          <w:lang w:val="en-US"/>
        </w:rPr>
        <w:t xml:space="preserve"> No (Deferred to Phase 2)</w:t>
      </w:r>
    </w:p>
    <w:p>
      <w:pPr>
        <w:pStyle w:val="Body"/>
        <w:numPr>
          <w:ilvl w:val="0"/>
          <w:numId w:val="2"/>
        </w:numPr>
        <w:spacing w:lineRule="auto" w:line="276" w:before="0" w:after="0"/>
        <w:ind w:hanging="360" w:left="590" w:right="0"/>
        <w:rPr>
          <w:lang w:val="en-US"/>
        </w:rPr>
      </w:pPr>
      <w:r>
        <w:rPr>
          <w:b/>
          <w:bCs/>
          <w:outline w:val="false"/>
          <w:color w:val="1F1F1F"/>
          <w:u w:val="none" w:color="1F1F1F"/>
          <w:lang w:val="en-US"/>
        </w:rPr>
        <w:t>WhatsApp / Voice IVR:</w:t>
      </w:r>
      <w:r>
        <w:rPr>
          <w:outline w:val="false"/>
          <w:color w:val="1F1F1F"/>
          <w:u w:val="none" w:color="1F1F1F"/>
          <w:lang w:val="en-US"/>
        </w:rPr>
        <w:t xml:space="preserve"> No (Deferred to Phase 2)</w:t>
      </w:r>
    </w:p>
    <w:p>
      <w:pPr>
        <w:pStyle w:val="Heading2"/>
        <w:spacing w:lineRule="auto" w:line="276" w:before="0" w:after="0"/>
        <w:rPr>
          <w:outline w:val="false"/>
          <w:color w:val="1F1F1F"/>
          <w:u w:val="none" w:color="1F1F1F"/>
        </w:rPr>
      </w:pPr>
      <w:r>
        <w:rPr>
          <w:outline w:val="false"/>
          <w:color w:val="1F1F1F"/>
          <w:u w:val="none" w:color="1F1F1F"/>
          <w:lang w:val="en-US"/>
        </w:rPr>
        <w:t>5. Core MVP Services</w:t>
      </w:r>
    </w:p>
    <w:p>
      <w:pPr>
        <w:pStyle w:val="Body"/>
        <w:spacing w:lineRule="auto" w:line="276"/>
        <w:rPr>
          <w:outline w:val="false"/>
          <w:color w:val="1F1F1F"/>
          <w:u w:val="none" w:color="1F1F1F"/>
        </w:rPr>
      </w:pPr>
      <w:r>
        <w:rPr>
          <w:outline w:val="false"/>
          <w:color w:val="1F1F1F"/>
          <w:u w:val="none" w:color="1F1F1F"/>
          <w:lang w:val="en-US"/>
        </w:rPr>
        <w:t>The MVP utilizes a modular application architecture with strictly bounded contexts rather than a fragmented microservices sprawl:</w:t>
      </w:r>
    </w:p>
    <w:p>
      <w:pPr>
        <w:pStyle w:val="Body"/>
        <w:numPr>
          <w:ilvl w:val="0"/>
          <w:numId w:val="3"/>
        </w:numPr>
        <w:spacing w:lineRule="auto" w:line="276" w:before="0" w:after="0"/>
        <w:ind w:hanging="360" w:left="590" w:right="0"/>
        <w:rPr>
          <w:lang w:val="en-US"/>
        </w:rPr>
      </w:pPr>
      <w:r>
        <w:rPr>
          <w:outline w:val="false"/>
          <w:color w:val="1F1F1F"/>
          <w:u w:val="none" w:color="1F1F1F"/>
          <w:lang w:val="en-US"/>
        </w:rPr>
        <w:t>Identity &amp; Access</w:t>
      </w:r>
    </w:p>
    <w:p>
      <w:pPr>
        <w:pStyle w:val="Body"/>
        <w:numPr>
          <w:ilvl w:val="0"/>
          <w:numId w:val="3"/>
        </w:numPr>
        <w:spacing w:lineRule="auto" w:line="276" w:before="0" w:after="0"/>
        <w:ind w:hanging="360" w:left="590" w:right="0"/>
        <w:rPr>
          <w:lang w:val="en-US"/>
        </w:rPr>
      </w:pPr>
      <w:r>
        <w:rPr>
          <w:outline w:val="false"/>
          <w:color w:val="1F1F1F"/>
          <w:u w:val="none" w:color="1F1F1F"/>
          <w:lang w:val="en-US"/>
        </w:rPr>
        <w:t>Case Management</w:t>
      </w:r>
    </w:p>
    <w:p>
      <w:pPr>
        <w:pStyle w:val="Body"/>
        <w:numPr>
          <w:ilvl w:val="0"/>
          <w:numId w:val="3"/>
        </w:numPr>
        <w:spacing w:lineRule="auto" w:line="276" w:before="0" w:after="0"/>
        <w:ind w:hanging="360" w:left="590" w:right="0"/>
        <w:rPr>
          <w:lang w:val="en-US"/>
        </w:rPr>
      </w:pPr>
      <w:r>
        <w:rPr>
          <w:outline w:val="false"/>
          <w:color w:val="1F1F1F"/>
          <w:u w:val="none" w:color="1F1F1F"/>
          <w:lang w:val="en-US"/>
        </w:rPr>
        <w:t>Person &amp; Family</w:t>
      </w:r>
    </w:p>
    <w:p>
      <w:pPr>
        <w:pStyle w:val="Body"/>
        <w:numPr>
          <w:ilvl w:val="0"/>
          <w:numId w:val="3"/>
        </w:numPr>
        <w:spacing w:lineRule="auto" w:line="276" w:before="0" w:after="0"/>
        <w:ind w:hanging="360" w:left="590" w:right="0"/>
        <w:rPr>
          <w:lang w:val="en-US"/>
        </w:rPr>
      </w:pPr>
      <w:r>
        <w:rPr>
          <w:outline w:val="false"/>
          <w:color w:val="1F1F1F"/>
          <w:u w:val="none" w:color="1F1F1F"/>
          <w:lang w:val="en-US"/>
        </w:rPr>
        <w:t>Safety Declaration &amp; Missing Person</w:t>
      </w:r>
    </w:p>
    <w:p>
      <w:pPr>
        <w:pStyle w:val="Body"/>
        <w:numPr>
          <w:ilvl w:val="0"/>
          <w:numId w:val="3"/>
        </w:numPr>
        <w:spacing w:lineRule="auto" w:line="276" w:before="0" w:after="0"/>
        <w:ind w:hanging="360" w:left="590" w:right="0"/>
        <w:rPr>
          <w:lang w:val="en-US"/>
        </w:rPr>
      </w:pPr>
      <w:r>
        <w:rPr>
          <w:outline w:val="false"/>
          <w:color w:val="1F1F1F"/>
          <w:u w:val="none" w:color="1F1F1F"/>
          <w:lang w:val="en-US"/>
        </w:rPr>
        <w:t>Assistance &amp; Agency Coordination</w:t>
      </w:r>
    </w:p>
    <w:p>
      <w:pPr>
        <w:pStyle w:val="Body"/>
        <w:numPr>
          <w:ilvl w:val="0"/>
          <w:numId w:val="3"/>
        </w:numPr>
        <w:spacing w:lineRule="auto" w:line="276" w:before="0" w:after="0"/>
        <w:ind w:hanging="360" w:left="590" w:right="0"/>
        <w:rPr>
          <w:lang w:val="fr-FR"/>
        </w:rPr>
      </w:pPr>
      <w:r>
        <w:rPr>
          <w:outline w:val="false"/>
          <w:color w:val="1F1F1F"/>
          <w:u w:val="none" w:color="1F1F1F"/>
          <w:lang w:val="fr-FR"/>
        </w:rPr>
        <w:t>Information &amp; Rumour Management</w:t>
      </w:r>
    </w:p>
    <w:p>
      <w:pPr>
        <w:pStyle w:val="Body"/>
        <w:numPr>
          <w:ilvl w:val="0"/>
          <w:numId w:val="3"/>
        </w:numPr>
        <w:spacing w:lineRule="auto" w:line="276" w:before="0" w:after="0"/>
        <w:ind w:hanging="360" w:left="590" w:right="0"/>
        <w:rPr>
          <w:lang w:val="en-US"/>
        </w:rPr>
      </w:pPr>
      <w:r>
        <w:rPr>
          <w:outline w:val="false"/>
          <w:color w:val="1F1F1F"/>
          <w:u w:val="none" w:color="1F1F1F"/>
          <w:lang w:val="en-US"/>
        </w:rPr>
        <w:t>Notification &amp; Audit</w:t>
      </w:r>
    </w:p>
    <w:p>
      <w:pPr>
        <w:pStyle w:val="Body"/>
        <w:numPr>
          <w:ilvl w:val="0"/>
          <w:numId w:val="3"/>
        </w:numPr>
        <w:spacing w:lineRule="auto" w:line="276" w:before="0" w:after="0"/>
        <w:ind w:hanging="360" w:left="590" w:right="0"/>
        <w:rPr>
          <w:lang w:val="en-US"/>
        </w:rPr>
      </w:pPr>
      <w:r>
        <w:rPr>
          <w:outline w:val="false"/>
          <w:color w:val="1F1F1F"/>
          <w:u w:val="none" w:color="1F1F1F"/>
          <w:lang w:val="en-US"/>
        </w:rPr>
        <w:t>Search &amp; Matching</w:t>
      </w:r>
    </w:p>
    <w:p>
      <w:pPr>
        <w:pStyle w:val="Body"/>
        <w:numPr>
          <w:ilvl w:val="0"/>
          <w:numId w:val="3"/>
        </w:numPr>
        <w:spacing w:lineRule="auto" w:line="276" w:before="0" w:after="0"/>
        <w:ind w:hanging="360" w:left="590" w:right="0"/>
        <w:rPr>
          <w:lang w:val="en-US"/>
        </w:rPr>
      </w:pPr>
      <w:r>
        <w:rPr>
          <w:outline w:val="false"/>
          <w:color w:val="1F1F1F"/>
          <w:u w:val="none" w:color="1F1F1F"/>
          <w:lang w:val="en-US"/>
        </w:rPr>
        <w:t>Offline Synchronization</w:t>
      </w:r>
    </w:p>
    <w:p>
      <w:pPr>
        <w:pStyle w:val="Heading2"/>
        <w:spacing w:lineRule="auto" w:line="276" w:before="0" w:after="0"/>
        <w:rPr>
          <w:outline w:val="false"/>
          <w:color w:val="1F1F1F"/>
          <w:u w:val="none" w:color="1F1F1F"/>
        </w:rPr>
      </w:pPr>
      <w:r>
        <w:rPr>
          <w:outline w:val="false"/>
          <w:color w:val="1F1F1F"/>
          <w:u w:val="none" w:color="1F1F1F"/>
          <w:lang w:val="en-US"/>
        </w:rPr>
        <w:t>6. Identity Architecture</w:t>
      </w:r>
    </w:p>
    <w:p>
      <w:pPr>
        <w:pStyle w:val="Body"/>
        <w:spacing w:lineRule="auto" w:line="276"/>
        <w:rPr>
          <w:outline w:val="false"/>
          <w:color w:val="1F1F1F"/>
          <w:u w:val="none" w:color="1F1F1F"/>
        </w:rPr>
      </w:pPr>
      <w:r>
        <w:rPr>
          <w:outline w:val="false"/>
          <w:color w:val="1F1F1F"/>
          <w:u w:val="none" w:color="1F1F1F"/>
          <w:lang w:val="en-US"/>
        </w:rPr>
        <w:t>The Identity Provider (IdP) manages three distinct populations, enforcing the escalating Identity Assurance Levels (IAL-0 to IAL-4) established in the security governance baseline:</w:t>
      </w:r>
    </w:p>
    <w:p>
      <w:pPr>
        <w:pStyle w:val="Body"/>
        <w:numPr>
          <w:ilvl w:val="0"/>
          <w:numId w:val="4"/>
        </w:numPr>
        <w:spacing w:lineRule="auto" w:line="276" w:before="0" w:after="0"/>
        <w:ind w:hanging="360" w:left="590" w:right="0"/>
        <w:rPr/>
      </w:pPr>
      <w:r>
        <w:rPr>
          <w:b/>
          <w:bCs/>
          <w:outline w:val="false"/>
          <w:color w:val="1F1F1F"/>
          <w:u w:val="none" w:color="1F1F1F"/>
        </w:rPr>
        <w:t>Public:</w:t>
      </w:r>
      <w:r>
        <w:rPr>
          <w:outline w:val="false"/>
          <w:color w:val="1F1F1F"/>
          <w:u w:val="none" w:color="1F1F1F"/>
          <w:lang w:val="en-US"/>
        </w:rPr>
        <w:t xml:space="preserve"> Anonymous users or basic contact-verified individuals submitting safety declarations or missing reports.</w:t>
      </w:r>
    </w:p>
    <w:p>
      <w:pPr>
        <w:pStyle w:val="Body"/>
        <w:numPr>
          <w:ilvl w:val="0"/>
          <w:numId w:val="4"/>
        </w:numPr>
        <w:spacing w:lineRule="auto" w:line="276" w:before="0" w:after="0"/>
        <w:ind w:hanging="360" w:left="590" w:right="0"/>
        <w:rPr>
          <w:lang w:val="en-US"/>
        </w:rPr>
      </w:pPr>
      <w:r>
        <w:rPr>
          <w:b/>
          <w:bCs/>
          <w:outline w:val="false"/>
          <w:color w:val="1F1F1F"/>
          <w:u w:val="none" w:color="1F1F1F"/>
          <w:lang w:val="en-US"/>
        </w:rPr>
        <w:t>Authenticated Family/Proxy:</w:t>
      </w:r>
      <w:r>
        <w:rPr>
          <w:outline w:val="false"/>
          <w:color w:val="1F1F1F"/>
          <w:u w:val="none" w:color="1F1F1F"/>
          <w:lang w:val="en-US"/>
        </w:rPr>
        <w:t xml:space="preserve"> Relatives tracking authorized cases and receiving notifications.</w:t>
      </w:r>
    </w:p>
    <w:p>
      <w:pPr>
        <w:pStyle w:val="Body"/>
        <w:numPr>
          <w:ilvl w:val="0"/>
          <w:numId w:val="4"/>
        </w:numPr>
        <w:spacing w:lineRule="auto" w:line="276" w:before="0" w:after="0"/>
        <w:ind w:hanging="360" w:left="590" w:right="0"/>
        <w:rPr>
          <w:lang w:val="en-US"/>
        </w:rPr>
      </w:pPr>
      <w:r>
        <w:rPr>
          <w:b/>
          <w:bCs/>
          <w:outline w:val="false"/>
          <w:color w:val="1F1F1F"/>
          <w:u w:val="none" w:color="1F1F1F"/>
          <w:lang w:val="en-US"/>
        </w:rPr>
        <w:t>Verified Organisations:</w:t>
      </w:r>
      <w:r>
        <w:rPr>
          <w:outline w:val="false"/>
          <w:color w:val="1F1F1F"/>
          <w:u w:val="none" w:color="1F1F1F"/>
          <w:lang w:val="en-US"/>
        </w:rPr>
        <w:t xml:space="preserve"> Police, hospitals, embassies, and authorized humanitarian organizations requiring multi-factor, organizationally bound credentials.</w:t>
      </w:r>
    </w:p>
    <w:p>
      <w:pPr>
        <w:pStyle w:val="Heading2"/>
        <w:spacing w:lineRule="auto" w:line="276" w:before="0" w:after="0"/>
        <w:rPr>
          <w:outline w:val="false"/>
          <w:color w:val="1F1F1F"/>
          <w:u w:val="none" w:color="1F1F1F"/>
        </w:rPr>
      </w:pPr>
      <w:r>
        <w:rPr>
          <w:outline w:val="false"/>
          <w:color w:val="1F1F1F"/>
          <w:u w:val="none" w:color="1F1F1F"/>
          <w:lang w:val="en-US"/>
        </w:rPr>
        <w:t>7. Authorisation Architecture</w:t>
      </w:r>
    </w:p>
    <w:p>
      <w:pPr>
        <w:pStyle w:val="Body"/>
        <w:spacing w:lineRule="auto" w:line="276"/>
        <w:rPr>
          <w:outline w:val="false"/>
          <w:color w:val="1F1F1F"/>
          <w:u w:val="none" w:color="1F1F1F"/>
        </w:rPr>
      </w:pPr>
      <w:r>
        <w:rPr>
          <w:outline w:val="false"/>
          <w:color w:val="1F1F1F"/>
          <w:u w:val="none" w:color="1F1F1F"/>
          <w:lang w:val="en-US"/>
        </w:rPr>
        <w:t>Role-Based Access Control (RBAC) is insufficient for disaster privacy. The API Gateway and Application Layer must implement Attribute-Based Access Control (ABAC). Access requests evaluate:</w:t>
      </w:r>
    </w:p>
    <w:p>
      <w:pPr>
        <w:pStyle w:val="Body"/>
        <w:spacing w:lineRule="auto" w:line="276"/>
        <w:rPr>
          <w:outline w:val="false"/>
          <w:color w:val="1F1F1F"/>
          <w:u w:val="none" w:color="1F1F1F"/>
        </w:rPr>
      </w:pPr>
      <w:r>
        <w:rPr>
          <w:b/>
          <w:bCs/>
          <w:outline w:val="false"/>
          <w:color w:val="1F1F1F"/>
          <w:u w:val="none" w:color="1F1F1F"/>
          <w:lang w:val="en-US"/>
        </w:rPr>
        <w:t>Actor Identity</w:t>
      </w:r>
      <w:r>
        <w:rPr>
          <w:outline w:val="false"/>
          <w:color w:val="1F1F1F"/>
          <w:u w:val="none" w:color="1F1F1F"/>
        </w:rPr>
        <w:t xml:space="preserve"> + </w:t>
      </w:r>
      <w:r>
        <w:rPr>
          <w:b/>
          <w:bCs/>
          <w:outline w:val="false"/>
          <w:color w:val="1F1F1F"/>
          <w:u w:val="none" w:color="1F1F1F"/>
          <w:lang w:val="en-US"/>
        </w:rPr>
        <w:t>Organization</w:t>
      </w:r>
      <w:r>
        <w:rPr>
          <w:outline w:val="false"/>
          <w:color w:val="1F1F1F"/>
          <w:u w:val="none" w:color="1F1F1F"/>
        </w:rPr>
        <w:t xml:space="preserve"> + </w:t>
      </w:r>
      <w:r>
        <w:rPr>
          <w:b/>
          <w:bCs/>
          <w:outline w:val="false"/>
          <w:color w:val="1F1F1F"/>
          <w:u w:val="none" w:color="1F1F1F"/>
        </w:rPr>
        <w:t>Role</w:t>
      </w:r>
      <w:r>
        <w:rPr>
          <w:outline w:val="false"/>
          <w:color w:val="1F1F1F"/>
          <w:u w:val="none" w:color="1F1F1F"/>
        </w:rPr>
        <w:t xml:space="preserve"> + </w:t>
      </w:r>
      <w:r>
        <w:rPr>
          <w:b/>
          <w:bCs/>
          <w:outline w:val="false"/>
          <w:color w:val="1F1F1F"/>
          <w:u w:val="none" w:color="1F1F1F"/>
          <w:lang w:val="en-US"/>
        </w:rPr>
        <w:t>Assurance Level</w:t>
      </w:r>
      <w:r>
        <w:rPr>
          <w:outline w:val="false"/>
          <w:color w:val="1F1F1F"/>
          <w:u w:val="none" w:color="1F1F1F"/>
        </w:rPr>
        <w:t xml:space="preserve"> + </w:t>
      </w:r>
      <w:r>
        <w:rPr>
          <w:b/>
          <w:bCs/>
          <w:outline w:val="false"/>
          <w:color w:val="1F1F1F"/>
          <w:u w:val="none" w:color="1F1F1F"/>
          <w:lang w:val="en-US"/>
        </w:rPr>
        <w:t>Case Relationship</w:t>
      </w:r>
      <w:r>
        <w:rPr>
          <w:outline w:val="false"/>
          <w:color w:val="1F1F1F"/>
          <w:u w:val="none" w:color="1F1F1F"/>
        </w:rPr>
        <w:t xml:space="preserve"> + </w:t>
      </w:r>
      <w:r>
        <w:rPr>
          <w:b/>
          <w:bCs/>
          <w:outline w:val="false"/>
          <w:color w:val="1F1F1F"/>
          <w:u w:val="none" w:color="1F1F1F"/>
          <w:lang w:val="en-US"/>
        </w:rPr>
        <w:t>Access Purpose</w:t>
      </w:r>
      <w:r>
        <w:rPr>
          <w:outline w:val="false"/>
          <w:color w:val="1F1F1F"/>
          <w:u w:val="none" w:color="1F1F1F"/>
        </w:rPr>
        <w:t xml:space="preserve"> + </w:t>
      </w:r>
      <w:r>
        <w:rPr>
          <w:b/>
          <w:bCs/>
          <w:outline w:val="false"/>
          <w:color w:val="1F1F1F"/>
          <w:u w:val="none" w:color="1F1F1F"/>
          <w:lang w:val="it-IT"/>
        </w:rPr>
        <w:t>Data Classification</w:t>
      </w:r>
      <w:r>
        <w:rPr>
          <w:outline w:val="false"/>
          <w:color w:val="1F1F1F"/>
          <w:u w:val="none" w:color="1F1F1F"/>
        </w:rPr>
        <w:t xml:space="preserve"> + </w:t>
      </w:r>
      <w:r>
        <w:rPr>
          <w:b/>
          <w:bCs/>
          <w:outline w:val="false"/>
          <w:color w:val="1F1F1F"/>
          <w:u w:val="none" w:color="1F1F1F"/>
          <w:lang w:val="en-US"/>
        </w:rPr>
        <w:t>Geographic Restrictions</w:t>
      </w:r>
      <w:r>
        <w:rPr>
          <w:outline w:val="false"/>
          <w:color w:val="1F1F1F"/>
          <w:u w:val="none" w:color="1F1F1F"/>
        </w:rPr>
        <w:t xml:space="preserve"> + </w:t>
      </w:r>
      <w:r>
        <w:rPr>
          <w:b/>
          <w:bCs/>
          <w:outline w:val="false"/>
          <w:color w:val="1F1F1F"/>
          <w:u w:val="none" w:color="1F1F1F"/>
          <w:lang w:val="en-US"/>
        </w:rPr>
        <w:t>Active Disputes/Holds</w:t>
      </w:r>
      <w:r>
        <w:rPr>
          <w:outline w:val="false"/>
          <w:color w:val="1F1F1F"/>
          <w:u w:val="none" w:color="1F1F1F"/>
        </w:rPr>
        <w:t>.</w:t>
      </w:r>
    </w:p>
    <w:p>
      <w:pPr>
        <w:pStyle w:val="Body"/>
        <w:spacing w:lineRule="auto" w:line="276"/>
        <w:rPr>
          <w:outline w:val="false"/>
          <w:color w:val="1F1F1F"/>
          <w:u w:val="none" w:color="1F1F1F"/>
        </w:rPr>
      </w:pPr>
      <w:r>
        <w:rPr>
          <w:outline w:val="false"/>
          <w:color w:val="1F1F1F"/>
          <w:u w:val="none" w:color="1F1F1F"/>
          <w:lang w:val="en-US"/>
        </w:rPr>
        <w:t>Only upon successful evaluation of this matrix does the system grant ALLOW, DENY, or LIMITED DISCLOSURE.</w:t>
      </w:r>
    </w:p>
    <w:p>
      <w:pPr>
        <w:pStyle w:val="Heading2"/>
        <w:spacing w:lineRule="auto" w:line="276" w:before="0" w:after="0"/>
        <w:rPr>
          <w:outline w:val="false"/>
          <w:color w:val="1F1F1F"/>
          <w:u w:val="none" w:color="1F1F1F"/>
        </w:rPr>
      </w:pPr>
      <w:r>
        <w:rPr>
          <w:outline w:val="false"/>
          <w:color w:val="1F1F1F"/>
          <w:u w:val="none" w:color="1F1F1F"/>
          <w:lang w:val="en-US"/>
        </w:rPr>
        <w:t>8. Data Architecture</w:t>
      </w:r>
    </w:p>
    <w:p>
      <w:pPr>
        <w:pStyle w:val="Body"/>
        <w:spacing w:lineRule="auto" w:line="276"/>
        <w:rPr>
          <w:outline w:val="false"/>
          <w:color w:val="1F1F1F"/>
          <w:u w:val="none" w:color="1F1F1F"/>
        </w:rPr>
      </w:pPr>
      <w:r>
        <w:rPr>
          <w:outline w:val="false"/>
          <w:color w:val="1F1F1F"/>
          <w:u w:val="none" w:color="1F1F1F"/>
          <w:lang w:val="en-US"/>
        </w:rPr>
        <w:t>The domain is highly relational, requiring strict transactional integrity.</w:t>
      </w:r>
    </w:p>
    <w:p>
      <w:pPr>
        <w:pStyle w:val="Body"/>
        <w:numPr>
          <w:ilvl w:val="0"/>
          <w:numId w:val="5"/>
        </w:numPr>
        <w:spacing w:lineRule="auto" w:line="276" w:before="0" w:after="0"/>
        <w:ind w:hanging="360" w:left="590" w:right="0"/>
        <w:rPr>
          <w:lang w:val="en-US"/>
        </w:rPr>
      </w:pPr>
      <w:r>
        <w:rPr>
          <w:b/>
          <w:bCs/>
          <w:outline w:val="false"/>
          <w:color w:val="1F1F1F"/>
          <w:u w:val="none" w:color="1F1F1F"/>
          <w:lang w:val="en-US"/>
        </w:rPr>
        <w:t>Primary Store:</w:t>
      </w:r>
      <w:r>
        <w:rPr>
          <w:outline w:val="false"/>
          <w:color w:val="1F1F1F"/>
          <w:u w:val="none" w:color="1F1F1F"/>
          <w:lang w:val="en-US"/>
        </w:rPr>
        <w:t xml:space="preserve"> A relational SQL database (e.g., PostgreSQL) serves as the authoritative transactional store for Person, Case, FamilyAuthorisation, SafeguardingHandover, and AuditEvent entities.</w:t>
      </w:r>
    </w:p>
    <w:p>
      <w:pPr>
        <w:pStyle w:val="Body"/>
        <w:numPr>
          <w:ilvl w:val="0"/>
          <w:numId w:val="5"/>
        </w:numPr>
        <w:spacing w:lineRule="auto" w:line="276" w:before="0" w:after="0"/>
        <w:ind w:hanging="360" w:left="590" w:right="0"/>
        <w:rPr>
          <w:lang w:val="en-US"/>
        </w:rPr>
      </w:pPr>
      <w:r>
        <w:rPr>
          <w:b/>
          <w:bCs/>
          <w:outline w:val="false"/>
          <w:color w:val="1F1F1F"/>
          <w:u w:val="none" w:color="1F1F1F"/>
          <w:lang w:val="en-US"/>
        </w:rPr>
        <w:t>Search Engine:</w:t>
      </w:r>
      <w:r>
        <w:rPr>
          <w:outline w:val="false"/>
          <w:color w:val="1F1F1F"/>
          <w:u w:val="none" w:color="1F1F1F"/>
          <w:lang w:val="en-US"/>
        </w:rPr>
        <w:t xml:space="preserve"> A separate, eventually consistent search index is utilized for aliases, approximate matching, physical descriptors, and locations. The search index must never be treated as the authoritative database.</w:t>
      </w:r>
    </w:p>
    <w:p>
      <w:pPr>
        <w:pStyle w:val="Heading2"/>
        <w:spacing w:lineRule="auto" w:line="276" w:before="0" w:after="0"/>
        <w:rPr>
          <w:outline w:val="false"/>
          <w:color w:val="1F1F1F"/>
          <w:u w:val="none" w:color="1F1F1F"/>
        </w:rPr>
      </w:pPr>
      <w:r>
        <w:rPr>
          <w:outline w:val="false"/>
          <w:color w:val="1F1F1F"/>
          <w:u w:val="none" w:color="1F1F1F"/>
          <w:lang w:val="en-US"/>
        </w:rPr>
        <w:t>9. AI / Matching Architecture</w:t>
      </w:r>
    </w:p>
    <w:p>
      <w:pPr>
        <w:pStyle w:val="Body"/>
        <w:spacing w:lineRule="auto" w:line="276"/>
        <w:rPr>
          <w:outline w:val="false"/>
          <w:color w:val="1F1F1F"/>
          <w:u w:val="none" w:color="1F1F1F"/>
        </w:rPr>
      </w:pPr>
      <w:r>
        <w:rPr>
          <w:outline w:val="false"/>
          <w:color w:val="1F1F1F"/>
          <w:u w:val="none" w:color="1F1F1F"/>
          <w:lang w:val="en-US"/>
        </w:rPr>
        <w:t xml:space="preserve">AI services operate behind a strict security boundary. </w:t>
      </w:r>
      <w:r>
        <w:rPr>
          <w:rFonts w:ascii="Arial Unicode MS" w:hAnsi="Arial Unicode MS"/>
          <w:outline w:val="false"/>
          <w:color w:val="1F1F1F"/>
          <w:u w:val="none" w:color="1F1F1F"/>
          <w:lang w:val="en-US"/>
        </w:rPr>
        <w:t xml:space="preserve">Authoritative Data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Matching Service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PotentialMatch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Human Review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Confirmed/Rejected</w:t>
      </w:r>
      <w:r>
        <w:rPr>
          <w:outline w:val="false"/>
          <w:color w:val="1F1F1F"/>
          <w:u w:val="none" w:color="1F1F1F"/>
          <w:lang w:val="en-US"/>
        </w:rPr>
        <w:t>. The system technologically prohibits AI from confirming identities, declaring deaths, closing missing-person cases, or authorizing family access.</w:t>
      </w:r>
    </w:p>
    <w:p>
      <w:pPr>
        <w:pStyle w:val="Heading2"/>
        <w:spacing w:lineRule="auto" w:line="276" w:before="0" w:after="0"/>
        <w:rPr>
          <w:outline w:val="false"/>
          <w:color w:val="1F1F1F"/>
          <w:u w:val="none" w:color="1F1F1F"/>
        </w:rPr>
      </w:pPr>
      <w:r>
        <w:rPr>
          <w:outline w:val="false"/>
          <w:color w:val="1F1F1F"/>
          <w:u w:val="none" w:color="1F1F1F"/>
          <w:lang w:val="en-US"/>
        </w:rPr>
        <w:t>10. Event Architecture</w:t>
      </w:r>
    </w:p>
    <w:p>
      <w:pPr>
        <w:pStyle w:val="Body"/>
        <w:spacing w:lineRule="auto" w:line="276"/>
        <w:rPr>
          <w:outline w:val="false"/>
          <w:color w:val="1F1F1F"/>
          <w:u w:val="none" w:color="1F1F1F"/>
        </w:rPr>
      </w:pPr>
      <w:r>
        <w:rPr>
          <w:outline w:val="false"/>
          <w:color w:val="1F1F1F"/>
          <w:u w:val="none" w:color="1F1F1F"/>
          <w:lang w:val="en-US"/>
        </w:rPr>
        <w:t>The system utilizes an asynchronous event bus/queue (e.g., Kafka or RabbitMQ) utilizing the CloudEvents v1.0 specification. Core events include SafetyDeclarationSubmitted, PotentialMatchDetected, and AuthorisationDisputed. The bus guarantees asynchronous processing, idempotency, and retry capabilities for integrations and notifications.</w:t>
      </w:r>
    </w:p>
    <w:p>
      <w:pPr>
        <w:pStyle w:val="Heading2"/>
        <w:spacing w:lineRule="auto" w:line="276" w:before="0" w:after="0"/>
        <w:rPr>
          <w:outline w:val="false"/>
          <w:color w:val="1F1F1F"/>
          <w:u w:val="none" w:color="1F1F1F"/>
        </w:rPr>
      </w:pPr>
      <w:r>
        <w:rPr>
          <w:outline w:val="false"/>
          <w:color w:val="1F1F1F"/>
          <w:u w:val="none" w:color="1F1F1F"/>
          <w:lang w:val="en-US"/>
        </w:rPr>
        <w:t>11. Offline Architecture</w:t>
      </w:r>
    </w:p>
    <w:p>
      <w:pPr>
        <w:pStyle w:val="Body"/>
        <w:spacing w:lineRule="auto" w:line="276"/>
        <w:rPr>
          <w:outline w:val="false"/>
          <w:color w:val="1F1F1F"/>
          <w:u w:val="none" w:color="1F1F1F"/>
        </w:rPr>
      </w:pPr>
      <w:r>
        <w:rPr>
          <w:outline w:val="false"/>
          <w:color w:val="1F1F1F"/>
          <w:u w:val="none" w:color="1F1F1F"/>
          <w:lang w:val="en-US"/>
        </w:rPr>
        <w:t xml:space="preserve">Offline capability is a first-class requirement for field workers operating in disconnected mountain regions or damaged infrastructure zones. </w:t>
      </w:r>
      <w:r>
        <w:rPr>
          <w:rFonts w:ascii="Arial Unicode MS" w:hAnsi="Arial Unicode MS"/>
          <w:outline w:val="false"/>
          <w:color w:val="1F1F1F"/>
          <w:u w:val="none" w:color="1F1F1F"/>
          <w:lang w:val="de-DE"/>
        </w:rPr>
        <w:t xml:space="preserve">Online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Local Encrypted Queue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Network Failure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Continued Operation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Connectivity Restored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Synchronization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Idempotency Check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Conflict Resolution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Authoritative Update.</w:t>
      </w:r>
      <w:r>
        <w:rPr>
          <w:outline w:val="false"/>
          <w:color w:val="1F1F1F"/>
          <w:u w:val="none" w:color="1F1F1F"/>
          <w:lang w:val="en-US"/>
        </w:rPr>
        <w:t xml:space="preserve"> All state-altering payloads must carry a UUID Idempotency-Key to prevent duplicate record generation upon reconnection.</w:t>
      </w:r>
    </w:p>
    <w:p>
      <w:pPr>
        <w:pStyle w:val="Heading2"/>
        <w:spacing w:lineRule="auto" w:line="276" w:before="0" w:after="0"/>
        <w:rPr>
          <w:outline w:val="false"/>
          <w:color w:val="1F1F1F"/>
          <w:u w:val="none" w:color="1F1F1F"/>
        </w:rPr>
      </w:pPr>
      <w:r>
        <w:rPr>
          <w:outline w:val="false"/>
          <w:color w:val="1F1F1F"/>
          <w:u w:val="none" w:color="1F1F1F"/>
          <w:lang w:val="en-US"/>
        </w:rPr>
        <w:t>12. Notification Architecture</w:t>
      </w:r>
    </w:p>
    <w:p>
      <w:pPr>
        <w:pStyle w:val="Body"/>
        <w:spacing w:lineRule="auto" w:line="276"/>
        <w:rPr>
          <w:outline w:val="false"/>
          <w:color w:val="1F1F1F"/>
          <w:u w:val="none" w:color="1F1F1F"/>
        </w:rPr>
      </w:pPr>
      <w:r>
        <w:rPr>
          <w:outline w:val="false"/>
          <w:color w:val="1F1F1F"/>
          <w:u w:val="none" w:color="1F1F1F"/>
          <w:lang w:val="en-US"/>
        </w:rPr>
        <w:t xml:space="preserve">Notifications execute via an event-driven pipeline: </w:t>
      </w:r>
      <w:r>
        <w:rPr>
          <w:rFonts w:ascii="Arial Unicode MS" w:hAnsi="Arial Unicode MS"/>
          <w:outline w:val="false"/>
          <w:color w:val="1F1F1F"/>
          <w:u w:val="none" w:color="1F1F1F"/>
          <w:lang w:val="en-US"/>
        </w:rPr>
        <w:t xml:space="preserve">Case Event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Notification Policy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Recipient Eligibility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Data Minimization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Channel Selection (SMS/Email)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Delivery Status.</w:t>
      </w:r>
      <w:r>
        <w:rPr>
          <w:outline w:val="false"/>
          <w:color w:val="1F1F1F"/>
          <w:u w:val="none" w:color="1F1F1F"/>
        </w:rPr>
        <w:t xml:space="preserve"> </w:t>
      </w:r>
      <w:r>
        <w:rPr>
          <w:i/>
          <w:iCs/>
          <w:outline w:val="false"/>
          <w:color w:val="1F1F1F"/>
          <w:u w:val="none" w:color="1F1F1F"/>
          <w:lang w:val="en-US"/>
        </w:rPr>
        <w:t>Crucial Security Rule:</w:t>
      </w:r>
      <w:r>
        <w:rPr>
          <w:outline w:val="false"/>
          <w:color w:val="1F1F1F"/>
          <w:u w:val="none" w:color="1F1F1F"/>
          <w:lang w:val="en-US"/>
        </w:rPr>
        <w:t xml:space="preserve"> Sensitive medical, forensic, or safeguarding data must not be transmitted in plain text via SMS simply because the recipient is authorized. Notifications must serve as secure prompts (e.g., "An important update is available on your dashboard").</w:t>
      </w:r>
    </w:p>
    <w:p>
      <w:pPr>
        <w:pStyle w:val="Heading2"/>
        <w:spacing w:lineRule="auto" w:line="276" w:before="0" w:after="0"/>
        <w:rPr>
          <w:outline w:val="false"/>
          <w:color w:val="1F1F1F"/>
          <w:u w:val="none" w:color="1F1F1F"/>
        </w:rPr>
      </w:pPr>
      <w:r>
        <w:rPr>
          <w:outline w:val="false"/>
          <w:color w:val="1F1F1F"/>
          <w:u w:val="none" w:color="1F1F1F"/>
          <w:lang w:val="en-US"/>
        </w:rPr>
        <w:t>13. Security Architecture</w:t>
      </w:r>
    </w:p>
    <w:p>
      <w:pPr>
        <w:pStyle w:val="Body"/>
        <w:spacing w:lineRule="auto" w:line="276"/>
        <w:rPr>
          <w:outline w:val="false"/>
          <w:color w:val="1F1F1F"/>
          <w:u w:val="none" w:color="1F1F1F"/>
        </w:rPr>
      </w:pPr>
      <w:r>
        <w:rPr>
          <w:outline w:val="false"/>
          <w:color w:val="1F1F1F"/>
          <w:u w:val="none" w:color="1F1F1F"/>
          <w:lang w:val="en-US"/>
        </w:rPr>
        <w:t>The MVP relies on managed cloud security services to accelerate deployment:</w:t>
      </w:r>
    </w:p>
    <w:p>
      <w:pPr>
        <w:pStyle w:val="Body"/>
        <w:numPr>
          <w:ilvl w:val="0"/>
          <w:numId w:val="6"/>
        </w:numPr>
        <w:spacing w:lineRule="auto" w:line="276" w:before="0" w:after="0"/>
        <w:ind w:hanging="360" w:left="590" w:right="0"/>
        <w:rPr>
          <w:lang w:val="en-US"/>
        </w:rPr>
      </w:pPr>
      <w:r>
        <w:rPr>
          <w:outline w:val="false"/>
          <w:color w:val="1F1F1F"/>
          <w:u w:val="none" w:color="1F1F1F"/>
          <w:lang w:val="en-US"/>
        </w:rPr>
        <w:t>TLS encryption in transit and AES-256 encryption at rest.</w:t>
      </w:r>
    </w:p>
    <w:p>
      <w:pPr>
        <w:pStyle w:val="Body"/>
        <w:numPr>
          <w:ilvl w:val="0"/>
          <w:numId w:val="6"/>
        </w:numPr>
        <w:spacing w:lineRule="auto" w:line="276" w:before="0" w:after="0"/>
        <w:ind w:hanging="360" w:left="590" w:right="0"/>
        <w:rPr>
          <w:lang w:val="en-US"/>
        </w:rPr>
      </w:pPr>
      <w:r>
        <w:rPr>
          <w:outline w:val="false"/>
          <w:color w:val="1F1F1F"/>
          <w:u w:val="none" w:color="1F1F1F"/>
          <w:lang w:val="en-US"/>
        </w:rPr>
        <w:t>Web Application Firewall (WAF) and DDoS protection at the edge.</w:t>
      </w:r>
    </w:p>
    <w:p>
      <w:pPr>
        <w:pStyle w:val="Body"/>
        <w:numPr>
          <w:ilvl w:val="0"/>
          <w:numId w:val="6"/>
        </w:numPr>
        <w:spacing w:lineRule="auto" w:line="276" w:before="0" w:after="0"/>
        <w:ind w:hanging="360" w:left="590" w:right="0"/>
        <w:rPr>
          <w:lang w:val="en-US"/>
        </w:rPr>
      </w:pPr>
      <w:r>
        <w:rPr>
          <w:outline w:val="false"/>
          <w:color w:val="1F1F1F"/>
          <w:u w:val="none" w:color="1F1F1F"/>
          <w:lang w:val="en-US"/>
        </w:rPr>
        <w:t>Rate limiting to prevent unauthorized case enumeration.</w:t>
      </w:r>
    </w:p>
    <w:p>
      <w:pPr>
        <w:pStyle w:val="Body"/>
        <w:numPr>
          <w:ilvl w:val="0"/>
          <w:numId w:val="6"/>
        </w:numPr>
        <w:spacing w:lineRule="auto" w:line="276" w:before="0" w:after="0"/>
        <w:ind w:hanging="360" w:left="590" w:right="0"/>
        <w:rPr>
          <w:lang w:val="en-US"/>
        </w:rPr>
      </w:pPr>
      <w:r>
        <w:rPr>
          <w:outline w:val="false"/>
          <w:color w:val="1F1F1F"/>
          <w:u w:val="none" w:color="1F1F1F"/>
          <w:lang w:val="en-US"/>
        </w:rPr>
        <w:t>MFA enforcement for privileged agency users and system administrators.</w:t>
      </w:r>
    </w:p>
    <w:p>
      <w:pPr>
        <w:pStyle w:val="Body"/>
        <w:numPr>
          <w:ilvl w:val="0"/>
          <w:numId w:val="6"/>
        </w:numPr>
        <w:spacing w:lineRule="auto" w:line="276" w:before="0" w:after="0"/>
        <w:ind w:hanging="360" w:left="590" w:right="0"/>
        <w:rPr>
          <w:lang w:val="en-US"/>
        </w:rPr>
      </w:pPr>
      <w:r>
        <w:rPr>
          <w:outline w:val="false"/>
          <w:color w:val="1F1F1F"/>
          <w:u w:val="none" w:color="1F1F1F"/>
          <w:lang w:val="en-US"/>
        </w:rPr>
        <w:t>Immutable, append-only storage for the AuditEvent ledger.</w:t>
      </w:r>
    </w:p>
    <w:p>
      <w:pPr>
        <w:pStyle w:val="Heading2"/>
        <w:spacing w:lineRule="auto" w:line="276" w:before="0" w:after="0"/>
        <w:rPr>
          <w:outline w:val="false"/>
          <w:color w:val="1F1F1F"/>
          <w:u w:val="none" w:color="1F1F1F"/>
        </w:rPr>
      </w:pPr>
      <w:r>
        <w:rPr>
          <w:outline w:val="false"/>
          <w:color w:val="1F1F1F"/>
          <w:u w:val="none" w:color="1F1F1F"/>
          <w:lang w:val="en-US"/>
        </w:rPr>
        <w:t>14. Observability</w:t>
      </w:r>
    </w:p>
    <w:p>
      <w:pPr>
        <w:pStyle w:val="Body"/>
        <w:spacing w:lineRule="auto" w:line="276"/>
        <w:rPr>
          <w:outline w:val="false"/>
          <w:color w:val="1F1F1F"/>
          <w:u w:val="none" w:color="1F1F1F"/>
        </w:rPr>
      </w:pPr>
      <w:r>
        <w:rPr>
          <w:outline w:val="false"/>
          <w:color w:val="1F1F1F"/>
          <w:u w:val="none" w:color="1F1F1F"/>
          <w:lang w:val="en-US"/>
        </w:rPr>
        <w:t>Telemetry is partitioned into three distinct operational views:</w:t>
      </w:r>
    </w:p>
    <w:p>
      <w:pPr>
        <w:pStyle w:val="Body"/>
        <w:numPr>
          <w:ilvl w:val="0"/>
          <w:numId w:val="7"/>
        </w:numPr>
        <w:spacing w:lineRule="auto" w:line="276" w:before="0" w:after="0"/>
        <w:ind w:hanging="360" w:left="590" w:right="0"/>
        <w:rPr/>
      </w:pPr>
      <w:r>
        <w:rPr>
          <w:b/>
          <w:bCs/>
          <w:outline w:val="false"/>
          <w:color w:val="1F1F1F"/>
          <w:u w:val="none" w:color="1F1F1F"/>
        </w:rPr>
        <w:t>Platform Telemetry:</w:t>
      </w:r>
      <w:r>
        <w:rPr>
          <w:outline w:val="false"/>
          <w:color w:val="1F1F1F"/>
          <w:u w:val="none" w:color="1F1F1F"/>
          <w:lang w:val="en-US"/>
        </w:rPr>
        <w:t xml:space="preserve"> API health, database metrics, queue depth, and infrastructure uptime.</w:t>
      </w:r>
    </w:p>
    <w:p>
      <w:pPr>
        <w:pStyle w:val="Body"/>
        <w:numPr>
          <w:ilvl w:val="0"/>
          <w:numId w:val="7"/>
        </w:numPr>
        <w:spacing w:lineRule="auto" w:line="276" w:before="0" w:after="0"/>
        <w:ind w:hanging="360" w:left="590" w:right="0"/>
        <w:rPr>
          <w:lang w:val="en-US"/>
        </w:rPr>
      </w:pPr>
      <w:r>
        <w:rPr>
          <w:b/>
          <w:bCs/>
          <w:outline w:val="false"/>
          <w:color w:val="1F1F1F"/>
          <w:u w:val="none" w:color="1F1F1F"/>
          <w:lang w:val="en-US"/>
        </w:rPr>
        <w:t>Operational Telemetry:</w:t>
      </w:r>
      <w:r>
        <w:rPr>
          <w:outline w:val="false"/>
          <w:color w:val="1F1F1F"/>
          <w:u w:val="none" w:color="1F1F1F"/>
          <w:lang w:val="en-US"/>
        </w:rPr>
        <w:t xml:space="preserve"> Volume of missing reports, unresolved cases, assistance requests, and pending verifications.</w:t>
      </w:r>
    </w:p>
    <w:p>
      <w:pPr>
        <w:pStyle w:val="Body"/>
        <w:numPr>
          <w:ilvl w:val="0"/>
          <w:numId w:val="7"/>
        </w:numPr>
        <w:spacing w:lineRule="auto" w:line="276" w:before="0" w:after="0"/>
        <w:ind w:hanging="360" w:left="590" w:right="0"/>
        <w:rPr>
          <w:lang w:val="en-US"/>
        </w:rPr>
      </w:pPr>
      <w:r>
        <w:rPr>
          <w:b/>
          <w:bCs/>
          <w:outline w:val="false"/>
          <w:color w:val="1F1F1F"/>
          <w:u w:val="none" w:color="1F1F1F"/>
          <w:lang w:val="en-US"/>
        </w:rPr>
        <w:t>Security Telemetry:</w:t>
      </w:r>
      <w:r>
        <w:rPr>
          <w:outline w:val="false"/>
          <w:color w:val="1F1F1F"/>
          <w:u w:val="none" w:color="1F1F1F"/>
          <w:lang w:val="en-US"/>
        </w:rPr>
        <w:t xml:space="preserve"> Failed logins, unusual access patterns, break-glass emergency disclosures, and rate-limit triggers.</w:t>
      </w:r>
    </w:p>
    <w:p>
      <w:pPr>
        <w:pStyle w:val="Heading2"/>
        <w:spacing w:lineRule="auto" w:line="276" w:before="0" w:after="0"/>
        <w:rPr>
          <w:outline w:val="false"/>
          <w:color w:val="1F1F1F"/>
          <w:u w:val="none" w:color="1F1F1F"/>
        </w:rPr>
      </w:pPr>
      <w:r>
        <w:rPr>
          <w:outline w:val="false"/>
          <w:color w:val="1F1F1F"/>
          <w:u w:val="none" w:color="1F1F1F"/>
          <w:lang w:val="en-US"/>
        </w:rPr>
        <w:t>15. Deployment Architecture</w:t>
      </w:r>
    </w:p>
    <w:p>
      <w:pPr>
        <w:pStyle w:val="Body"/>
        <w:spacing w:lineRule="auto" w:line="276"/>
        <w:ind w:hanging="0" w:left="480" w:right="0"/>
        <w:rPr>
          <w:outline w:val="false"/>
          <w:color w:val="1F1F1F"/>
          <w:u w:val="none" w:color="1F1F1F"/>
        </w:rPr>
      </w:pPr>
      <w:r>
        <w:rPr>
          <w:outline w:val="false"/>
          <w:color w:val="1F1F1F"/>
          <w:u w:val="none" w:color="1F1F1F"/>
        </w:rPr>
      </w:r>
    </w:p>
    <w:p>
      <w:pPr>
        <w:pStyle w:val="Body"/>
        <w:spacing w:lineRule="auto" w:line="276" w:before="390" w:after="0"/>
        <w:ind w:hanging="0" w:left="480" w:right="0"/>
        <w:rPr>
          <w:outline w:val="false"/>
          <w:color w:val="1F1F1F"/>
          <w:u w:val="none" w:color="1F1F1F"/>
        </w:rPr>
      </w:pPr>
      <w:r>
        <w:rPr>
          <w:outline w:val="false"/>
          <w:color w:val="1F1F1F"/>
          <w:u w:val="none" w:color="1F1F1F"/>
        </w:rPr>
      </w:r>
    </w:p>
    <w:p>
      <w:pPr>
        <w:pStyle w:val="Body"/>
        <w:spacing w:lineRule="auto" w:line="276"/>
        <w:ind w:hanging="0" w:left="480" w:right="165"/>
        <w:rPr>
          <w:outline w:val="false"/>
          <w:color w:val="1F1F1F"/>
          <w:u w:val="none" w:color="1F1F1F"/>
          <w:shd w:fill="000000" w:val="clear"/>
        </w:rPr>
      </w:pPr>
      <w:r>
        <w:rPr>
          <w:outline w:val="false"/>
          <w:color w:val="1F1F1F"/>
          <w:u w:val="none" w:color="1F1F1F"/>
          <w:shd w:fill="000000" w:val="clear"/>
        </w:rPr>
      </w:r>
    </w:p>
    <w:p>
      <w:pPr>
        <w:pStyle w:val="Body"/>
        <w:spacing w:lineRule="auto" w:line="276"/>
        <w:ind w:hanging="0" w:left="480" w:right="165"/>
        <w:rPr>
          <w:outline w:val="false"/>
          <w:color w:val="FFFFFF"/>
          <w:u w:val="none" w:color="FFFFFF"/>
          <w:shd w:fill="000000" w:val="clear"/>
        </w:rPr>
      </w:pPr>
      <w:r>
        <w:rPr>
          <w:outline w:val="false"/>
          <w:color w:val="FFFFFF"/>
          <w:u w:val="none" w:color="FFFFFF"/>
          <w:shd w:fill="000000" w:val="clear"/>
          <w:lang w:val="fr-FR"/>
        </w:rPr>
        <w:t>Plaintext</w:t>
      </w:r>
    </w:p>
    <w:p>
      <w:pPr>
        <w:pStyle w:val="Body"/>
        <w:spacing w:lineRule="auto" w:line="276"/>
        <w:ind w:hanging="0" w:left="480" w:right="0"/>
        <w:rPr>
          <w:outline w:val="false"/>
          <w:color w:val="1F1F1F"/>
          <w:u w:val="none" w:color="1F1F1F"/>
          <w:shd w:fill="141414" w:val="clear"/>
        </w:rPr>
      </w:pPr>
      <w:r>
        <w:rPr>
          <w:outline w:val="false"/>
          <w:color w:val="1F1F1F"/>
          <w:u w:val="none" w:color="1F1F1F"/>
          <w:shd w:fill="FFFFFF" w:val="clear"/>
          <w:lang w:val="da-DK"/>
        </w:rPr>
        <w:t xml:space="preserve"> </w:t>
      </w:r>
      <w:r>
        <w:rPr>
          <w:outline w:val="false"/>
          <w:color w:val="1F1F1F"/>
          <w:u w:val="none" w:color="1F1F1F"/>
          <w:shd w:fill="FFFFFF" w:val="clear"/>
          <w:lang w:val="da-DK"/>
        </w:rPr>
        <w:t>Internet</w:t>
      </w:r>
      <w:r>
        <w:rPr>
          <w:outline w:val="false"/>
          <w:color w:val="1F1F1F"/>
          <w:u w:val="none" w:color="1F1F1F"/>
          <w:shd w:fill="FFFFFF" w:val="clear"/>
        </w:rPr>
        <w:br/>
        <w:t xml:space="preserve">   │</w:t>
        <w:br/>
        <w:t xml:space="preserve"> CDN / WAF</w:t>
        <w:br/>
        <w:t xml:space="preserve">   │</w:t>
        <w:br/>
        <w:t xml:space="preserve"> </w:t>
      </w:r>
      <w:r>
        <w:rPr>
          <w:outline w:val="false"/>
          <w:color w:val="1F1F1F"/>
          <w:u w:val="none" w:color="1F1F1F"/>
          <w:shd w:fill="FFFFFF" w:val="clear"/>
          <w:lang w:val="en-US"/>
        </w:rPr>
        <w:t>API Gateway (Enforcing token validation &amp; idempotency)</w:t>
      </w:r>
      <w:r>
        <w:rPr>
          <w:outline w:val="false"/>
          <w:color w:val="1F1F1F"/>
          <w:u w:val="none" w:color="1F1F1F"/>
          <w:shd w:fill="FFFFFF" w:val="clear"/>
        </w:rPr>
        <w:br/>
        <w:t xml:space="preserve">   │</w:t>
        <w:br/>
        <w:t xml:space="preserve"> </w:t>
      </w:r>
      <w:r>
        <w:rPr>
          <w:outline w:val="false"/>
          <w:color w:val="1F1F1F"/>
          <w:u w:val="none" w:color="1F1F1F"/>
          <w:shd w:fill="FFFFFF" w:val="clear"/>
          <w:lang w:val="en-US"/>
        </w:rPr>
        <w:t>Application (Modular Bounded Contexts)</w:t>
      </w:r>
      <w:r>
        <w:rPr>
          <w:outline w:val="false"/>
          <w:color w:val="1F1F1F"/>
          <w:u w:val="none" w:color="1F1F1F"/>
          <w:shd w:fill="FFFFFF" w:val="clear"/>
        </w:rPr>
        <w:br/>
        <w:t xml:space="preserve">   │</w:t>
        <w:br/>
        <w:t xml:space="preserve"> ├── </w:t>
      </w:r>
      <w:r>
        <w:rPr>
          <w:outline w:val="false"/>
          <w:color w:val="1F1F1F"/>
          <w:u w:val="none" w:color="1F1F1F"/>
          <w:shd w:fill="FFFFFF" w:val="clear"/>
          <w:lang w:val="en-US"/>
        </w:rPr>
        <w:t>Relational DB (Primary Case &amp; Identity Data)</w:t>
      </w:r>
      <w:r>
        <w:rPr>
          <w:outline w:val="false"/>
          <w:color w:val="1F1F1F"/>
          <w:u w:val="none" w:color="1F1F1F"/>
          <w:shd w:fill="FFFFFF" w:val="clear"/>
        </w:rPr>
        <w:br/>
        <w:t xml:space="preserve"> ├── </w:t>
      </w:r>
      <w:r>
        <w:rPr>
          <w:outline w:val="false"/>
          <w:color w:val="1F1F1F"/>
          <w:u w:val="none" w:color="1F1F1F"/>
          <w:shd w:fill="FFFFFF" w:val="clear"/>
          <w:lang w:val="en-US"/>
        </w:rPr>
        <w:t>Search Index (Approximate Matching)</w:t>
      </w:r>
      <w:r>
        <w:rPr>
          <w:outline w:val="false"/>
          <w:color w:val="1F1F1F"/>
          <w:u w:val="none" w:color="1F1F1F"/>
          <w:shd w:fill="FFFFFF" w:val="clear"/>
        </w:rPr>
        <w:br/>
        <w:t xml:space="preserve"> ├── </w:t>
      </w:r>
      <w:r>
        <w:rPr>
          <w:outline w:val="false"/>
          <w:color w:val="1F1F1F"/>
          <w:u w:val="none" w:color="1F1F1F"/>
          <w:shd w:fill="FFFFFF" w:val="clear"/>
          <w:lang w:val="fr-FR"/>
        </w:rPr>
        <w:t>Queue/Event Bus (Asynchronous domain events)</w:t>
      </w:r>
      <w:r>
        <w:rPr>
          <w:outline w:val="false"/>
          <w:color w:val="1F1F1F"/>
          <w:u w:val="none" w:color="1F1F1F"/>
          <w:shd w:fill="FFFFFF" w:val="clear"/>
        </w:rPr>
        <w:br/>
        <w:t xml:space="preserve"> ├── </w:t>
      </w:r>
      <w:r>
        <w:rPr>
          <w:outline w:val="false"/>
          <w:color w:val="1F1F1F"/>
          <w:u w:val="none" w:color="1F1F1F"/>
          <w:shd w:fill="FFFFFF" w:val="clear"/>
          <w:lang w:val="en-US"/>
        </w:rPr>
        <w:t>Object Storage (Photographs, Evidence)</w:t>
      </w:r>
      <w:r>
        <w:rPr>
          <w:outline w:val="false"/>
          <w:color w:val="1F1F1F"/>
          <w:u w:val="none" w:color="1F1F1F"/>
          <w:shd w:fill="FFFFFF" w:val="clear"/>
        </w:rPr>
        <w:br/>
        <w:t xml:space="preserve"> ├── </w:t>
      </w:r>
      <w:r>
        <w:rPr>
          <w:outline w:val="false"/>
          <w:color w:val="1F1F1F"/>
          <w:u w:val="none" w:color="1F1F1F"/>
          <w:shd w:fill="FFFFFF" w:val="clear"/>
          <w:lang w:val="en-US"/>
        </w:rPr>
        <w:t>Notification Gateway (SMS/Email routing)</w:t>
      </w:r>
      <w:r>
        <w:rPr>
          <w:outline w:val="false"/>
          <w:color w:val="1F1F1F"/>
          <w:u w:val="none" w:color="1F1F1F"/>
          <w:shd w:fill="FFFFFF" w:val="clear"/>
        </w:rPr>
        <w:br/>
        <w:t xml:space="preserve"> └── </w:t>
      </w:r>
      <w:r>
        <w:rPr>
          <w:outline w:val="false"/>
          <w:color w:val="1F1F1F"/>
          <w:u w:val="none" w:color="1F1F1F"/>
          <w:shd w:fill="FFFFFF" w:val="clear"/>
          <w:lang w:val="en-US"/>
        </w:rPr>
        <w:t>Immutable Audit Store (Append-only logs)</w:t>
      </w:r>
      <w:r>
        <w:rPr>
          <w:outline w:val="false"/>
          <w:color w:val="1F1F1F"/>
          <w:u w:val="none" w:color="1F1F1F"/>
          <w:shd w:fill="141414" w:val="clear"/>
        </w:rPr>
        <w:br/>
      </w:r>
    </w:p>
    <w:p>
      <w:pPr>
        <w:pStyle w:val="Heading2"/>
        <w:spacing w:lineRule="auto" w:line="276" w:before="0" w:after="0"/>
        <w:rPr>
          <w:outline w:val="false"/>
          <w:color w:val="1F1F1F"/>
          <w:u w:val="none" w:color="1F1F1F"/>
        </w:rPr>
      </w:pPr>
      <w:r>
        <w:rPr>
          <w:outline w:val="false"/>
          <w:color w:val="1F1F1F"/>
          <w:u w:val="none" w:color="1F1F1F"/>
          <w:lang w:val="en-US"/>
        </w:rPr>
        <w:t>16. Resilience Targets</w:t>
      </w:r>
    </w:p>
    <w:p>
      <w:pPr>
        <w:pStyle w:val="Body"/>
        <w:numPr>
          <w:ilvl w:val="0"/>
          <w:numId w:val="8"/>
        </w:numPr>
        <w:spacing w:lineRule="auto" w:line="276" w:before="0" w:after="0"/>
        <w:ind w:hanging="360" w:left="590" w:right="0"/>
        <w:rPr>
          <w:lang w:val="en-US"/>
        </w:rPr>
      </w:pPr>
      <w:r>
        <w:rPr>
          <w:b/>
          <w:bCs/>
          <w:outline w:val="false"/>
          <w:color w:val="1F1F1F"/>
          <w:u w:val="none" w:color="1F1F1F"/>
          <w:lang w:val="en-US"/>
        </w:rPr>
        <w:t>Public Service Availability:</w:t>
      </w:r>
      <w:r>
        <w:rPr>
          <w:outline w:val="false"/>
          <w:color w:val="1F1F1F"/>
          <w:u w:val="none" w:color="1F1F1F"/>
          <w:lang w:val="it-IT"/>
        </w:rPr>
        <w:t xml:space="preserve"> 99.9% target</w:t>
      </w:r>
    </w:p>
    <w:p>
      <w:pPr>
        <w:pStyle w:val="Body"/>
        <w:numPr>
          <w:ilvl w:val="0"/>
          <w:numId w:val="8"/>
        </w:numPr>
        <w:spacing w:lineRule="auto" w:line="276" w:before="0" w:after="0"/>
        <w:ind w:hanging="360" w:left="590" w:right="0"/>
        <w:rPr>
          <w:lang w:val="en-US"/>
        </w:rPr>
      </w:pPr>
      <w:r>
        <w:rPr>
          <w:b/>
          <w:bCs/>
          <w:outline w:val="false"/>
          <w:color w:val="1F1F1F"/>
          <w:u w:val="none" w:color="1F1F1F"/>
          <w:lang w:val="en-US"/>
        </w:rPr>
        <w:t>Case Data Durability:</w:t>
      </w:r>
      <w:r>
        <w:rPr>
          <w:outline w:val="false"/>
          <w:color w:val="1F1F1F"/>
          <w:u w:val="none" w:color="1F1F1F"/>
          <w:lang w:val="en-US"/>
        </w:rPr>
        <w:t xml:space="preserve"> Multi-zone replication</w:t>
      </w:r>
    </w:p>
    <w:p>
      <w:pPr>
        <w:pStyle w:val="Body"/>
        <w:numPr>
          <w:ilvl w:val="0"/>
          <w:numId w:val="8"/>
        </w:numPr>
        <w:spacing w:lineRule="auto" w:line="276" w:before="0" w:after="0"/>
        <w:ind w:hanging="360" w:left="590" w:right="0"/>
        <w:rPr>
          <w:lang w:val="en-US"/>
        </w:rPr>
      </w:pPr>
      <w:r>
        <w:rPr>
          <w:b/>
          <w:bCs/>
          <w:outline w:val="false"/>
          <w:color w:val="1F1F1F"/>
          <w:u w:val="none" w:color="1F1F1F"/>
          <w:lang w:val="en-US"/>
        </w:rPr>
        <w:t>Recovery Point Objective (RPO):</w:t>
      </w:r>
      <w:r>
        <w:rPr>
          <w:rFonts w:ascii="Arial Unicode MS" w:hAnsi="Arial Unicode MS"/>
          <w:outline w:val="false"/>
          <w:color w:val="1F1F1F"/>
          <w:u w:val="none" w:color="1F1F1F"/>
        </w:rPr>
        <w:t xml:space="preserve"> ≤ </w:t>
      </w:r>
      <w:r>
        <w:rPr>
          <w:rFonts w:ascii="Arial Unicode MS" w:hAnsi="Arial Unicode MS"/>
          <w:outline w:val="false"/>
          <w:color w:val="1F1F1F"/>
          <w:u w:val="none" w:color="1F1F1F"/>
          <w:lang w:val="en-US"/>
        </w:rPr>
        <w:t>15 minutes</w:t>
      </w:r>
    </w:p>
    <w:p>
      <w:pPr>
        <w:pStyle w:val="Body"/>
        <w:numPr>
          <w:ilvl w:val="0"/>
          <w:numId w:val="8"/>
        </w:numPr>
        <w:spacing w:lineRule="auto" w:line="276" w:before="0" w:after="0"/>
        <w:ind w:hanging="360" w:left="590" w:right="0"/>
        <w:rPr>
          <w:lang w:val="en-US"/>
        </w:rPr>
      </w:pPr>
      <w:r>
        <w:rPr>
          <w:b/>
          <w:bCs/>
          <w:outline w:val="false"/>
          <w:color w:val="1F1F1F"/>
          <w:u w:val="none" w:color="1F1F1F"/>
          <w:lang w:val="en-US"/>
        </w:rPr>
        <w:t>Recovery Time Objective (RTO):</w:t>
      </w:r>
      <w:r>
        <w:rPr>
          <w:rFonts w:ascii="Arial Unicode MS" w:hAnsi="Arial Unicode MS"/>
          <w:outline w:val="false"/>
          <w:color w:val="1F1F1F"/>
          <w:u w:val="none" w:color="1F1F1F"/>
        </w:rPr>
        <w:t xml:space="preserve"> ≤ </w:t>
      </w:r>
      <w:r>
        <w:rPr>
          <w:rFonts w:ascii="Arial Unicode MS" w:hAnsi="Arial Unicode MS"/>
          <w:outline w:val="false"/>
          <w:color w:val="1F1F1F"/>
          <w:u w:val="none" w:color="1F1F1F"/>
          <w:lang w:val="en-US"/>
        </w:rPr>
        <w:t>60 minutes</w:t>
      </w:r>
    </w:p>
    <w:p>
      <w:pPr>
        <w:pStyle w:val="Body"/>
        <w:numPr>
          <w:ilvl w:val="0"/>
          <w:numId w:val="8"/>
        </w:numPr>
        <w:spacing w:lineRule="auto" w:line="276" w:before="0" w:after="0"/>
        <w:ind w:hanging="360" w:left="590" w:right="0"/>
        <w:rPr>
          <w:lang w:val="en-US"/>
        </w:rPr>
      </w:pPr>
      <w:r>
        <w:rPr>
          <w:b/>
          <w:bCs/>
          <w:outline w:val="false"/>
          <w:color w:val="1F1F1F"/>
          <w:u w:val="none" w:color="1F1F1F"/>
          <w:lang w:val="en-US"/>
        </w:rPr>
        <w:t>Offline Field Operation:</w:t>
      </w:r>
      <w:r>
        <w:rPr>
          <w:outline w:val="false"/>
          <w:color w:val="1F1F1F"/>
          <w:u w:val="none" w:color="1F1F1F"/>
          <w:lang w:val="it-IT"/>
        </w:rPr>
        <w:t xml:space="preserve"> Mandatory</w:t>
      </w:r>
    </w:p>
    <w:p>
      <w:pPr>
        <w:pStyle w:val="Body"/>
        <w:numPr>
          <w:ilvl w:val="0"/>
          <w:numId w:val="8"/>
        </w:numPr>
        <w:spacing w:lineRule="auto" w:line="276" w:before="0" w:after="0"/>
        <w:ind w:hanging="360" w:left="590" w:right="0"/>
        <w:rPr/>
      </w:pPr>
      <w:r>
        <w:rPr>
          <w:b/>
          <w:bCs/>
          <w:outline w:val="false"/>
          <w:color w:val="1F1F1F"/>
          <w:u w:val="none" w:color="1F1F1F"/>
        </w:rPr>
        <w:t>API Idempotency:</w:t>
      </w:r>
      <w:r>
        <w:rPr>
          <w:outline w:val="false"/>
          <w:color w:val="1F1F1F"/>
          <w:u w:val="none" w:color="1F1F1F"/>
          <w:lang w:val="it-IT"/>
        </w:rPr>
        <w:t xml:space="preserve"> Mandatory</w:t>
      </w:r>
    </w:p>
    <w:p>
      <w:pPr>
        <w:pStyle w:val="Body"/>
        <w:numPr>
          <w:ilvl w:val="0"/>
          <w:numId w:val="8"/>
        </w:numPr>
        <w:spacing w:lineRule="auto" w:line="276" w:before="0" w:after="0"/>
        <w:ind w:hanging="360" w:left="590" w:right="0"/>
        <w:rPr>
          <w:lang w:val="en-US"/>
        </w:rPr>
      </w:pPr>
      <w:r>
        <w:rPr>
          <w:b/>
          <w:bCs/>
          <w:outline w:val="false"/>
          <w:color w:val="1F1F1F"/>
          <w:u w:val="none" w:color="1F1F1F"/>
          <w:lang w:val="en-US"/>
        </w:rPr>
        <w:t>Backup &amp; Restore:</w:t>
      </w:r>
      <w:r>
        <w:rPr>
          <w:outline w:val="false"/>
          <w:color w:val="1F1F1F"/>
          <w:u w:val="none" w:color="1F1F1F"/>
          <w:lang w:val="en-US"/>
        </w:rPr>
        <w:t xml:space="preserve"> Automated with mandatory pre-production testing</w:t>
      </w:r>
    </w:p>
    <w:p>
      <w:pPr>
        <w:pStyle w:val="Heading2"/>
        <w:spacing w:lineRule="auto" w:line="276" w:before="0" w:after="0"/>
        <w:rPr>
          <w:outline w:val="false"/>
          <w:color w:val="1F1F1F"/>
          <w:u w:val="none" w:color="1F1F1F"/>
        </w:rPr>
      </w:pPr>
      <w:r>
        <w:rPr>
          <w:outline w:val="false"/>
          <w:color w:val="1F1F1F"/>
          <w:u w:val="none" w:color="1F1F1F"/>
          <w:lang w:val="en-US"/>
        </w:rPr>
        <w:t>17. Geographic &amp; Data-Residency Model</w:t>
      </w:r>
    </w:p>
    <w:p>
      <w:pPr>
        <w:pStyle w:val="Body"/>
        <w:spacing w:lineRule="auto" w:line="276"/>
        <w:rPr>
          <w:outline w:val="false"/>
          <w:color w:val="1F1F1F"/>
          <w:u w:val="none" w:color="1F1F1F"/>
        </w:rPr>
      </w:pPr>
      <w:r>
        <w:rPr>
          <w:outline w:val="false"/>
          <w:color w:val="1F1F1F"/>
          <w:u w:val="none" w:color="1F1F1F"/>
          <w:lang w:val="en-US"/>
        </w:rPr>
        <w:t>Data localization is governed by the Controller's legal assessment, not hard-coded defaults. The Deployment Configuration must explicitly define:</w:t>
      </w:r>
    </w:p>
    <w:p>
      <w:pPr>
        <w:pStyle w:val="Body"/>
        <w:numPr>
          <w:ilvl w:val="0"/>
          <w:numId w:val="9"/>
        </w:numPr>
        <w:spacing w:lineRule="auto" w:line="276" w:before="0" w:after="0"/>
        <w:ind w:hanging="360" w:left="590" w:right="0"/>
        <w:rPr>
          <w:lang w:val="it-IT"/>
        </w:rPr>
      </w:pPr>
      <w:r>
        <w:rPr>
          <w:outline w:val="false"/>
          <w:color w:val="1F1F1F"/>
          <w:u w:val="none" w:color="1F1F1F"/>
          <w:lang w:val="it-IT"/>
        </w:rPr>
        <w:t>Data Controller</w:t>
      </w:r>
    </w:p>
    <w:p>
      <w:pPr>
        <w:pStyle w:val="Body"/>
        <w:numPr>
          <w:ilvl w:val="0"/>
          <w:numId w:val="9"/>
        </w:numPr>
        <w:spacing w:lineRule="auto" w:line="276" w:before="0" w:after="0"/>
        <w:ind w:hanging="360" w:left="590" w:right="0"/>
        <w:rPr>
          <w:lang w:val="en-US"/>
        </w:rPr>
      </w:pPr>
      <w:r>
        <w:rPr>
          <w:outline w:val="false"/>
          <w:color w:val="1F1F1F"/>
          <w:u w:val="none" w:color="1F1F1F"/>
          <w:lang w:val="en-US"/>
        </w:rPr>
        <w:t>Processing Location &amp; Backup Location</w:t>
      </w:r>
    </w:p>
    <w:p>
      <w:pPr>
        <w:pStyle w:val="Body"/>
        <w:numPr>
          <w:ilvl w:val="0"/>
          <w:numId w:val="9"/>
        </w:numPr>
        <w:spacing w:lineRule="auto" w:line="276" w:before="0" w:after="0"/>
        <w:ind w:hanging="360" w:left="590" w:right="0"/>
        <w:rPr>
          <w:lang w:val="en-US"/>
        </w:rPr>
      </w:pPr>
      <w:r>
        <w:rPr>
          <w:outline w:val="false"/>
          <w:color w:val="1F1F1F"/>
          <w:u w:val="none" w:color="1F1F1F"/>
          <w:lang w:val="en-US"/>
        </w:rPr>
        <w:t>Approved Jurisdictions &amp; Cross-Border Transfer Rules</w:t>
      </w:r>
    </w:p>
    <w:p>
      <w:pPr>
        <w:pStyle w:val="Body"/>
        <w:numPr>
          <w:ilvl w:val="0"/>
          <w:numId w:val="9"/>
        </w:numPr>
        <w:spacing w:lineRule="auto" w:line="276" w:before="0" w:after="0"/>
        <w:ind w:hanging="360" w:left="590" w:right="0"/>
        <w:rPr>
          <w:lang w:val="en-US"/>
        </w:rPr>
      </w:pPr>
      <w:r>
        <w:rPr>
          <w:outline w:val="false"/>
          <w:color w:val="1F1F1F"/>
          <w:u w:val="none" w:color="1F1F1F"/>
          <w:lang w:val="en-US"/>
        </w:rPr>
        <w:t>Approved Agencies</w:t>
      </w:r>
    </w:p>
    <w:p>
      <w:pPr>
        <w:pStyle w:val="Body"/>
        <w:numPr>
          <w:ilvl w:val="0"/>
          <w:numId w:val="9"/>
        </w:numPr>
        <w:spacing w:lineRule="auto" w:line="276" w:before="0" w:after="0"/>
        <w:ind w:hanging="360" w:left="590" w:right="0"/>
        <w:rPr>
          <w:lang w:val="en-US"/>
        </w:rPr>
      </w:pPr>
      <w:r>
        <w:rPr>
          <w:outline w:val="false"/>
          <w:color w:val="1F1F1F"/>
          <w:u w:val="none" w:color="1F1F1F"/>
          <w:lang w:val="en-US"/>
        </w:rPr>
        <w:t>Data Retention Policies</w:t>
      </w:r>
    </w:p>
    <w:p>
      <w:pPr>
        <w:pStyle w:val="Heading2"/>
        <w:spacing w:lineRule="auto" w:line="276" w:before="0" w:after="0"/>
        <w:rPr>
          <w:outline w:val="false"/>
          <w:color w:val="1F1F1F"/>
          <w:u w:val="none" w:color="1F1F1F"/>
        </w:rPr>
      </w:pPr>
      <w:r>
        <w:rPr>
          <w:outline w:val="false"/>
          <w:color w:val="1F1F1F"/>
          <w:u w:val="none" w:color="1F1F1F"/>
          <w:lang w:val="en-US"/>
        </w:rPr>
        <w:t>18. Out of Scope for MVP</w:t>
      </w:r>
    </w:p>
    <w:p>
      <w:pPr>
        <w:pStyle w:val="Body"/>
        <w:spacing w:lineRule="auto" w:line="276"/>
        <w:rPr>
          <w:outline w:val="false"/>
          <w:color w:val="1F1F1F"/>
          <w:u w:val="none" w:color="1F1F1F"/>
        </w:rPr>
      </w:pPr>
      <w:r>
        <w:rPr>
          <w:outline w:val="false"/>
          <w:color w:val="1F1F1F"/>
          <w:u w:val="none" w:color="1F1F1F"/>
          <w:lang w:val="en-US"/>
        </w:rPr>
        <w:t>To ensure rapid deployment, the following are explicitly deferred: Native iOS/Android apps, sophisticated facial recognition, automated forensic identification, blockchain, full hospital/police system integration, automated embassy integration, and multilingual voice IVR.</w:t>
      </w:r>
    </w:p>
    <w:p>
      <w:pPr>
        <w:pStyle w:val="Heading2"/>
        <w:spacing w:lineRule="auto" w:line="276" w:before="0" w:after="0"/>
        <w:rPr>
          <w:outline w:val="false"/>
          <w:color w:val="1F1F1F"/>
          <w:u w:val="none" w:color="1F1F1F"/>
        </w:rPr>
      </w:pPr>
      <w:r>
        <w:rPr>
          <w:outline w:val="false"/>
          <w:color w:val="1F1F1F"/>
          <w:u w:val="none" w:color="1F1F1F"/>
          <w:lang w:val="en-US"/>
        </w:rPr>
        <w:t>19. MVP Critical Path</w:t>
      </w:r>
    </w:p>
    <w:p>
      <w:pPr>
        <w:pStyle w:val="Body"/>
        <w:spacing w:lineRule="auto" w:line="276"/>
        <w:rPr>
          <w:outline w:val="false"/>
          <w:color w:val="1F1F1F"/>
          <w:u w:val="none" w:color="1F1F1F"/>
        </w:rPr>
      </w:pPr>
      <w:r>
        <w:rPr>
          <w:rFonts w:ascii="Arial Unicode MS" w:hAnsi="Arial Unicode MS"/>
          <w:outline w:val="false"/>
          <w:color w:val="1F1F1F"/>
          <w:u w:val="none" w:color="1F1F1F"/>
        </w:rPr>
        <w:t xml:space="preserve">SPEC-004 PASS → </w:t>
      </w:r>
      <w:r>
        <w:rPr>
          <w:rFonts w:ascii="Arial Unicode MS" w:hAnsi="Arial Unicode MS"/>
          <w:outline w:val="false"/>
          <w:color w:val="1F1F1F"/>
          <w:u w:val="none" w:color="1F1F1F"/>
          <w:lang w:val="en-US"/>
        </w:rPr>
        <w:t xml:space="preserve">SPEC-005 Architecture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Architecture Gate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SPEC-006 UX + Interaction Specification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SPEC-007 Implementation + Test Specification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Build MVP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Security / Privacy Testing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Operational Pilot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 xml:space="preserve">Humanitarian Agency Review </w:t>
      </w:r>
      <w:r>
        <w:rPr>
          <w:rFonts w:ascii="Arial Unicode MS" w:hAnsi="Arial Unicode MS"/>
          <w:outline w:val="false"/>
          <w:color w:val="1F1F1F"/>
          <w:u w:val="none" w:color="1F1F1F"/>
        </w:rPr>
        <w:t xml:space="preserve">→ </w:t>
      </w:r>
      <w:r>
        <w:rPr>
          <w:rFonts w:ascii="Arial Unicode MS" w:hAnsi="Arial Unicode MS"/>
          <w:outline w:val="false"/>
          <w:color w:val="1F1F1F"/>
          <w:u w:val="none" w:color="1F1F1F"/>
          <w:lang w:val="en-US"/>
        </w:rPr>
        <w:t>Controlled Deployment.</w:t>
      </w:r>
    </w:p>
    <w:p>
      <w:pPr>
        <w:pStyle w:val="Heading2"/>
        <w:spacing w:lineRule="auto" w:line="276" w:before="0" w:after="0"/>
        <w:rPr>
          <w:outline w:val="false"/>
          <w:color w:val="1F1F1F"/>
          <w:u w:val="none" w:color="1F1F1F"/>
        </w:rPr>
      </w:pPr>
      <w:r>
        <w:rPr>
          <w:outline w:val="false"/>
          <w:color w:val="1F1F1F"/>
          <w:u w:val="none" w:color="1F1F1F"/>
          <w:lang w:val="en-US"/>
        </w:rPr>
        <w:t>20. Architectural Acceptance Test (The Kathmandu Scenario)</w:t>
      </w:r>
    </w:p>
    <w:p>
      <w:pPr>
        <w:pStyle w:val="Body"/>
        <w:spacing w:lineRule="auto" w:line="276"/>
        <w:rPr>
          <w:outline w:val="false"/>
          <w:color w:val="1F1F1F"/>
          <w:u w:val="none" w:color="1F1F1F"/>
        </w:rPr>
      </w:pPr>
      <w:r>
        <w:rPr>
          <w:outline w:val="false"/>
          <w:color w:val="1F1F1F"/>
          <w:u w:val="none" w:color="1F1F1F"/>
          <w:lang w:val="en-US"/>
        </w:rPr>
        <w:t>The architecture is only deemed successful if it flawlessly executes the following scenario:</w:t>
      </w:r>
    </w:p>
    <w:p>
      <w:pPr>
        <w:pStyle w:val="Body"/>
        <w:spacing w:lineRule="auto" w:line="276"/>
        <w:rPr>
          <w:i/>
          <w:i/>
          <w:iCs/>
          <w:outline w:val="false"/>
          <w:color w:val="1F1F1F"/>
          <w:u w:val="none" w:color="1F1F1F"/>
        </w:rPr>
      </w:pPr>
      <w:r>
        <w:rPr>
          <w:i/>
          <w:iCs/>
          <w:outline w:val="false"/>
          <w:color w:val="1F1F1F"/>
          <w:u w:val="none" w:color="1F1F1F"/>
          <w:lang w:val="en-US"/>
        </w:rPr>
        <w:t>A distressed family member arrives in Kathmandu with only a name, a photograph, and poor connectivity. They have no understanding of Nepal's agencies or whether their relative is in a hospital, shelter, or mortuary.</w:t>
      </w:r>
    </w:p>
    <w:p>
      <w:pPr>
        <w:pStyle w:val="Body"/>
        <w:spacing w:lineRule="auto" w:line="276"/>
        <w:rPr>
          <w:outline w:val="false"/>
          <w:color w:val="1F1F1F"/>
          <w:u w:val="none" w:color="1F1F1F"/>
          <w:lang w:val="en-US"/>
        </w:rPr>
      </w:pPr>
      <w:r>
        <w:rPr>
          <w:outline w:val="false"/>
          <w:color w:val="1F1F1F"/>
          <w:u w:val="none" w:color="1F1F1F"/>
          <w:lang w:val="en-US"/>
        </w:rPr>
        <w:t>FamilyConnect must seamlessly transition this user from "I don't know where to go" to "I have a verified case, I know who is coordinating it, I know what has been confirmed, and I know my exact next physical action," without exposing unrelated families to privacy breaches or overwhelming local authorities with duplicate data entry.</w:t>
      </w:r>
    </w:p>
    <w:p>
      <w:pPr>
        <w:pStyle w:val="Body"/>
        <w:spacing w:lineRule="auto" w:line="276"/>
        <w:rPr>
          <w:outline w:val="false"/>
          <w:color w:val="1F1F1F"/>
          <w:u w:val="none" w:color="1F1F1F"/>
          <w:lang w:val="en-US"/>
        </w:rPr>
      </w:pPr>
      <w:r>
        <w:rPr>
          <w:outline w:val="false"/>
          <w:color w:val="1F1F1F"/>
          <w:u w:val="none" w:color="1F1F1F"/>
          <w:lang w:val="en-US"/>
        </w:rPr>
      </w:r>
    </w:p>
    <w:p>
      <w:pPr>
        <w:pStyle w:val="Body"/>
        <w:spacing w:lineRule="auto" w:line="276"/>
        <w:rPr>
          <w:outline w:val="false"/>
          <w:color w:val="1F1F1F"/>
          <w:u w:val="none" w:color="1F1F1F"/>
          <w:lang w:val="en-US"/>
        </w:rPr>
      </w:pPr>
      <w:r>
        <w:rPr>
          <w:outline w:val="false"/>
          <w:color w:val="1F1F1F"/>
          <w:u w:val="none" w:color="1F1F1F"/>
          <w:lang w:val="en-US"/>
        </w:rPr>
        <w:t>Appendix</w:t>
      </w:r>
    </w:p>
    <w:p>
      <w:pPr>
        <w:pStyle w:val="Normal"/>
        <w:spacing w:lineRule="auto" w:line="276"/>
        <w:rPr>
          <w:rFonts w:ascii="Google Sans Text;sans-serif" w:hAnsi="Google Sans Text;sans-serif"/>
          <w:outline w:val="false"/>
          <w:color w:val="1F1F1F"/>
          <w:u w:val="none" w:color="1F1F1F"/>
          <w:lang w:val="en-US"/>
        </w:rPr>
      </w:pPr>
      <w:r>
        <w:rPr>
          <w:rFonts w:ascii="Google Sans Text;sans-serif" w:hAnsi="Google Sans Text;sans-serif"/>
          <w:outline w:val="false"/>
          <w:color w:val="1F1F1F"/>
          <w:u w:val="none" w:color="1F1F1F"/>
          <w:lang w:val="en-US"/>
        </w:rPr>
        <w:t xml:space="preserve">You do not need to procure any paid third-party enterprise software licenses to build and deploy the FamilyConnect MVP. Every component specified in SPEC-001 through SPEC-005—including the event bus, relational persistence, search matching, and authentication—can be built entirely on permissive open-source software (MIT, Apache 2.0, PostgreSQL License). </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0" w:top="1440" w:footer="720" w:bottom="1440"/>
          <w:pgNumType w:start="1" w:fmt="decimal"/>
          <w:formProt w:val="false"/>
          <w:textDirection w:val="lrTb"/>
          <w:docGrid w:type="default" w:linePitch="100" w:charSpace="0"/>
        </w:sectPr>
      </w:pPr>
    </w:p>
    <w:p>
      <w:pPr>
        <w:pStyle w:val="Normal"/>
        <w:spacing w:before="0" w:after="283"/>
        <w:rPr/>
      </w:pPr>
      <w:r>
        <w:rPr/>
      </w:r>
    </w:p>
    <w:p>
      <w:pPr>
        <w:pStyle w:val="Heading3"/>
        <w:keepNext w:val="false"/>
        <w:pageBreakBefore w:val="false"/>
        <w:widowControl/>
        <w:pBdr/>
        <w:spacing w:lineRule="auto" w:line="274" w:before="0" w:after="0"/>
        <w:ind w:hanging="0" w:left="0" w:right="0"/>
        <w:rPr>
          <w:rFonts w:ascii="Google Sans;sans-serif" w:hAnsi="Google Sans;sans-serif"/>
          <w:i w:val="false"/>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pPr>
      <w:r>
        <w:rPr>
          <w:rFonts w:ascii="Google Sans;sans-serif" w:hAnsi="Google Sans;sans-serif"/>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t>Component-by-Component Licensing &amp; Cost Breakdown</w:t>
      </w:r>
    </w:p>
    <w:tbl>
      <w:tblPr>
        <w:tblW w:w="9360" w:type="dxa"/>
        <w:jc w:val="left"/>
        <w:tblInd w:w="0" w:type="dxa"/>
        <w:tblLayout w:type="fixed"/>
        <w:tblCellMar>
          <w:top w:w="120" w:type="dxa"/>
          <w:left w:w="180" w:type="dxa"/>
          <w:bottom w:w="120" w:type="dxa"/>
          <w:right w:w="180" w:type="dxa"/>
        </w:tblCellMar>
      </w:tblPr>
      <w:tblGrid>
        <w:gridCol w:w="2060"/>
        <w:gridCol w:w="2297"/>
        <w:gridCol w:w="3375"/>
        <w:gridCol w:w="1628"/>
      </w:tblGrid>
      <w:tr>
        <w:trPr>
          <w:tblHeader w:val="true"/>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Architectural Component DOCX</w:t>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High-End Enterprise (Avoid for MVP)</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Zero-License / Open-Source Alternative (Recommended)</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pPr>
            <w:r>
              <w:rPr>
                <w:rStyle w:val="Strong"/>
                <w:rFonts w:ascii="Google Sans Text;sans-serif" w:hAnsi="Google Sans Text;sans-serif"/>
                <w:color w:val="1F1F1F"/>
              </w:rPr>
              <w:t>Estimated MVP Cost</w:t>
            </w:r>
          </w:p>
        </w:tc>
      </w:tr>
      <w:tr>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Relational Database</w:t>
            </w:r>
          </w:p>
          <w:p>
            <w:pPr>
              <w:pStyle w:val="TableContents"/>
              <w:keepNext w:val="false"/>
              <w:widowControl/>
              <w:spacing w:lineRule="auto" w:line="274" w:before="0" w:after="0"/>
              <w:ind w:left="0" w:right="0"/>
              <w:rPr/>
            </w:pPr>
            <w:r>
              <w:rPr/>
            </w:r>
          </w:p>
          <w:p>
            <w:pPr>
              <w:pStyle w:val="TableContents"/>
              <w:ind w:hanging="0" w:left="0" w:right="0"/>
              <w:rPr/>
            </w:pPr>
            <w:r>
              <w:rPr/>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Oracle / Microsoft SQL Server</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PostgreSQL</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$0</w:t>
            </w:r>
            <w:r>
              <w:rPr>
                <w:rFonts w:ascii="Google Sans Text;sans-serif" w:hAnsi="Google Sans Text;sans-serif"/>
                <w:color w:val="1F1F1F"/>
              </w:rPr>
              <w:t xml:space="preserve"> (Free/Open Source)</w:t>
            </w:r>
          </w:p>
        </w:tc>
      </w:tr>
      <w:tr>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Event Architecture</w:t>
            </w:r>
          </w:p>
          <w:p>
            <w:pPr>
              <w:pStyle w:val="TableContents"/>
              <w:keepNext w:val="false"/>
              <w:widowControl/>
              <w:spacing w:lineRule="auto" w:line="274" w:before="0" w:after="0"/>
              <w:ind w:left="0" w:right="0"/>
              <w:rPr/>
            </w:pPr>
            <w:r>
              <w:rPr/>
            </w:r>
          </w:p>
          <w:p>
            <w:pPr>
              <w:pStyle w:val="TableContents"/>
              <w:ind w:hanging="0" w:left="0" w:right="0"/>
              <w:rPr/>
            </w:pPr>
            <w:r>
              <w:rPr/>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Confluent Cloud / AWS MSK ($150–$300+/mo)</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Transactional Outbox Pattern (Postgres)</w:t>
            </w:r>
            <w:r>
              <w:rPr>
                <w:rFonts w:ascii="Google Sans Text;sans-serif" w:hAnsi="Google Sans Text;sans-serif"/>
                <w:color w:val="1F1F1F"/>
              </w:rPr>
              <w:t xml:space="preserve"> or </w:t>
            </w:r>
            <w:r>
              <w:rPr>
                <w:rFonts w:ascii="Google Sans Text;sans-serif" w:hAnsi="Google Sans Text;sans-serif"/>
                <w:b/>
                <w:color w:val="1F1F1F"/>
              </w:rPr>
              <w:t>Redis + BullMQ</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$0</w:t>
            </w:r>
            <w:r>
              <w:rPr>
                <w:rFonts w:ascii="Google Sans Text;sans-serif" w:hAnsi="Google Sans Text;sans-serif"/>
                <w:color w:val="1F1F1F"/>
              </w:rPr>
              <w:t xml:space="preserve"> (Runs inside DB/VPS)</w:t>
            </w:r>
          </w:p>
        </w:tc>
      </w:tr>
      <w:tr>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Search &amp; Matching</w:t>
            </w:r>
          </w:p>
          <w:p>
            <w:pPr>
              <w:pStyle w:val="TableContents"/>
              <w:keepNext w:val="false"/>
              <w:widowControl/>
              <w:spacing w:lineRule="auto" w:line="274" w:before="0" w:after="0"/>
              <w:ind w:left="0" w:right="0"/>
              <w:rPr/>
            </w:pPr>
            <w:r>
              <w:rPr/>
            </w:r>
          </w:p>
          <w:p>
            <w:pPr>
              <w:pStyle w:val="TableContents"/>
              <w:ind w:hanging="0" w:left="0" w:right="0"/>
              <w:rPr/>
            </w:pPr>
            <w:r>
              <w:rPr/>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Elasticsearch Enterprise / Algolia</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pPr>
            <w:r>
              <w:rPr>
                <w:rFonts w:ascii="Google Sans Text;sans-serif" w:hAnsi="Google Sans Text;sans-serif"/>
                <w:b/>
                <w:color w:val="1F1F1F"/>
              </w:rPr>
              <w:t>PostgreSQL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pg_trgm</w:t>
            </w:r>
            <w:r>
              <w:rPr>
                <w:rFonts w:ascii="Google Sans Text;sans-serif" w:hAnsi="Google Sans Text;sans-serif"/>
                <w:b/>
                <w:color w:val="1F1F1F"/>
              </w:rPr>
              <w:t xml:space="preserve"> / </w:t>
            </w:r>
            <w:r>
              <w:rPr>
                <w:rStyle w:val="SourceText"/>
                <w:rFonts w:ascii="Google Sans Text;sans-serif" w:hAnsi="Google Sans Text;sans-serif"/>
                <w:b w:val="false"/>
                <w:i w:val="false"/>
                <w:caps w:val="false"/>
                <w:smallCaps w:val="false"/>
                <w:color w:val="000000"/>
                <w:sz w:val="23"/>
                <w14:textFill>
                  <w14:solidFill>
                    <w14:srgbClr w14:val="000000">
                      <w14:alpha w14:val="45000"/>
                    </w14:srgbClr>
                  </w14:solidFill>
                </w14:textFill>
              </w:rPr>
              <w:t>fuzzystrmatch</w:t>
            </w:r>
            <w:r>
              <w:rPr>
                <w:rFonts w:ascii="Google Sans Text;sans-serif" w:hAnsi="Google Sans Text;sans-serif"/>
                <w:b/>
                <w:color w:val="1F1F1F"/>
              </w:rPr>
              <w:t>)</w:t>
            </w:r>
            <w:r>
              <w:rPr>
                <w:rFonts w:ascii="Google Sans Text;sans-serif" w:hAnsi="Google Sans Text;sans-serif"/>
                <w:color w:val="1F1F1F"/>
              </w:rPr>
              <w:t xml:space="preserve"> or </w:t>
            </w:r>
            <w:r>
              <w:rPr>
                <w:rFonts w:ascii="Google Sans Text;sans-serif" w:hAnsi="Google Sans Text;sans-serif"/>
                <w:b/>
                <w:color w:val="1F1F1F"/>
              </w:rPr>
              <w:t>Typesense / Meilisearch</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$0</w:t>
            </w:r>
            <w:r>
              <w:rPr>
                <w:rFonts w:ascii="Google Sans Text;sans-serif" w:hAnsi="Google Sans Text;sans-serif"/>
                <w:color w:val="1F1F1F"/>
              </w:rPr>
              <w:t xml:space="preserve"> (Free/Open Source)</w:t>
            </w:r>
          </w:p>
        </w:tc>
      </w:tr>
      <w:tr>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Identity &amp; Access (IdP)</w:t>
            </w:r>
          </w:p>
          <w:p>
            <w:pPr>
              <w:pStyle w:val="TableContents"/>
              <w:keepNext w:val="false"/>
              <w:widowControl/>
              <w:spacing w:lineRule="auto" w:line="274" w:before="0" w:after="0"/>
              <w:ind w:left="0" w:right="0"/>
              <w:rPr/>
            </w:pPr>
            <w:r>
              <w:rPr/>
            </w:r>
          </w:p>
          <w:p>
            <w:pPr>
              <w:pStyle w:val="TableContents"/>
              <w:ind w:hanging="0" w:left="0" w:right="0"/>
              <w:rPr/>
            </w:pPr>
            <w:r>
              <w:rPr/>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Okta / Auth0 B2B ($100–$500+/mo)</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Zitadel</w:t>
            </w:r>
            <w:r>
              <w:rPr>
                <w:rFonts w:ascii="Google Sans Text;sans-serif" w:hAnsi="Google Sans Text;sans-serif"/>
                <w:color w:val="1F1F1F"/>
              </w:rPr>
              <w:t xml:space="preserve">, </w:t>
            </w:r>
            <w:r>
              <w:rPr>
                <w:rFonts w:ascii="Google Sans Text;sans-serif" w:hAnsi="Google Sans Text;sans-serif"/>
                <w:b/>
                <w:color w:val="1F1F1F"/>
              </w:rPr>
              <w:t>Keycloak</w:t>
            </w:r>
            <w:r>
              <w:rPr>
                <w:rFonts w:ascii="Google Sans Text;sans-serif" w:hAnsi="Google Sans Text;sans-serif"/>
                <w:color w:val="1F1F1F"/>
              </w:rPr>
              <w:t xml:space="preserve">, or </w:t>
            </w:r>
            <w:r>
              <w:rPr>
                <w:rFonts w:ascii="Google Sans Text;sans-serif" w:hAnsi="Google Sans Text;sans-serif"/>
                <w:b/>
                <w:color w:val="1F1F1F"/>
              </w:rPr>
              <w:t>In-App JWT + WebAuthn/TOTP</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$0</w:t>
            </w:r>
            <w:r>
              <w:rPr>
                <w:rFonts w:ascii="Google Sans Text;sans-serif" w:hAnsi="Google Sans Text;sans-serif"/>
                <w:color w:val="1F1F1F"/>
              </w:rPr>
              <w:t xml:space="preserve"> (Free/Open Source)</w:t>
            </w:r>
          </w:p>
        </w:tc>
      </w:tr>
      <w:tr>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Object Storage (Evidence)</w:t>
            </w:r>
          </w:p>
          <w:p>
            <w:pPr>
              <w:pStyle w:val="TableContents"/>
              <w:keepNext w:val="false"/>
              <w:widowControl/>
              <w:spacing w:lineRule="auto" w:line="274" w:before="0" w:after="0"/>
              <w:ind w:left="0" w:right="0"/>
              <w:rPr/>
            </w:pPr>
            <w:r>
              <w:rPr/>
            </w:r>
          </w:p>
          <w:p>
            <w:pPr>
              <w:pStyle w:val="TableContents"/>
              <w:ind w:hanging="0" w:left="0" w:right="0"/>
              <w:rPr/>
            </w:pPr>
            <w:r>
              <w:rPr/>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AWS S3 with standard egress</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Cloudflare R2</w:t>
            </w:r>
            <w:r>
              <w:rPr>
                <w:rFonts w:ascii="Google Sans Text;sans-serif" w:hAnsi="Google Sans Text;sans-serif"/>
                <w:color w:val="1F1F1F"/>
              </w:rPr>
              <w:t xml:space="preserve"> (Zero egress fees, 10 GB free) or </w:t>
            </w:r>
            <w:r>
              <w:rPr>
                <w:rFonts w:ascii="Google Sans Text;sans-serif" w:hAnsi="Google Sans Text;sans-serif"/>
                <w:b/>
                <w:color w:val="1F1F1F"/>
              </w:rPr>
              <w:t>MinIO</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$0</w:t>
            </w:r>
            <w:r>
              <w:rPr>
                <w:rFonts w:ascii="Google Sans Text;sans-serif" w:hAnsi="Google Sans Text;sans-serif"/>
                <w:color w:val="1F1F1F"/>
              </w:rPr>
              <w:t xml:space="preserve"> (Within free tier)</w:t>
            </w:r>
          </w:p>
        </w:tc>
      </w:tr>
      <w:tr>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Edge / WAF / CDN</w:t>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Cloudflare Enterprise / AWS Shield Advanced</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Cloudflare (Free Plan)</w:t>
            </w:r>
            <w:r>
              <w:rPr>
                <w:rFonts w:ascii="Google Sans Text;sans-serif" w:hAnsi="Google Sans Text;sans-serif"/>
                <w:color w:val="1F1F1F"/>
              </w:rPr>
              <w:t xml:space="preserve"> + </w:t>
            </w:r>
            <w:r>
              <w:rPr>
                <w:rFonts w:ascii="Google Sans Text;sans-serif" w:hAnsi="Google Sans Text;sans-serif"/>
                <w:b/>
                <w:color w:val="1F1F1F"/>
              </w:rPr>
              <w:t>Caddy / Nginx</w:t>
            </w:r>
            <w:r>
              <w:rPr>
                <w:rFonts w:ascii="Google Sans Text;sans-serif" w:hAnsi="Google Sans Text;sans-serif"/>
                <w:color w:val="1F1F1F"/>
              </w:rPr>
              <w:t xml:space="preserve"> (Auto-SSL)</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$0</w:t>
            </w:r>
          </w:p>
        </w:tc>
      </w:tr>
      <w:tr>
        <w:trPr/>
        <w:tc>
          <w:tcPr>
            <w:tcW w:w="2060"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Immutable Audit Store</w:t>
            </w:r>
          </w:p>
          <w:p>
            <w:pPr>
              <w:pStyle w:val="TableContents"/>
              <w:keepNext w:val="false"/>
              <w:widowControl/>
              <w:spacing w:lineRule="auto" w:line="274" w:before="0" w:after="0"/>
              <w:ind w:left="0" w:right="0"/>
              <w:rPr/>
            </w:pPr>
            <w:r>
              <w:rPr/>
            </w:r>
          </w:p>
          <w:p>
            <w:pPr>
              <w:pStyle w:val="TableContents"/>
              <w:ind w:hanging="0" w:left="0" w:right="0"/>
              <w:rPr/>
            </w:pPr>
            <w:r>
              <w:rPr/>
            </w:r>
          </w:p>
        </w:tc>
        <w:tc>
          <w:tcPr>
            <w:tcW w:w="2297"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color w:val="1F1F1F"/>
              </w:rPr>
              <w:t>Amazon QLDB / Private Blockchain</w:t>
            </w:r>
          </w:p>
        </w:tc>
        <w:tc>
          <w:tcPr>
            <w:tcW w:w="3375"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b/>
                <w:color w:val="1F1F1F"/>
              </w:rPr>
            </w:pPr>
            <w:r>
              <w:rPr>
                <w:rFonts w:ascii="Google Sans Text;sans-serif" w:hAnsi="Google Sans Text;sans-serif"/>
                <w:b/>
                <w:color w:val="1F1F1F"/>
              </w:rPr>
              <w:t>Append-Only PostgreSQL Table with Cryptographic SHA-256 Hash Chaining</w:t>
            </w:r>
          </w:p>
        </w:tc>
        <w:tc>
          <w:tcPr>
            <w:tcW w:w="1628" w:type="dxa"/>
            <w:tcBorders>
              <w:top w:val="single" w:sz="2" w:space="0" w:color="C4C7C5"/>
              <w:left w:val="single" w:sz="2" w:space="0" w:color="C4C7C5"/>
              <w:bottom w:val="single" w:sz="2" w:space="0" w:color="C4C7C5"/>
              <w:right w:val="single" w:sz="2" w:space="0" w:color="C4C7C5"/>
            </w:tcBorders>
            <w:vAlign w:val="center"/>
          </w:tcPr>
          <w:p>
            <w:pPr>
              <w:pStyle w:val="TableContents"/>
              <w:keepNext w:val="false"/>
              <w:widowControl/>
              <w:spacing w:lineRule="auto" w:line="274" w:before="0" w:after="0"/>
              <w:ind w:hanging="0" w:left="0" w:right="0"/>
              <w:rPr>
                <w:rFonts w:ascii="Google Sans Text;sans-serif" w:hAnsi="Google Sans Text;sans-serif"/>
                <w:color w:val="1F1F1F"/>
              </w:rPr>
            </w:pPr>
            <w:r>
              <w:rPr>
                <w:rFonts w:ascii="Google Sans Text;sans-serif" w:hAnsi="Google Sans Text;sans-serif"/>
                <w:b/>
                <w:color w:val="1F1F1F"/>
              </w:rPr>
              <w:t>$0</w:t>
            </w:r>
            <w:r>
              <w:rPr>
                <w:rFonts w:ascii="Google Sans Text;sans-serif" w:hAnsi="Google Sans Text;sans-serif"/>
                <w:color w:val="1F1F1F"/>
              </w:rPr>
              <w:t xml:space="preserve"> (Zero extra tooling)</w:t>
            </w:r>
          </w:p>
        </w:tc>
      </w:tr>
    </w:tbl>
    <w:p>
      <w:pPr>
        <w:pStyle w:val="Heading3"/>
        <w:keepNext w:val="false"/>
        <w:pageBreakBefore w:val="false"/>
        <w:widowControl/>
        <w:pBdr/>
        <w:spacing w:lineRule="auto" w:line="274" w:before="0" w:after="0"/>
        <w:ind w:hanging="0" w:left="0" w:right="0"/>
        <w:rPr>
          <w:rFonts w:ascii="Google Sans;sans-serif" w:hAnsi="Google Sans;sans-serif"/>
          <w:i w:val="false"/>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pPr>
      <w:r>
        <w:rPr>
          <w:rFonts w:ascii="Google Sans;sans-serif" w:hAnsi="Google Sans;sans-serif"/>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t>Where Real Costs Exist (Pay-As-You-Go Usage)</w:t>
      </w:r>
    </w:p>
    <w:p>
      <w:pPr>
        <w:pStyle w:val="BodyText"/>
        <w:widowControl/>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The only unavoidable costs are pay-as-you-go utility services:</w:t>
      </w:r>
    </w:p>
    <w:p>
      <w:pPr>
        <w:pStyle w:val="BodyText"/>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SMS Gateway (Unavoidable Telecom Cost):</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SMS delivery is required for low-connectivity regions. </w:t>
      </w:r>
    </w:p>
    <w:p>
      <w:pPr>
        <w:pStyle w:val="BodyText"/>
        <w:keepNext w:val="false"/>
        <w:pageBreakBefore w:val="false"/>
        <w:widowControl/>
        <w:numPr>
          <w:ilvl w:val="0"/>
          <w:numId w:val="0"/>
        </w:numPr>
        <w:pBdr/>
        <w:spacing w:lineRule="auto" w:line="274" w:before="0" w:after="0"/>
        <w:ind w:hanging="0"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Providers:</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AWS SNS, Twilio, or local Nepal providers (e.g., Sparrow SMS).</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Cost:</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~$0.015 to $0.05 per SMS depending on destination country (budget ~$10–$30 for testing/pilot).</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Transactional Email:</w:t>
      </w:r>
    </w:p>
    <w:p>
      <w:pPr>
        <w:pStyle w:val="BodyText"/>
        <w:keepNext w:val="false"/>
        <w:pageBreakBefore w:val="false"/>
        <w:widowControl/>
        <w:numPr>
          <w:ilvl w:val="0"/>
          <w:numId w:val="0"/>
        </w:numPr>
        <w:pBdr/>
        <w:spacing w:lineRule="auto" w:line="274" w:before="0" w:after="0"/>
        <w:ind w:hanging="0"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Providers:</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Resend (3,000 emails/month free), AWS SES ($0.10 per 1,000 emails), or SendGrid (free tier).</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Cost:</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w:t>
      </w: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$0</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during development.</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AI Assistive Matching (Optional):</w:t>
      </w:r>
    </w:p>
    <w:p>
      <w:pPr>
        <w:pStyle w:val="BodyText"/>
        <w:keepNext w:val="false"/>
        <w:pageBreakBefore w:val="false"/>
        <w:widowControl/>
        <w:numPr>
          <w:ilvl w:val="0"/>
          <w:numId w:val="0"/>
        </w:numPr>
        <w:pBdr/>
        <w:spacing w:lineRule="auto" w:line="274" w:before="0" w:after="0"/>
        <w:ind w:hanging="0"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0"/>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Cloud LLM:</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OpenAI / Anthropic / Google Gemini API (pennies per 1,000 tokens for duplicate detection/summaries). </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0"/>
        </w:numPr>
        <w:pBdr/>
        <w:tabs>
          <w:tab w:val="clear" w:pos="720"/>
          <w:tab w:val="left" w:pos="0" w:leader="none"/>
        </w:tabs>
        <w:spacing w:lineRule="auto" w:line="274" w:before="0" w:after="0"/>
        <w:ind w:hanging="283"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Zero-Cost Alternative:</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Use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pgvector</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inside PostgreSQL with open-source Hugging Face embedding models (e.g.,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all-MiniLM-L6-v2</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running directly on the server.</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Heading3"/>
        <w:keepNext w:val="false"/>
        <w:pageBreakBefore w:val="false"/>
        <w:widowControl/>
        <w:pBdr/>
        <w:spacing w:lineRule="auto" w:line="274" w:before="0" w:after="0"/>
        <w:ind w:hanging="0" w:left="0" w:right="0"/>
        <w:rPr>
          <w:rFonts w:ascii="Google Sans;sans-serif" w:hAnsi="Google Sans;sans-serif"/>
          <w:i w:val="false"/>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pPr>
      <w:r>
        <w:rPr>
          <w:rFonts w:ascii="Google Sans;sans-serif" w:hAnsi="Google Sans;sans-serif"/>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t>Recommended Zero-License MVP Tech Stack</w:t>
      </w:r>
    </w:p>
    <w:p>
      <w:pPr>
        <w:pStyle w:val="BodyText"/>
        <w:widowControl/>
        <w:spacing w:lineRule="auto" w:line="274" w:before="0" w:after="0"/>
        <w:ind w:hanging="0" w:left="0" w:right="0"/>
        <w:rPr>
          <w:rFonts w:ascii="Google Sans Text;sans-serif" w:hAnsi="Google Sans Text;sans-serif" w:eastAsia="Arial Unicode MS" w:cs="Arial Unicode MS"/>
          <w:b/>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Application &amp; API Layer</w:t>
      </w:r>
    </w:p>
    <w:p>
      <w:pPr>
        <w:pStyle w:val="BodyText"/>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1"/>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Framework:</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Node.js/TypeScript (NestJS or Fastify) or Python (FastAPI).</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1"/>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Modular Monolith:</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Deploy all bounded contexts (Case Management, Safety Declarations, Assistance, Disputes) in a single service container to avoid microservice orchestration overhead. </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1"/>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Authorization (ABAC):</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Implement ABAC logic directly in application middleware using open-source libraries like CASL (TypeScript) or Casbin (Go/Python). </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widowControl/>
        <w:spacing w:lineRule="auto" w:line="274" w:before="0" w:after="0"/>
        <w:ind w:hanging="0" w:left="0" w:right="0"/>
        <w:rPr>
          <w:rFonts w:ascii="Google Sans Text;sans-serif" w:hAnsi="Google Sans Text;sans-serif" w:eastAsia="Arial Unicode MS" w:cs="Arial Unicode MS"/>
          <w:b/>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Data &amp; Event Backbone</w:t>
      </w:r>
    </w:p>
    <w:p>
      <w:pPr>
        <w:pStyle w:val="BodyText"/>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2"/>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PostgreSQL as Universal Workhorse:</w:t>
      </w:r>
    </w:p>
    <w:p>
      <w:pPr>
        <w:pStyle w:val="BodyText"/>
        <w:keepNext w:val="false"/>
        <w:pageBreakBefore w:val="false"/>
        <w:widowControl/>
        <w:numPr>
          <w:ilvl w:val="0"/>
          <w:numId w:val="0"/>
        </w:numPr>
        <w:pBdr/>
        <w:spacing w:lineRule="auto" w:line="274" w:before="0" w:after="0"/>
        <w:ind w:hanging="0"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2"/>
        </w:numPr>
        <w:pBdr/>
        <w:tabs>
          <w:tab w:val="clear" w:pos="720"/>
          <w:tab w:val="left" w:pos="0" w:leader="none"/>
        </w:tabs>
        <w:spacing w:lineRule="auto" w:line="274" w:before="0" w:after="0"/>
        <w:ind w:hanging="283"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Primary Data:</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Stores canonical entities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Case</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Person</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FamilyAuthorisation</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SafeguardingHandover</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2"/>
        </w:numPr>
        <w:pBdr/>
        <w:tabs>
          <w:tab w:val="clear" w:pos="720"/>
          <w:tab w:val="left" w:pos="0" w:leader="none"/>
        </w:tabs>
        <w:spacing w:lineRule="auto" w:line="274" w:before="0" w:after="0"/>
        <w:ind w:hanging="283"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Search Index:</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Use native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pg_trgm</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and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tsvector</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for phonetic, fuzzy, and alias matching. </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1"/>
          <w:numId w:val="12"/>
        </w:numPr>
        <w:pBdr/>
        <w:tabs>
          <w:tab w:val="clear" w:pos="720"/>
          <w:tab w:val="left" w:pos="0" w:leader="none"/>
        </w:tabs>
        <w:spacing w:lineRule="auto" w:line="274" w:before="0" w:after="0"/>
        <w:ind w:hanging="283" w:left="0" w:right="0"/>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Event Bus:</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Use the </w:t>
      </w: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Transactional Outbox Pattern</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When a case status changes, insert the CloudEvents payload into an </w:t>
      </w:r>
      <w:r>
        <w:rPr>
          <w:rStyle w:val="SourceText"/>
          <w:rFonts w:ascii="Google Sans Text;sans-serif" w:hAnsi="Google Sans Text;sans-serif"/>
          <w:b w:val="false"/>
          <w:bCs w:val="false"/>
          <w:i w:val="false"/>
          <w:iCs w:val="false"/>
          <w:caps w:val="false"/>
          <w:smallCaps w:val="false"/>
          <w:strike w:val="false"/>
          <w:dstrike w:val="false"/>
          <w:outline w:val="false"/>
          <w:color w:val="000000"/>
          <w:spacing w:val="0"/>
          <w:kern w:val="0"/>
          <w:position w:val="0"/>
          <w:sz w:val="23"/>
          <w:sz w:val="23"/>
          <w:szCs w:val="22"/>
          <w:u w:val="none" w:color="1F1F1F"/>
          <w:shd w:fill="auto" w:val="clear"/>
          <w:vertAlign w:val="baseline"/>
          <w:lang w:val="en-US"/>
          <w14:textFill>
            <w14:solidFill>
              <w14:srgbClr w14:val="000000">
                <w14:alpha w14:val="45000"/>
              </w14:srgbClr>
            </w14:solidFill>
          </w14:textFill>
        </w:rPr>
        <w:t>outbox_events</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table within the exact same database transaction. A lightweight background worker polls the table and executes asynchronous notifications, eliminating the need to procure Kafka or RabbitMQ clusters. </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widowControl/>
        <w:spacing w:lineRule="auto" w:line="274" w:before="0" w:after="0"/>
        <w:ind w:hanging="0" w:left="0" w:right="0"/>
        <w:rPr>
          <w:rFonts w:ascii="Google Sans Text;sans-serif" w:hAnsi="Google Sans Text;sans-serif" w:eastAsia="Arial Unicode MS" w:cs="Arial Unicode MS"/>
          <w:b/>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Deployment &amp; Hosting</w:t>
      </w:r>
    </w:p>
    <w:p>
      <w:pPr>
        <w:pStyle w:val="BodyText"/>
        <w:rPr>
          <w:rFonts w:ascii="Arial" w:hAnsi="Arial"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Arial" w:hAnsi="Arial"/>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3"/>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Cloud Infrastructure:</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A single Virtual Private Server (VPS) on Hetzner, DigitalOcean, Linode, or AWS Lightsail (4 vCPU, 8 GB RAM, NVMe SSD).</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3"/>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Orchestration:</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Docker Compose behind a Caddy reverse proxy (which handles automated Let’s Encrypt TLS certificates).</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Heading3"/>
        <w:keepNext w:val="false"/>
        <w:pageBreakBefore w:val="false"/>
        <w:widowControl/>
        <w:pBdr/>
        <w:spacing w:lineRule="auto" w:line="274" w:before="0" w:after="0"/>
        <w:ind w:hanging="0" w:left="0" w:right="0"/>
        <w:rPr>
          <w:rFonts w:ascii="Google Sans;sans-serif" w:hAnsi="Google Sans;sans-serif"/>
          <w:i w:val="false"/>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pPr>
      <w:r>
        <w:rPr>
          <w:rFonts w:ascii="Google Sans;sans-serif" w:hAnsi="Google Sans;sans-serif"/>
          <w:i w:val="false"/>
          <w:iCs w:val="false"/>
          <w:caps w:val="false"/>
          <w:smallCaps w:val="false"/>
          <w:strike w:val="false"/>
          <w:dstrike w:val="false"/>
          <w:outline w:val="false"/>
          <w:color w:val="1F1F1F"/>
          <w:spacing w:val="0"/>
          <w:kern w:val="0"/>
          <w:position w:val="0"/>
          <w:sz w:val="20"/>
          <w:u w:val="none" w:color="1F1F1F"/>
          <w:shd w:fill="auto" w:val="clear"/>
          <w:vertAlign w:val="baseline"/>
          <w:lang w:val="en-US"/>
        </w:rPr>
        <w:t>Total Monthly Cost Projection for Development &amp; Pilot</w:t>
      </w:r>
    </w:p>
    <w:p>
      <w:pPr>
        <w:pStyle w:val="BodyText"/>
        <w:keepNext w:val="false"/>
        <w:pageBreakBefore w:val="false"/>
        <w:widowControl/>
        <w:numPr>
          <w:ilvl w:val="0"/>
          <w:numId w:val="14"/>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Hosting / Compute (VPS):</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$20 – $40 / month</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4"/>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Domain &amp; DNS:</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$10 – $15 / year</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4"/>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Cloudflare Edge / CDN / DDoS:</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$0 / month (Free tier)</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4"/>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Email &amp; Object Storage:</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$0 / month (Free tiers)</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4"/>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SMS Testing Balance:</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$20 (One-time top-up)</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keepNext w:val="false"/>
        <w:pageBreakBefore w:val="false"/>
        <w:widowControl/>
        <w:numPr>
          <w:ilvl w:val="0"/>
          <w:numId w:val="14"/>
        </w:numPr>
        <w:pBdr/>
        <w:tabs>
          <w:tab w:val="clear" w:pos="720"/>
          <w:tab w:val="left" w:pos="0" w:leader="none"/>
        </w:tabs>
        <w:spacing w:lineRule="auto" w:line="274" w:before="0" w:after="0"/>
        <w:ind w:hanging="283"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Total Initial Outlay:</w:t>
      </w: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 </w:t>
      </w:r>
      <w:r>
        <w:rPr>
          <w:rFonts w:eastAsia="Arial Unicode MS" w:cs="Arial Unicode MS" w:ascii="Google Sans Text;sans-serif" w:hAnsi="Google Sans Text;sans-serif"/>
          <w:b/>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~$40 – $60 total</w:t>
      </w:r>
    </w:p>
    <w:p>
      <w:pPr>
        <w:pStyle w:val="BodyText"/>
        <w:keepNext w:val="false"/>
        <w:pageBreakBefore w:val="false"/>
        <w:widowControl/>
        <w:numPr>
          <w:ilvl w:val="0"/>
          <w:numId w:val="0"/>
        </w:numPr>
        <w:pBdr/>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r>
    </w:p>
    <w:p>
      <w:pPr>
        <w:pStyle w:val="BodyText"/>
        <w:widowControl/>
        <w:spacing w:lineRule="auto" w:line="274" w:before="0" w:after="0"/>
        <w:ind w:hanging="0" w:left="0" w:right="0"/>
        <w:rPr>
          <w:rFonts w:ascii="Google Sans Text;sans-serif" w:hAnsi="Google Sans Text;sans-serif" w:eastAsia="Arial Unicode MS" w:cs="Arial Unicode MS"/>
          <w:b w:val="false"/>
          <w:bCs w:val="false"/>
          <w:i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pPr>
      <w:r>
        <w:rPr>
          <w:rFonts w:eastAsia="Arial Unicode MS" w:cs="Arial Unicode MS" w:ascii="Google Sans Text;sans-serif" w:hAnsi="Google Sans Text;sans-serif"/>
          <w:b w:val="false"/>
          <w:bCs w:val="false"/>
          <w:i w:val="false"/>
          <w:iCs w:val="false"/>
          <w:caps w:val="false"/>
          <w:smallCaps w:val="false"/>
          <w:strike w:val="false"/>
          <w:dstrike w:val="false"/>
          <w:outline w:val="false"/>
          <w:color w:val="1F1F1F"/>
          <w:spacing w:val="0"/>
          <w:kern w:val="0"/>
          <w:position w:val="0"/>
          <w:sz w:val="22"/>
          <w:sz w:val="22"/>
          <w:szCs w:val="22"/>
          <w:u w:val="none" w:color="1F1F1F"/>
          <w:shd w:fill="auto" w:val="clear"/>
          <w:vertAlign w:val="baseline"/>
          <w:lang w:val="en-US"/>
        </w:rPr>
        <w:t xml:space="preserve">You do not need commercial licenses or upfront cloud commitments to build the full SPEC-001 through SPEC-005 capability. Starting with a PostgreSQL-centric modular architecture allows you to scale out to dedicated event brokers (Kafka) or standalone search clusters (OpenSearch) later when institutional deployment funding is granted. </w:t>
      </w:r>
    </w:p>
    <w:p>
      <w:pPr>
        <w:sectPr>
          <w:type w:val="continuous"/>
          <w:pgSz w:w="12240" w:h="15840"/>
          <w:pgMar w:left="1440" w:right="1440" w:gutter="0" w:header="0" w:top="1440" w:footer="720" w:bottom="1440"/>
          <w:formProt w:val="false"/>
          <w:textDirection w:val="lrTb"/>
          <w:docGrid w:type="default" w:linePitch="100" w:charSpace="0"/>
        </w:sectPr>
      </w:pPr>
    </w:p>
    <w:p>
      <w:pPr>
        <w:pStyle w:val="Body"/>
        <w:spacing w:lineRule="auto" w:line="276"/>
        <w:rPr>
          <w:outline w:val="false"/>
          <w:color w:val="1F1F1F"/>
          <w:u w:val="none" w:color="1F1F1F"/>
          <w:lang w:val="en-US"/>
        </w:rPr>
      </w:pPr>
      <w:r>
        <w:rPr>
          <w:outline w:val="false"/>
          <w:color w:val="1F1F1F"/>
          <w:u w:val="none" w:color="1F1F1F"/>
          <w:lang w:val="en-US"/>
        </w:rPr>
      </w:r>
    </w:p>
    <w:sectPr>
      <w:type w:val="continuous"/>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Helvetica Neue">
    <w:charset w:val="01"/>
    <w:family w:val="roman"/>
    <w:pitch w:val="variable"/>
  </w:font>
  <w:font w:name="Arial Unicode MS">
    <w:charset w:val="01"/>
    <w:family w:val="roman"/>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2">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3">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4">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5">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6">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7">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8">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9">
    <w:lvl w:ilvl="0">
      <w:start w:val="1"/>
      <w:numFmt w:val="bullet"/>
      <w:lvlText w:val="●"/>
      <w:lvlJc w:val="left"/>
      <w:pPr>
        <w:tabs>
          <w:tab w:val="num" w:pos="0"/>
        </w:tabs>
        <w:ind w:left="59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1">
      <w:start w:val="1"/>
      <w:numFmt w:val="bullet"/>
      <w:lvlText w:val="○"/>
      <w:lvlJc w:val="left"/>
      <w:pPr>
        <w:tabs>
          <w:tab w:val="num" w:pos="0"/>
        </w:tabs>
        <w:ind w:left="14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2">
      <w:start w:val="1"/>
      <w:numFmt w:val="bullet"/>
      <w:lvlText w:val="■"/>
      <w:lvlJc w:val="left"/>
      <w:pPr>
        <w:tabs>
          <w:tab w:val="num" w:pos="0"/>
        </w:tabs>
        <w:ind w:left="21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3">
      <w:start w:val="1"/>
      <w:numFmt w:val="bullet"/>
      <w:lvlText w:val="■"/>
      <w:lvlJc w:val="left"/>
      <w:pPr>
        <w:tabs>
          <w:tab w:val="num" w:pos="0"/>
        </w:tabs>
        <w:ind w:left="28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4">
      <w:start w:val="1"/>
      <w:numFmt w:val="bullet"/>
      <w:lvlText w:val="■"/>
      <w:lvlJc w:val="left"/>
      <w:pPr>
        <w:tabs>
          <w:tab w:val="num" w:pos="0"/>
        </w:tabs>
        <w:ind w:left="360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5">
      <w:start w:val="1"/>
      <w:numFmt w:val="bullet"/>
      <w:lvlText w:val="■"/>
      <w:lvlJc w:val="left"/>
      <w:pPr>
        <w:tabs>
          <w:tab w:val="num" w:pos="0"/>
        </w:tabs>
        <w:ind w:left="432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6">
      <w:start w:val="1"/>
      <w:numFmt w:val="bullet"/>
      <w:lvlText w:val="■"/>
      <w:lvlJc w:val="left"/>
      <w:pPr>
        <w:tabs>
          <w:tab w:val="num" w:pos="0"/>
        </w:tabs>
        <w:ind w:left="504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7">
      <w:start w:val="1"/>
      <w:numFmt w:val="bullet"/>
      <w:lvlText w:val="■"/>
      <w:lvlJc w:val="left"/>
      <w:pPr>
        <w:tabs>
          <w:tab w:val="num" w:pos="0"/>
        </w:tabs>
        <w:ind w:left="576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lvl w:ilvl="8">
      <w:start w:val="1"/>
      <w:numFmt w:val="bullet"/>
      <w:lvlText w:val="■"/>
      <w:lvlJc w:val="left"/>
      <w:pPr>
        <w:tabs>
          <w:tab w:val="num" w:pos="0"/>
        </w:tabs>
        <w:ind w:left="6480" w:hanging="360"/>
      </w:pPr>
      <w:rPr>
        <w:rFonts w:ascii="Arial" w:hAnsi="Arial" w:cs="Aria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color w:val="000000"/>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73"/>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pBdr/>
      <w:shd w:val="clear" w:color="auto" w:fill="auto"/>
      <w:suppressAutoHyphens w:val="false"/>
      <w:bidi w:val="0"/>
      <w:spacing w:lineRule="auto" w:line="240" w:beforeAutospacing="0" w:before="0" w:afterAutospacing="0" w:after="0"/>
      <w:ind w:hanging="0" w:left="0" w:right="0"/>
      <w:jc w:val="left"/>
    </w:pPr>
    <w:rPr>
      <w:rFonts w:ascii="Times New Roman" w:hAnsi="Times New Roman" w:eastAsia="Arial Unicode MS" w:cs="Times New Roman"/>
      <w:b w:val="false"/>
      <w:bCs w:val="false"/>
      <w:i w:val="false"/>
      <w:iCs w:val="false"/>
      <w:caps w:val="false"/>
      <w:smallCaps w:val="false"/>
      <w:strike w:val="false"/>
      <w:dstrike w:val="false"/>
      <w:outline w:val="false"/>
      <w:emboss w:val="false"/>
      <w:imprint w:val="false"/>
      <w:vanish w:val="false"/>
      <w:color w:val="auto"/>
      <w:spacing w:val="0"/>
      <w:w w:val="100"/>
      <w:kern w:val="0"/>
      <w:position w:val="0"/>
      <w:sz w:val="24"/>
      <w:sz w:val="24"/>
      <w:szCs w:val="24"/>
      <w:u w:val="none" w:color="FFFFFF"/>
      <w:vertAlign w:val="baseline"/>
      <w:lang w:val="en-US" w:eastAsia="en-US" w:bidi="ar-SA"/>
    </w:rPr>
  </w:style>
  <w:style w:type="paragraph" w:styleId="Heading2">
    <w:name w:val="heading 2"/>
    <w:next w:val="Body"/>
    <w:qFormat/>
    <w:pPr>
      <w:keepNext w:val="false"/>
      <w:keepLines w:val="false"/>
      <w:pageBreakBefore w:val="false"/>
      <w:widowControl w:val="false"/>
      <w:pBdr/>
      <w:shd w:val="clear" w:color="auto" w:fill="auto"/>
      <w:suppressAutoHyphens w:val="false"/>
      <w:bidi w:val="0"/>
      <w:spacing w:lineRule="auto" w:line="240" w:beforeAutospacing="0" w:before="225" w:afterAutospacing="0" w:after="225"/>
      <w:ind w:hanging="0" w:left="0" w:right="0"/>
      <w:jc w:val="left"/>
      <w:outlineLvl w:val="1"/>
    </w:pPr>
    <w:rPr>
      <w:rFonts w:ascii="Arial" w:hAnsi="Arial" w:eastAsia="Arial Unicode MS" w:cs="Arial Unicode MS"/>
      <w:b/>
      <w:bCs/>
      <w:i w:val="false"/>
      <w:iCs w:val="false"/>
      <w:caps w:val="false"/>
      <w:smallCaps w:val="false"/>
      <w:strike w:val="false"/>
      <w:dstrike w:val="false"/>
      <w:outline w:val="false"/>
      <w:emboss w:val="false"/>
      <w:imprint w:val="false"/>
      <w:vanish w:val="false"/>
      <w:color w:val="000000"/>
      <w:spacing w:val="0"/>
      <w:w w:val="100"/>
      <w:kern w:val="0"/>
      <w:position w:val="0"/>
      <w:sz w:val="36"/>
      <w:sz w:val="36"/>
      <w:szCs w:val="36"/>
      <w:u w:val="none" w:color="000000"/>
      <w:shd w:fill="auto" w:val="clear"/>
      <w:vertAlign w:val="baseline"/>
      <w:lang w:val="en-US" w:eastAsia="zh-CN" w:bidi="hi-IN"/>
      <w14:textOutline>
        <w14:noFill/>
      </w14:textOutline>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DefaultParagraphFont" w:default="1">
    <w:name w:val="Default Paragraph Font"/>
    <w:qFormat/>
    <w:rPr/>
  </w:style>
  <w:style w:type="character" w:styleId="Hyperlink">
    <w:name w:val="Hyperlink"/>
    <w:rPr>
      <w:u w:val="single" w:color="FFFFFF"/>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keepNext w:val="false"/>
      <w:keepLines w:val="false"/>
      <w:pageBreakBefore w:val="false"/>
      <w:widowControl/>
      <w:pBdr/>
      <w:shd w:val="clear" w:color="auto" w:fill="auto"/>
      <w:tabs>
        <w:tab w:val="clear" w:pos="720"/>
        <w:tab w:val="right" w:pos="9020" w:leader="none"/>
      </w:tabs>
      <w:suppressAutoHyphens w:val="false"/>
      <w:bidi w:val="0"/>
      <w:spacing w:lineRule="auto" w:line="240" w:beforeAutospacing="0" w:before="0" w:afterAutospacing="0" w:after="0"/>
      <w:ind w:hanging="0" w:left="0" w:right="0"/>
      <w:jc w:val="left"/>
    </w:pPr>
    <w:rPr>
      <w:rFonts w:ascii="Helvetica Neue" w:hAnsi="Helvetica Neue"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FFFFFF"/>
      <w:shd w:fill="auto" w:val="clear"/>
      <w:vertAlign w:val="baseline"/>
      <w:lang w:val="en-US" w:eastAsia="zh-CN" w:bidi="hi-IN"/>
      <w14:textOutline>
        <w14:noFill/>
      </w14:textOutline>
    </w:rPr>
  </w:style>
  <w:style w:type="paragraph" w:styleId="Body">
    <w:name w:val="Body"/>
    <w:qForma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left="0" w:right="0"/>
      <w:jc w:val="left"/>
    </w:pPr>
    <w:rPr>
      <w:rFonts w:ascii="Arial" w:hAnsi="Arial"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2"/>
      <w:sz w:val="22"/>
      <w:szCs w:val="22"/>
      <w:u w:val="none" w:color="000000"/>
      <w:shd w:fill="auto" w:val="clear"/>
      <w:vertAlign w:val="baseline"/>
      <w:lang w:val="en-US" w:eastAsia="zh-CN" w:bidi="hi-IN"/>
      <w14:textOutline>
        <w14:noFill/>
      </w14:textOutline>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qFormat/>
  </w:style>
  <w:style w:type="numbering" w:styleId="ImportedStyle1">
    <w:name w:val="Imported Style 1"/>
    <w:qFormat/>
  </w:style>
  <w:style w:type="numbering" w:styleId="ImportedStyle2">
    <w:name w:val="Imported Style 2"/>
    <w:qFormat/>
  </w:style>
  <w:style w:type="numbering" w:styleId="ImportedStyle3">
    <w:name w:val="Imported Style 3"/>
    <w:qFormat/>
  </w:style>
  <w:style w:type="numbering" w:styleId="ImportedStyle4">
    <w:name w:val="Imported Style 4"/>
    <w:qFormat/>
  </w:style>
  <w:style w:type="numbering" w:styleId="ImportedStyle5">
    <w:name w:val="Imported Style 5"/>
    <w:qFormat/>
  </w:style>
  <w:style w:type="numbering" w:styleId="ImportedStyle6">
    <w:name w:val="Imported Style 6"/>
    <w:qFormat/>
  </w:style>
  <w:style w:type="numbering" w:styleId="ImportedStyle7">
    <w:name w:val="Imported Style 7"/>
    <w:qFormat/>
  </w:style>
  <w:style w:type="numbering" w:styleId="ImportedStyle8">
    <w:name w:val="Imported Style 8"/>
    <w:qFormat/>
  </w:style>
  <w:style w:type="numbering" w:styleId="ImportedStyle9">
    <w:name w:val="Imported Style 9"/>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LibreOffice/25.2.0.3$MacOSX_AARCH64 LibreOffice_project/e1cf4a87eb02d755bce1a01209907ea5ddc8f069</Application>
  <AppVersion>15.0000</AppVersion>
  <Pages>8</Pages>
  <Words>1869</Words>
  <Characters>11618</Characters>
  <CharactersWithSpaces>13282</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2026-08-29T12:27:13Z</dcterms:modified>
  <cp:revision>1</cp:revision>
  <dc:subject/>
  <dc:title/>
</cp:coreProperties>
</file>