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fonts/font1.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15.odttf" ContentType="application/vnd.openxmlformats-officedocument.obfuscatedFont"/>
  <Override PartName="/word/fonts/font3.odttf" ContentType="application/vnd.openxmlformats-officedocument.obfuscatedFont"/>
  <Override PartName="/word/fonts/font16.odttf" ContentType="application/vnd.openxmlformats-officedocument.obfuscatedFont"/>
  <Override PartName="/word/fonts/font4.odttf" ContentType="application/vnd.openxmlformats-officedocument.obfuscatedFont"/>
  <Override PartName="/word/fonts/font17.odttf" ContentType="application/vnd.openxmlformats-officedocument.obfuscatedFont"/>
  <Override PartName="/word/fonts/font5.odttf" ContentType="application/vnd.openxmlformats-officedocument.obfuscatedFont"/>
  <Override PartName="/word/fonts/font18.odttf" ContentType="application/vnd.openxmlformats-officedocument.obfuscatedFont"/>
  <Override PartName="/word/fonts/font6.odttf" ContentType="application/vnd.openxmlformats-officedocument.obfuscatedFont"/>
  <Override PartName="/word/fonts/font19.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3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7.odttf" ContentType="application/vnd.openxmlformats-officedocument.obfuscatedFont"/>
  <Override PartName="/word/fonts/font28.odttf" ContentType="application/vnd.openxmlformats-officedocument.obfuscatedFont"/>
  <Override PartName="/word/fonts/font25.odttf" ContentType="application/vnd.openxmlformats-officedocument.obfuscatedFont"/>
  <Override PartName="/word/fonts/font31.odttf" ContentType="application/vnd.openxmlformats-officedocument.obfuscatedFont"/>
  <Override PartName="/word/fonts/font10.odttf" ContentType="application/vnd.openxmlformats-officedocument.obfuscatedFont"/>
  <Override PartName="/word/fonts/font29.odttf" ContentType="application/vnd.openxmlformats-officedocument.obfuscatedFont"/>
  <Override PartName="/word/fonts/font26.odttf" ContentType="application/vnd.openxmlformats-officedocument.obfuscatedFont"/>
  <Override PartName="/word/fonts/font32.odttf" ContentType="application/vnd.openxmlformats-officedocument.obfuscatedFont"/>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hd w:val="clear" w:fill="auto"/>
        <w:spacing w:lineRule="auto" w:line="276"/>
        <w:rPr>
          <w:rFonts w:ascii="Google Sans" w:hAnsi="Google Sans" w:eastAsia="Google Sans" w:cs="Google Sans"/>
          <w:color w:val="1F1F1F"/>
        </w:rPr>
      </w:pPr>
      <w:r>
        <w:rPr>
          <w:rFonts w:eastAsia="Google Sans" w:cs="Google Sans" w:ascii="Google Sans" w:hAnsi="Google Sans"/>
          <w:color w:val="1F1F1F"/>
        </w:rPr>
        <w:t>SPEC-006 defines the user experience, interaction models, and interface constraints for the FamilyConnect Minimum Viable Product (MVP). It translates the strict API, privacy, and architectural controls established in SPEC-003 through SPEC-005 into trauma-informed, low-bandwidth interfaces optimized for disaster zones.</w:t>
      </w:r>
    </w:p>
    <w:p>
      <w:pPr>
        <w:pStyle w:val="Heading2"/>
        <w:shd w:val="clear" w:fill="auto"/>
        <w:spacing w:lineRule="auto" w:line="276" w:before="0" w:after="0"/>
        <w:rPr>
          <w:rFonts w:ascii="Google Sans" w:hAnsi="Google Sans" w:eastAsia="Google Sans" w:cs="Google Sans"/>
          <w:color w:val="1F1F1F"/>
        </w:rPr>
      </w:pPr>
      <w:r>
        <w:rPr>
          <w:rFonts w:eastAsia="Google Sans" w:cs="Google Sans" w:ascii="Google Sans" w:hAnsi="Google Sans"/>
          <w:color w:val="1F1F1F"/>
        </w:rPr>
        <w:t>1. Core UX Principles</w:t>
      </w:r>
    </w:p>
    <w:p>
      <w:pPr>
        <w:pStyle w:val="normal1"/>
        <w:numPr>
          <w:ilvl w:val="0"/>
          <w:numId w:val="1"/>
        </w:numPr>
        <w:shd w:val="clear" w:fill="auto"/>
        <w:spacing w:lineRule="auto" w:line="276"/>
        <w:ind w:hanging="360" w:left="590"/>
        <w:rPr/>
      </w:pPr>
      <w:r>
        <w:rPr>
          <w:rFonts w:eastAsia="Google Sans" w:cs="Google Sans" w:ascii="Google Sans" w:hAnsi="Google Sans"/>
          <w:b/>
          <w:bCs/>
          <w:color w:val="1F1F1F"/>
        </w:rPr>
        <w:t>Trauma-Informed Design:</w:t>
      </w:r>
      <w:r>
        <w:rPr>
          <w:rFonts w:eastAsia="Google Sans" w:cs="Google Sans" w:ascii="Google Sans" w:hAnsi="Google Sans"/>
          <w:color w:val="1F1F1F"/>
        </w:rPr>
        <w:t xml:space="preserve"> Families in disaster zones experience extreme emotional distress and limited cognitive bandwidth. Interfaces must use plain language, high-contrast visual cues, and avoid overwhelming users with unnecessary data fields.</w:t>
      </w:r>
    </w:p>
    <w:p>
      <w:pPr>
        <w:pStyle w:val="normal1"/>
        <w:numPr>
          <w:ilvl w:val="0"/>
          <w:numId w:val="1"/>
        </w:numPr>
        <w:shd w:val="clear" w:fill="auto"/>
        <w:spacing w:lineRule="auto" w:line="276"/>
        <w:ind w:hanging="360" w:left="590"/>
        <w:rPr/>
      </w:pPr>
      <w:r>
        <w:rPr>
          <w:rFonts w:eastAsia="Google Sans" w:cs="Google Sans" w:ascii="Google Sans" w:hAnsi="Google Sans"/>
          <w:b/>
          <w:bCs/>
          <w:color w:val="1F1F1F"/>
        </w:rPr>
        <w:t>No False Certainty:</w:t>
      </w:r>
      <w:r>
        <w:rPr>
          <w:rFonts w:eastAsia="Google Sans" w:cs="Google Sans" w:ascii="Google Sans" w:hAnsi="Google Sans"/>
          <w:color w:val="1F1F1F"/>
        </w:rPr>
        <w:t xml:space="preserve"> The interface must visually differentiate between unverified claims and authoritative facts. AI-assisted matching must explicitly render as "Potential Match – Pending Human Review," never as a confirmed outcome.</w:t>
      </w:r>
    </w:p>
    <w:p>
      <w:pPr>
        <w:pStyle w:val="normal1"/>
        <w:numPr>
          <w:ilvl w:val="0"/>
          <w:numId w:val="1"/>
        </w:numPr>
        <w:shd w:val="clear" w:fill="auto"/>
        <w:spacing w:lineRule="auto" w:line="276"/>
        <w:ind w:hanging="360" w:left="590"/>
        <w:rPr/>
      </w:pPr>
      <w:r>
        <w:rPr>
          <w:rFonts w:eastAsia="Google Sans" w:cs="Google Sans" w:ascii="Google Sans" w:hAnsi="Google Sans"/>
          <w:b/>
          <w:bCs/>
          <w:color w:val="1F1F1F"/>
        </w:rPr>
        <w:t>Progressive Disclosure:</w:t>
      </w:r>
      <w:r>
        <w:rPr>
          <w:rFonts w:eastAsia="Google Sans" w:cs="Google Sans" w:ascii="Google Sans" w:hAnsi="Google Sans"/>
          <w:color w:val="1F1F1F"/>
        </w:rPr>
        <w:t xml:space="preserve"> Sensitive data, such as medical routing or exact physical locations, is masked by default on family dashboards. Revealing it requires an explicit interaction (e.g., "Tap to Reveal") to prevent shoulder-surfing in crowded evacuation camps.</w:t>
      </w:r>
    </w:p>
    <w:p>
      <w:pPr>
        <w:pStyle w:val="normal1"/>
        <w:numPr>
          <w:ilvl w:val="0"/>
          <w:numId w:val="1"/>
        </w:numPr>
        <w:shd w:val="clear" w:fill="auto"/>
        <w:spacing w:lineRule="auto" w:line="276"/>
        <w:ind w:hanging="360" w:left="590"/>
        <w:rPr/>
      </w:pPr>
      <w:r>
        <w:rPr>
          <w:rFonts w:eastAsia="Google Sans" w:cs="Google Sans" w:ascii="Google Sans" w:hAnsi="Google Sans"/>
          <w:b/>
          <w:bCs/>
          <w:color w:val="1F1F1F"/>
        </w:rPr>
        <w:t>Low-Bandwidth Optimization:</w:t>
      </w:r>
      <w:r>
        <w:rPr>
          <w:rFonts w:eastAsia="Google Sans" w:cs="Google Sans" w:ascii="Google Sans" w:hAnsi="Google Sans"/>
          <w:color w:val="1F1F1F"/>
        </w:rPr>
        <w:t xml:space="preserve"> The MVP interface must load rapidly over degraded 2G/3G networks common after earthquakes. The UI avoids heavy client-side frameworks, relying on minimal payloads and localized caching.</w:t>
      </w:r>
    </w:p>
    <w:p>
      <w:pPr>
        <w:pStyle w:val="normal1"/>
        <w:numPr>
          <w:ilvl w:val="0"/>
          <w:numId w:val="1"/>
        </w:numPr>
        <w:shd w:val="clear" w:fill="auto"/>
        <w:spacing w:lineRule="auto" w:line="276"/>
        <w:ind w:hanging="360" w:left="590"/>
        <w:rPr/>
      </w:pPr>
      <w:r>
        <w:rPr>
          <w:rFonts w:eastAsia="Google Sans" w:cs="Google Sans" w:ascii="Google Sans" w:hAnsi="Google Sans"/>
          <w:b/>
          <w:bCs/>
          <w:color w:val="1F1F1F"/>
        </w:rPr>
        <w:t>Offline Tolerance:</w:t>
      </w:r>
      <w:r>
        <w:rPr>
          <w:rFonts w:eastAsia="Google Sans" w:cs="Google Sans" w:ascii="Google Sans" w:hAnsi="Google Sans"/>
          <w:color w:val="1F1F1F"/>
        </w:rPr>
        <w:t xml:space="preserve"> The interface must never silently discard user input during network drops. The UI must explicitly distinguish between "Saved Offline" and "Synced to Server" states.</w:t>
      </w:r>
    </w:p>
    <w:p>
      <w:pPr>
        <w:pStyle w:val="Heading2"/>
        <w:shd w:val="clear" w:fill="auto"/>
        <w:spacing w:lineRule="auto" w:line="276" w:before="0" w:after="0"/>
        <w:rPr>
          <w:rFonts w:ascii="Google Sans" w:hAnsi="Google Sans" w:eastAsia="Google Sans" w:cs="Google Sans"/>
          <w:color w:val="1F1F1F"/>
        </w:rPr>
      </w:pPr>
      <w:r>
        <w:rPr>
          <w:rFonts w:eastAsia="Google Sans" w:cs="Google Sans" w:ascii="Google Sans" w:hAnsi="Google Sans"/>
          <w:color w:val="1F1F1F"/>
        </w:rPr>
        <w:t>2. The Kathmandu Scenario (Primary User Journey)</w:t>
      </w:r>
    </w:p>
    <w:p>
      <w:pPr>
        <w:pStyle w:val="normal1"/>
        <w:shd w:val="clear" w:fill="auto"/>
        <w:spacing w:lineRule="auto" w:line="276"/>
        <w:rPr>
          <w:rFonts w:ascii="Google Sans" w:hAnsi="Google Sans" w:eastAsia="Google Sans" w:cs="Google Sans"/>
          <w:color w:val="1F1F1F"/>
        </w:rPr>
      </w:pPr>
      <w:r>
        <w:rPr>
          <w:rFonts w:eastAsia="Google Sans" w:cs="Google Sans" w:ascii="Google Sans" w:hAnsi="Google Sans"/>
          <w:color w:val="1F1F1F"/>
        </w:rPr>
        <w:t>This journey validates the architectural acceptance criteria, guiding a distressed relative arriving in Kathmandu with minimal connectivity.</w:t>
      </w:r>
    </w:p>
    <w:p>
      <w:pPr>
        <w:pStyle w:val="normal1"/>
        <w:shd w:val="clear" w:fill="auto"/>
        <w:spacing w:lineRule="auto" w:line="276"/>
        <w:rPr>
          <w:rFonts w:ascii="Google Sans" w:hAnsi="Google Sans" w:eastAsia="Google Sans" w:cs="Google Sans"/>
          <w:color w:val="1F1F1F"/>
        </w:rPr>
      </w:pPr>
      <w:r>
        <w:rPr>
          <w:rFonts w:eastAsia="Google Sans" w:cs="Google Sans" w:ascii="Google Sans" w:hAnsi="Google Sans"/>
          <w:color w:val="1F1F1F"/>
        </w:rPr>
      </w:r>
    </w:p>
    <w:tbl>
      <w:tblPr>
        <w:tblStyle w:val="Table1"/>
        <w:tblW w:w="9360" w:type="dxa"/>
        <w:jc w:val="left"/>
        <w:tblInd w:w="0" w:type="dxa"/>
        <w:tblLayout w:type="fixed"/>
        <w:tblCellMar>
          <w:top w:w="120" w:type="dxa"/>
          <w:left w:w="180" w:type="dxa"/>
          <w:bottom w:w="120" w:type="dxa"/>
          <w:right w:w="180" w:type="dxa"/>
        </w:tblCellMar>
        <w:tblLook w:val="0600"/>
      </w:tblPr>
      <w:tblGrid>
        <w:gridCol w:w="2340"/>
        <w:gridCol w:w="2340"/>
        <w:gridCol w:w="2340"/>
        <w:gridCol w:w="2339"/>
      </w:tblGrid>
      <w:tr>
        <w:trPr/>
        <w:tc>
          <w:tcPr>
            <w:tcW w:w="2340" w:type="dxa"/>
            <w:tcBorders>
              <w:top w:val="single" w:sz="6" w:space="0" w:color="C4C7C5"/>
              <w:left w:val="single" w:sz="6" w:space="0" w:color="C4C7C5"/>
              <w:bottom w:val="single" w:sz="6" w:space="0" w:color="C4C7C5"/>
              <w:right w:val="single" w:sz="6" w:space="0" w:color="C4C7C5"/>
            </w:tcBorders>
            <w:shd w:fill="EFEFEF" w:val="clear"/>
          </w:tcPr>
          <w:p>
            <w:pPr>
              <w:pStyle w:val="normal1"/>
              <w:shd w:val="clear" w:fill="auto"/>
              <w:spacing w:lineRule="auto" w:line="276" w:before="120" w:after="120"/>
              <w:rPr>
                <w:rFonts w:ascii="Google Sans" w:hAnsi="Google Sans" w:eastAsia="Google Sans" w:cs="Google Sans"/>
                <w:b/>
                <w:bCs/>
                <w:color w:val="1F1F1F"/>
                <w:shd w:fill="auto" w:val="clear"/>
              </w:rPr>
            </w:pPr>
            <w:r>
              <w:rPr>
                <w:rFonts w:eastAsia="Google Sans" w:cs="Google Sans" w:ascii="Google Sans" w:hAnsi="Google Sans"/>
                <w:b/>
                <w:bCs/>
                <w:color w:val="1F1F1F"/>
                <w:shd w:fill="auto" w:val="clear"/>
              </w:rPr>
              <w:t>Journey Phase</w:t>
            </w:r>
          </w:p>
        </w:tc>
        <w:tc>
          <w:tcPr>
            <w:tcW w:w="2340" w:type="dxa"/>
            <w:tcBorders>
              <w:top w:val="single" w:sz="6" w:space="0" w:color="C4C7C5"/>
              <w:left w:val="single" w:sz="6" w:space="0" w:color="C4C7C5"/>
              <w:bottom w:val="single" w:sz="6" w:space="0" w:color="C4C7C5"/>
              <w:right w:val="single" w:sz="6" w:space="0" w:color="C4C7C5"/>
            </w:tcBorders>
            <w:shd w:fill="EFEFEF" w:val="clear"/>
          </w:tcPr>
          <w:p>
            <w:pPr>
              <w:pStyle w:val="normal1"/>
              <w:shd w:val="clear" w:fill="auto"/>
              <w:spacing w:lineRule="auto" w:line="276" w:before="120" w:after="120"/>
              <w:rPr>
                <w:rFonts w:ascii="Google Sans" w:hAnsi="Google Sans" w:eastAsia="Google Sans" w:cs="Google Sans"/>
                <w:b/>
                <w:bCs/>
                <w:color w:val="1F1F1F"/>
                <w:shd w:fill="auto" w:val="clear"/>
              </w:rPr>
            </w:pPr>
            <w:r>
              <w:rPr>
                <w:rFonts w:eastAsia="Google Sans" w:cs="Google Sans" w:ascii="Google Sans" w:hAnsi="Google Sans"/>
                <w:b/>
                <w:bCs/>
                <w:color w:val="1F1F1F"/>
                <w:shd w:fill="auto" w:val="clear"/>
              </w:rPr>
              <w:t>User Action</w:t>
            </w:r>
          </w:p>
        </w:tc>
        <w:tc>
          <w:tcPr>
            <w:tcW w:w="2340" w:type="dxa"/>
            <w:tcBorders>
              <w:top w:val="single" w:sz="6" w:space="0" w:color="C4C7C5"/>
              <w:left w:val="single" w:sz="6" w:space="0" w:color="C4C7C5"/>
              <w:bottom w:val="single" w:sz="6" w:space="0" w:color="C4C7C5"/>
              <w:right w:val="single" w:sz="6" w:space="0" w:color="C4C7C5"/>
            </w:tcBorders>
            <w:shd w:fill="EFEFEF" w:val="clear"/>
          </w:tcPr>
          <w:p>
            <w:pPr>
              <w:pStyle w:val="normal1"/>
              <w:shd w:val="clear" w:fill="auto"/>
              <w:spacing w:lineRule="auto" w:line="276" w:before="120" w:after="120"/>
              <w:rPr>
                <w:rFonts w:ascii="Google Sans" w:hAnsi="Google Sans" w:eastAsia="Google Sans" w:cs="Google Sans"/>
                <w:b/>
                <w:bCs/>
                <w:color w:val="1F1F1F"/>
                <w:shd w:fill="auto" w:val="clear"/>
              </w:rPr>
            </w:pPr>
            <w:r>
              <w:rPr>
                <w:rFonts w:eastAsia="Google Sans" w:cs="Google Sans" w:ascii="Google Sans" w:hAnsi="Google Sans"/>
                <w:b/>
                <w:bCs/>
                <w:color w:val="1F1F1F"/>
                <w:shd w:fill="auto" w:val="clear"/>
              </w:rPr>
              <w:t>Interface Response</w:t>
            </w:r>
          </w:p>
        </w:tc>
        <w:tc>
          <w:tcPr>
            <w:tcW w:w="2339" w:type="dxa"/>
            <w:tcBorders>
              <w:top w:val="single" w:sz="6" w:space="0" w:color="C4C7C5"/>
              <w:left w:val="single" w:sz="6" w:space="0" w:color="C4C7C5"/>
              <w:bottom w:val="single" w:sz="6" w:space="0" w:color="C4C7C5"/>
              <w:right w:val="single" w:sz="6" w:space="0" w:color="C4C7C5"/>
            </w:tcBorders>
            <w:shd w:fill="EFEFEF" w:val="clear"/>
          </w:tcPr>
          <w:p>
            <w:pPr>
              <w:pStyle w:val="normal1"/>
              <w:shd w:val="clear" w:fill="auto"/>
              <w:spacing w:lineRule="auto" w:line="276" w:before="120" w:after="120"/>
              <w:rPr>
                <w:rFonts w:ascii="Google Sans" w:hAnsi="Google Sans" w:eastAsia="Google Sans" w:cs="Google Sans"/>
                <w:b/>
                <w:bCs/>
                <w:color w:val="1F1F1F"/>
                <w:shd w:fill="auto" w:val="clear"/>
              </w:rPr>
            </w:pPr>
            <w:r>
              <w:rPr>
                <w:rFonts w:eastAsia="Google Sans" w:cs="Google Sans" w:ascii="Google Sans" w:hAnsi="Google Sans"/>
                <w:b/>
                <w:bCs/>
                <w:color w:val="1F1F1F"/>
                <w:shd w:fill="auto" w:val="clear"/>
              </w:rPr>
              <w:t>Privacy &amp; Data Control</w:t>
            </w:r>
          </w:p>
        </w:tc>
      </w:tr>
      <w:tr>
        <w:trPr/>
        <w:tc>
          <w:tcPr>
            <w:tcW w:w="2340" w:type="dxa"/>
            <w:tcBorders>
              <w:top w:val="single" w:sz="6" w:space="0" w:color="C4C7C5"/>
              <w:left w:val="single" w:sz="6" w:space="0" w:color="C4C7C5"/>
              <w:bottom w:val="single" w:sz="6" w:space="0" w:color="C4C7C5"/>
              <w:right w:val="single" w:sz="6" w:space="0" w:color="C4C7C5"/>
            </w:tcBorders>
            <w:shd w:fill="auto" w:val="clear"/>
          </w:tcPr>
          <w:p>
            <w:pPr>
              <w:pStyle w:val="normal1"/>
              <w:shd w:val="clear" w:fill="auto"/>
              <w:spacing w:lineRule="auto" w:line="276" w:before="120" w:after="120"/>
              <w:rPr>
                <w:rFonts w:ascii="Google Sans" w:hAnsi="Google Sans" w:eastAsia="Google Sans" w:cs="Google Sans"/>
                <w:b/>
                <w:bCs/>
                <w:color w:val="1F1F1F"/>
              </w:rPr>
            </w:pPr>
            <w:r>
              <w:rPr>
                <w:rFonts w:eastAsia="Google Sans" w:cs="Google Sans" w:ascii="Google Sans" w:hAnsi="Google Sans"/>
                <w:b/>
                <w:bCs/>
                <w:color w:val="1F1F1F"/>
              </w:rPr>
              <w:t>Arrival &amp; Discovery</w:t>
            </w:r>
          </w:p>
        </w:tc>
        <w:tc>
          <w:tcPr>
            <w:tcW w:w="2340" w:type="dxa"/>
            <w:tcBorders>
              <w:top w:val="single" w:sz="6" w:space="0" w:color="C4C7C5"/>
              <w:left w:val="single" w:sz="6" w:space="0" w:color="C4C7C5"/>
              <w:bottom w:val="single" w:sz="6" w:space="0" w:color="C4C7C5"/>
              <w:right w:val="single" w:sz="6" w:space="0" w:color="C4C7C5"/>
            </w:tcBorders>
            <w:shd w:fill="auto" w:val="clear"/>
          </w:tcPr>
          <w:p>
            <w:pPr>
              <w:pStyle w:val="normal1"/>
              <w:shd w:val="clear" w:fill="auto"/>
              <w:spacing w:lineRule="auto" w:line="276" w:before="120" w:after="120"/>
              <w:rPr>
                <w:rFonts w:ascii="Google Sans" w:hAnsi="Google Sans" w:eastAsia="Google Sans" w:cs="Google Sans"/>
                <w:color w:val="1F1F1F"/>
              </w:rPr>
            </w:pPr>
            <w:r>
              <w:rPr>
                <w:rFonts w:eastAsia="Google Sans" w:cs="Google Sans" w:ascii="Google Sans" w:hAnsi="Google Sans"/>
                <w:color w:val="1F1F1F"/>
              </w:rPr>
              <w:t>Scans QR code at airport or connects to low-bandwidth portal.</w:t>
            </w:r>
          </w:p>
        </w:tc>
        <w:tc>
          <w:tcPr>
            <w:tcW w:w="2340" w:type="dxa"/>
            <w:tcBorders>
              <w:top w:val="single" w:sz="6" w:space="0" w:color="C4C7C5"/>
              <w:left w:val="single" w:sz="6" w:space="0" w:color="C4C7C5"/>
              <w:bottom w:val="single" w:sz="6" w:space="0" w:color="C4C7C5"/>
              <w:right w:val="single" w:sz="6" w:space="0" w:color="C4C7C5"/>
            </w:tcBorders>
            <w:shd w:fill="auto" w:val="clear"/>
          </w:tcPr>
          <w:p>
            <w:pPr>
              <w:pStyle w:val="normal1"/>
              <w:shd w:val="clear" w:fill="auto"/>
              <w:spacing w:lineRule="auto" w:line="276" w:before="120" w:after="120"/>
              <w:rPr>
                <w:rFonts w:ascii="Google Sans" w:hAnsi="Google Sans" w:eastAsia="Google Sans" w:cs="Google Sans"/>
                <w:color w:val="1F1F1F"/>
              </w:rPr>
            </w:pPr>
            <w:r>
              <w:rPr>
                <w:rFonts w:eastAsia="Google Sans" w:cs="Google Sans" w:ascii="Google Sans" w:hAnsi="Google Sans"/>
                <w:color w:val="1F1F1F"/>
              </w:rPr>
              <w:t>Loads lightweight landing page prioritizing immediate actions: "I Am Safe," "Report Missing," and "Find Assistance Centre."</w:t>
            </w:r>
          </w:p>
        </w:tc>
        <w:tc>
          <w:tcPr>
            <w:tcW w:w="2339" w:type="dxa"/>
            <w:tcBorders>
              <w:top w:val="single" w:sz="6" w:space="0" w:color="C4C7C5"/>
              <w:left w:val="single" w:sz="6" w:space="0" w:color="C4C7C5"/>
              <w:bottom w:val="single" w:sz="6" w:space="0" w:color="C4C7C5"/>
              <w:right w:val="single" w:sz="6" w:space="0" w:color="C4C7C5"/>
            </w:tcBorders>
            <w:shd w:fill="auto" w:val="clear"/>
          </w:tcPr>
          <w:p>
            <w:pPr>
              <w:pStyle w:val="normal1"/>
              <w:shd w:val="clear" w:fill="auto"/>
              <w:spacing w:lineRule="auto" w:line="276"/>
              <w:rPr>
                <w:rFonts w:ascii="Google Sans" w:hAnsi="Google Sans" w:eastAsia="Google Sans" w:cs="Google Sans"/>
                <w:color w:val="1F1F1F"/>
              </w:rPr>
            </w:pPr>
            <w:r>
              <w:rPr>
                <w:rFonts w:eastAsia="Google Sans" w:cs="Google Sans" w:ascii="Google Sans" w:hAnsi="Google Sans"/>
                <w:color w:val="1F1F1F"/>
              </w:rPr>
              <w:t>Public API access only; no case enumeration or searchable databases exposed.</w:t>
            </w:r>
          </w:p>
        </w:tc>
      </w:tr>
      <w:tr>
        <w:trPr/>
        <w:tc>
          <w:tcPr>
            <w:tcW w:w="2340" w:type="dxa"/>
            <w:tcBorders>
              <w:top w:val="single" w:sz="6" w:space="0" w:color="C4C7C5"/>
              <w:left w:val="single" w:sz="6" w:space="0" w:color="C4C7C5"/>
              <w:bottom w:val="single" w:sz="6" w:space="0" w:color="C4C7C5"/>
              <w:right w:val="single" w:sz="6" w:space="0" w:color="C4C7C5"/>
            </w:tcBorders>
            <w:shd w:fill="auto" w:val="clear"/>
          </w:tcPr>
          <w:p>
            <w:pPr>
              <w:pStyle w:val="normal1"/>
              <w:shd w:val="clear" w:fill="auto"/>
              <w:spacing w:lineRule="auto" w:line="276" w:before="120" w:after="120"/>
              <w:rPr>
                <w:rFonts w:ascii="Google Sans" w:hAnsi="Google Sans" w:eastAsia="Google Sans" w:cs="Google Sans"/>
                <w:b/>
                <w:bCs/>
                <w:color w:val="1F1F1F"/>
              </w:rPr>
            </w:pPr>
            <w:r>
              <w:rPr>
                <w:rFonts w:eastAsia="Google Sans" w:cs="Google Sans" w:ascii="Google Sans" w:hAnsi="Google Sans"/>
                <w:b/>
                <w:bCs/>
                <w:color w:val="1F1F1F"/>
              </w:rPr>
              <w:t>Case Registration</w:t>
            </w:r>
          </w:p>
        </w:tc>
        <w:tc>
          <w:tcPr>
            <w:tcW w:w="2340" w:type="dxa"/>
            <w:tcBorders>
              <w:top w:val="single" w:sz="6" w:space="0" w:color="C4C7C5"/>
              <w:left w:val="single" w:sz="6" w:space="0" w:color="C4C7C5"/>
              <w:bottom w:val="single" w:sz="6" w:space="0" w:color="C4C7C5"/>
              <w:right w:val="single" w:sz="6" w:space="0" w:color="C4C7C5"/>
            </w:tcBorders>
            <w:shd w:fill="auto" w:val="clear"/>
          </w:tcPr>
          <w:p>
            <w:pPr>
              <w:pStyle w:val="normal1"/>
              <w:shd w:val="clear" w:fill="auto"/>
              <w:spacing w:lineRule="auto" w:line="276"/>
              <w:rPr>
                <w:rFonts w:ascii="Google Sans" w:hAnsi="Google Sans" w:eastAsia="Google Sans" w:cs="Google Sans"/>
                <w:color w:val="1F1F1F"/>
              </w:rPr>
            </w:pPr>
            <w:r>
              <w:rPr>
                <w:rFonts w:eastAsia="Google Sans" w:cs="Google Sans" w:ascii="Google Sans" w:hAnsi="Google Sans"/>
                <w:color w:val="1F1F1F"/>
              </w:rPr>
              <w:t>Submits basic details, last known contact, and relationship.</w:t>
            </w:r>
          </w:p>
        </w:tc>
        <w:tc>
          <w:tcPr>
            <w:tcW w:w="2340" w:type="dxa"/>
            <w:tcBorders>
              <w:top w:val="single" w:sz="6" w:space="0" w:color="C4C7C5"/>
              <w:left w:val="single" w:sz="6" w:space="0" w:color="C4C7C5"/>
              <w:bottom w:val="single" w:sz="6" w:space="0" w:color="C4C7C5"/>
              <w:right w:val="single" w:sz="6" w:space="0" w:color="C4C7C5"/>
            </w:tcBorders>
            <w:shd w:fill="auto" w:val="clear"/>
          </w:tcPr>
          <w:p>
            <w:pPr>
              <w:pStyle w:val="normal1"/>
              <w:shd w:val="clear" w:fill="auto"/>
              <w:spacing w:lineRule="auto" w:line="276"/>
              <w:rPr>
                <w:rFonts w:ascii="Google Sans" w:hAnsi="Google Sans" w:eastAsia="Google Sans" w:cs="Google Sans"/>
                <w:color w:val="1F1F1F"/>
              </w:rPr>
            </w:pPr>
            <w:r>
              <w:rPr>
                <w:rFonts w:eastAsia="Google Sans" w:cs="Google Sans" w:ascii="Google Sans" w:hAnsi="Google Sans"/>
                <w:color w:val="1F1F1F"/>
              </w:rPr>
              <w:t>Issues a unique Case Reference ID. Displays an immediate SubmissionReceipt acknowledging triage.</w:t>
            </w:r>
          </w:p>
        </w:tc>
        <w:tc>
          <w:tcPr>
            <w:tcW w:w="2339" w:type="dxa"/>
            <w:tcBorders>
              <w:top w:val="single" w:sz="6" w:space="0" w:color="C4C7C5"/>
              <w:left w:val="single" w:sz="6" w:space="0" w:color="C4C7C5"/>
              <w:bottom w:val="single" w:sz="6" w:space="0" w:color="C4C7C5"/>
              <w:right w:val="single" w:sz="6" w:space="0" w:color="C4C7C5"/>
            </w:tcBorders>
            <w:shd w:fill="auto" w:val="clear"/>
          </w:tcPr>
          <w:p>
            <w:pPr>
              <w:pStyle w:val="normal1"/>
              <w:shd w:val="clear" w:fill="auto"/>
              <w:spacing w:lineRule="auto" w:line="276"/>
              <w:rPr>
                <w:rFonts w:ascii="Google Sans" w:hAnsi="Google Sans" w:eastAsia="Google Sans" w:cs="Google Sans"/>
                <w:color w:val="1F1F1F"/>
              </w:rPr>
            </w:pPr>
            <w:r>
              <w:rPr>
                <w:rFonts w:eastAsia="Google Sans" w:cs="Google Sans" w:ascii="Google Sans" w:hAnsi="Google Sans"/>
                <w:color w:val="1F1F1F"/>
              </w:rPr>
              <w:t>Submission succeeds via idempotent POST request, protecting against accidental retries.</w:t>
            </w:r>
          </w:p>
        </w:tc>
      </w:tr>
      <w:tr>
        <w:trPr/>
        <w:tc>
          <w:tcPr>
            <w:tcW w:w="2340" w:type="dxa"/>
            <w:tcBorders>
              <w:top w:val="single" w:sz="6" w:space="0" w:color="C4C7C5"/>
              <w:left w:val="single" w:sz="6" w:space="0" w:color="C4C7C5"/>
              <w:bottom w:val="single" w:sz="6" w:space="0" w:color="C4C7C5"/>
              <w:right w:val="single" w:sz="6" w:space="0" w:color="C4C7C5"/>
            </w:tcBorders>
            <w:shd w:fill="auto" w:val="clear"/>
          </w:tcPr>
          <w:p>
            <w:pPr>
              <w:pStyle w:val="normal1"/>
              <w:shd w:val="clear" w:fill="auto"/>
              <w:spacing w:lineRule="auto" w:line="276" w:before="120" w:after="120"/>
              <w:rPr>
                <w:rFonts w:ascii="Google Sans" w:hAnsi="Google Sans" w:eastAsia="Google Sans" w:cs="Google Sans"/>
                <w:b/>
                <w:bCs/>
                <w:color w:val="1F1F1F"/>
              </w:rPr>
            </w:pPr>
            <w:r>
              <w:rPr>
                <w:rFonts w:eastAsia="Google Sans" w:cs="Google Sans" w:ascii="Google Sans" w:hAnsi="Google Sans"/>
                <w:b/>
                <w:bCs/>
                <w:color w:val="1F1F1F"/>
              </w:rPr>
              <w:t>Authentication</w:t>
            </w:r>
          </w:p>
        </w:tc>
        <w:tc>
          <w:tcPr>
            <w:tcW w:w="2340" w:type="dxa"/>
            <w:tcBorders>
              <w:top w:val="single" w:sz="6" w:space="0" w:color="C4C7C5"/>
              <w:left w:val="single" w:sz="6" w:space="0" w:color="C4C7C5"/>
              <w:bottom w:val="single" w:sz="6" w:space="0" w:color="C4C7C5"/>
              <w:right w:val="single" w:sz="6" w:space="0" w:color="C4C7C5"/>
            </w:tcBorders>
            <w:shd w:fill="auto" w:val="clear"/>
          </w:tcPr>
          <w:p>
            <w:pPr>
              <w:pStyle w:val="normal1"/>
              <w:shd w:val="clear" w:fill="auto"/>
              <w:spacing w:lineRule="auto" w:line="276"/>
              <w:rPr>
                <w:rFonts w:ascii="Google Sans" w:hAnsi="Google Sans" w:eastAsia="Google Sans" w:cs="Google Sans"/>
                <w:color w:val="1F1F1F"/>
              </w:rPr>
            </w:pPr>
            <w:r>
              <w:rPr>
                <w:rFonts w:eastAsia="Google Sans" w:cs="Google Sans" w:ascii="Google Sans" w:hAnsi="Google Sans"/>
                <w:color w:val="1F1F1F"/>
              </w:rPr>
              <w:t>Enters Case Reference and verifies identity via OTP or Red Cross worker.</w:t>
            </w:r>
          </w:p>
        </w:tc>
        <w:tc>
          <w:tcPr>
            <w:tcW w:w="2340" w:type="dxa"/>
            <w:tcBorders>
              <w:top w:val="single" w:sz="6" w:space="0" w:color="C4C7C5"/>
              <w:left w:val="single" w:sz="6" w:space="0" w:color="C4C7C5"/>
              <w:bottom w:val="single" w:sz="6" w:space="0" w:color="C4C7C5"/>
              <w:right w:val="single" w:sz="6" w:space="0" w:color="C4C7C5"/>
            </w:tcBorders>
            <w:shd w:fill="auto" w:val="clear"/>
          </w:tcPr>
          <w:p>
            <w:pPr>
              <w:pStyle w:val="normal1"/>
              <w:shd w:val="clear" w:fill="auto"/>
              <w:spacing w:lineRule="auto" w:line="276"/>
              <w:rPr>
                <w:rFonts w:ascii="Google Sans" w:hAnsi="Google Sans" w:eastAsia="Google Sans" w:cs="Google Sans"/>
                <w:color w:val="1F1F1F"/>
              </w:rPr>
            </w:pPr>
            <w:r>
              <w:rPr>
                <w:rFonts w:eastAsia="Google Sans" w:cs="Google Sans" w:ascii="Google Sans" w:hAnsi="Google Sans"/>
                <w:color w:val="1F1F1F"/>
              </w:rPr>
              <w:t>Unlocks the restricted Family Dashboard based on Identity Assurance Level (IAL).</w:t>
            </w:r>
          </w:p>
        </w:tc>
        <w:tc>
          <w:tcPr>
            <w:tcW w:w="2339" w:type="dxa"/>
            <w:tcBorders>
              <w:top w:val="single" w:sz="6" w:space="0" w:color="C4C7C5"/>
              <w:left w:val="single" w:sz="6" w:space="0" w:color="C4C7C5"/>
              <w:bottom w:val="single" w:sz="6" w:space="0" w:color="C4C7C5"/>
              <w:right w:val="single" w:sz="6" w:space="0" w:color="C4C7C5"/>
            </w:tcBorders>
            <w:shd w:fill="auto" w:val="clear"/>
          </w:tcPr>
          <w:p>
            <w:pPr>
              <w:pStyle w:val="normal1"/>
              <w:shd w:val="clear" w:fill="auto"/>
              <w:spacing w:lineRule="auto" w:line="276"/>
              <w:rPr>
                <w:rFonts w:ascii="Google Sans" w:hAnsi="Google Sans" w:eastAsia="Google Sans" w:cs="Google Sans"/>
                <w:color w:val="1F1F1F"/>
              </w:rPr>
            </w:pPr>
            <w:r>
              <w:rPr>
                <w:rFonts w:eastAsia="Google Sans" w:cs="Google Sans" w:ascii="Google Sans" w:hAnsi="Google Sans"/>
                <w:color w:val="1F1F1F"/>
              </w:rPr>
              <w:t>Enforces minimum necessary disclosure based on PurposeOfAccess.</w:t>
            </w:r>
          </w:p>
        </w:tc>
      </w:tr>
      <w:tr>
        <w:trPr/>
        <w:tc>
          <w:tcPr>
            <w:tcW w:w="2340" w:type="dxa"/>
            <w:tcBorders>
              <w:top w:val="single" w:sz="6" w:space="0" w:color="C4C7C5"/>
              <w:left w:val="single" w:sz="6" w:space="0" w:color="C4C7C5"/>
              <w:bottom w:val="single" w:sz="6" w:space="0" w:color="C4C7C5"/>
              <w:right w:val="single" w:sz="6" w:space="0" w:color="C4C7C5"/>
            </w:tcBorders>
            <w:shd w:fill="auto" w:val="clear"/>
          </w:tcPr>
          <w:p>
            <w:pPr>
              <w:pStyle w:val="normal1"/>
              <w:shd w:val="clear" w:fill="auto"/>
              <w:spacing w:lineRule="auto" w:line="276" w:before="120" w:after="120"/>
              <w:rPr>
                <w:rFonts w:ascii="Google Sans" w:hAnsi="Google Sans" w:eastAsia="Google Sans" w:cs="Google Sans"/>
                <w:b/>
                <w:bCs/>
                <w:color w:val="1F1F1F"/>
              </w:rPr>
            </w:pPr>
            <w:r>
              <w:rPr>
                <w:rFonts w:eastAsia="Google Sans" w:cs="Google Sans" w:ascii="Google Sans" w:hAnsi="Google Sans"/>
                <w:b/>
                <w:bCs/>
                <w:color w:val="1F1F1F"/>
              </w:rPr>
              <w:t>Case Tracking</w:t>
            </w:r>
          </w:p>
        </w:tc>
        <w:tc>
          <w:tcPr>
            <w:tcW w:w="2340" w:type="dxa"/>
            <w:tcBorders>
              <w:top w:val="single" w:sz="6" w:space="0" w:color="C4C7C5"/>
              <w:left w:val="single" w:sz="6" w:space="0" w:color="C4C7C5"/>
              <w:bottom w:val="single" w:sz="6" w:space="0" w:color="C4C7C5"/>
              <w:right w:val="single" w:sz="6" w:space="0" w:color="C4C7C5"/>
            </w:tcBorders>
            <w:shd w:fill="auto" w:val="clear"/>
          </w:tcPr>
          <w:p>
            <w:pPr>
              <w:pStyle w:val="normal1"/>
              <w:shd w:val="clear" w:fill="auto"/>
              <w:spacing w:lineRule="auto" w:line="276"/>
              <w:rPr>
                <w:rFonts w:ascii="Google Sans" w:hAnsi="Google Sans" w:eastAsia="Google Sans" w:cs="Google Sans"/>
                <w:color w:val="1F1F1F"/>
              </w:rPr>
            </w:pPr>
            <w:r>
              <w:rPr>
                <w:rFonts w:eastAsia="Google Sans" w:cs="Google Sans" w:ascii="Google Sans" w:hAnsi="Google Sans"/>
                <w:color w:val="1F1F1F"/>
              </w:rPr>
              <w:t>Views the case timeline and current status.</w:t>
            </w:r>
          </w:p>
        </w:tc>
        <w:tc>
          <w:tcPr>
            <w:tcW w:w="2340" w:type="dxa"/>
            <w:tcBorders>
              <w:top w:val="single" w:sz="6" w:space="0" w:color="C4C7C5"/>
              <w:left w:val="single" w:sz="6" w:space="0" w:color="C4C7C5"/>
              <w:bottom w:val="single" w:sz="6" w:space="0" w:color="C4C7C5"/>
              <w:right w:val="single" w:sz="6" w:space="0" w:color="C4C7C5"/>
            </w:tcBorders>
            <w:shd w:fill="auto" w:val="clear"/>
          </w:tcPr>
          <w:p>
            <w:pPr>
              <w:pStyle w:val="normal1"/>
              <w:shd w:val="clear" w:fill="auto"/>
              <w:spacing w:lineRule="auto" w:line="276"/>
              <w:rPr>
                <w:rFonts w:ascii="Google Sans" w:hAnsi="Google Sans" w:eastAsia="Google Sans" w:cs="Google Sans"/>
                <w:color w:val="1F1F1F"/>
              </w:rPr>
            </w:pPr>
            <w:r>
              <w:rPr>
                <w:rFonts w:eastAsia="Google Sans" w:cs="Google Sans" w:ascii="Google Sans" w:hAnsi="Google Sans"/>
                <w:color w:val="1F1F1F"/>
              </w:rPr>
              <w:t>Shows verified updates. Displays the next_review_at timestamp to prevent feelings of abandonment during periods of no news.</w:t>
            </w:r>
          </w:p>
        </w:tc>
        <w:tc>
          <w:tcPr>
            <w:tcW w:w="2339" w:type="dxa"/>
            <w:tcBorders>
              <w:top w:val="single" w:sz="6" w:space="0" w:color="C4C7C5"/>
              <w:left w:val="single" w:sz="6" w:space="0" w:color="C4C7C5"/>
              <w:bottom w:val="single" w:sz="6" w:space="0" w:color="C4C7C5"/>
              <w:right w:val="single" w:sz="6" w:space="0" w:color="C4C7C5"/>
            </w:tcBorders>
            <w:shd w:fill="auto" w:val="clear"/>
          </w:tcPr>
          <w:p>
            <w:pPr>
              <w:pStyle w:val="normal1"/>
              <w:shd w:val="clear" w:fill="auto"/>
              <w:spacing w:lineRule="auto" w:line="276"/>
              <w:rPr>
                <w:rFonts w:ascii="Google Sans" w:hAnsi="Google Sans" w:eastAsia="Google Sans" w:cs="Google Sans"/>
                <w:color w:val="1F1F1F"/>
              </w:rPr>
            </w:pPr>
            <w:r>
              <w:rPr>
                <w:rFonts w:eastAsia="Google Sans" w:cs="Google Sans" w:ascii="Google Sans" w:hAnsi="Google Sans"/>
                <w:color w:val="1F1F1F"/>
              </w:rPr>
              <w:t>Clinical or forensic evidence remains masked unless explicitly authorized by authorities.</w:t>
            </w:r>
          </w:p>
        </w:tc>
      </w:tr>
      <w:tr>
        <w:trPr/>
        <w:tc>
          <w:tcPr>
            <w:tcW w:w="2340" w:type="dxa"/>
            <w:tcBorders>
              <w:top w:val="single" w:sz="6" w:space="0" w:color="C4C7C5"/>
              <w:left w:val="single" w:sz="6" w:space="0" w:color="C4C7C5"/>
              <w:bottom w:val="single" w:sz="6" w:space="0" w:color="C4C7C5"/>
              <w:right w:val="single" w:sz="6" w:space="0" w:color="C4C7C5"/>
            </w:tcBorders>
            <w:shd w:fill="auto" w:val="clear"/>
          </w:tcPr>
          <w:p>
            <w:pPr>
              <w:pStyle w:val="normal1"/>
              <w:shd w:val="clear" w:fill="auto"/>
              <w:spacing w:lineRule="auto" w:line="276" w:before="120" w:after="120"/>
              <w:rPr>
                <w:rFonts w:ascii="Google Sans" w:hAnsi="Google Sans" w:eastAsia="Google Sans" w:cs="Google Sans"/>
                <w:b/>
                <w:bCs/>
                <w:color w:val="1F1F1F"/>
              </w:rPr>
            </w:pPr>
            <w:r>
              <w:rPr>
                <w:rFonts w:eastAsia="Google Sans" w:cs="Google Sans" w:ascii="Google Sans" w:hAnsi="Google Sans"/>
                <w:b/>
                <w:bCs/>
                <w:color w:val="1F1F1F"/>
              </w:rPr>
              <w:t>Next Physical Action</w:t>
            </w:r>
          </w:p>
        </w:tc>
        <w:tc>
          <w:tcPr>
            <w:tcW w:w="2340" w:type="dxa"/>
            <w:tcBorders>
              <w:top w:val="single" w:sz="6" w:space="0" w:color="C4C7C5"/>
              <w:left w:val="single" w:sz="6" w:space="0" w:color="C4C7C5"/>
              <w:bottom w:val="single" w:sz="6" w:space="0" w:color="C4C7C5"/>
              <w:right w:val="single" w:sz="6" w:space="0" w:color="C4C7C5"/>
            </w:tcBorders>
            <w:shd w:fill="auto" w:val="clear"/>
          </w:tcPr>
          <w:p>
            <w:pPr>
              <w:pStyle w:val="normal1"/>
              <w:shd w:val="clear" w:fill="auto"/>
              <w:spacing w:lineRule="auto" w:line="276"/>
              <w:rPr>
                <w:rFonts w:ascii="Google Sans" w:hAnsi="Google Sans" w:eastAsia="Google Sans" w:cs="Google Sans"/>
                <w:color w:val="1F1F1F"/>
              </w:rPr>
            </w:pPr>
            <w:r>
              <w:rPr>
                <w:rFonts w:eastAsia="Google Sans" w:cs="Google Sans" w:ascii="Google Sans" w:hAnsi="Google Sans"/>
                <w:color w:val="1F1F1F"/>
              </w:rPr>
              <w:t>Requests logistical assistance for accommodation.</w:t>
            </w:r>
          </w:p>
        </w:tc>
        <w:tc>
          <w:tcPr>
            <w:tcW w:w="2340" w:type="dxa"/>
            <w:tcBorders>
              <w:top w:val="single" w:sz="6" w:space="0" w:color="C4C7C5"/>
              <w:left w:val="single" w:sz="6" w:space="0" w:color="C4C7C5"/>
              <w:bottom w:val="single" w:sz="6" w:space="0" w:color="C4C7C5"/>
              <w:right w:val="single" w:sz="6" w:space="0" w:color="C4C7C5"/>
            </w:tcBorders>
            <w:shd w:fill="auto" w:val="clear"/>
          </w:tcPr>
          <w:p>
            <w:pPr>
              <w:pStyle w:val="normal1"/>
              <w:shd w:val="clear" w:fill="auto"/>
              <w:spacing w:lineRule="auto" w:line="276"/>
              <w:rPr>
                <w:rFonts w:ascii="Google Sans" w:hAnsi="Google Sans" w:eastAsia="Google Sans" w:cs="Google Sans"/>
                <w:color w:val="1F1F1F"/>
              </w:rPr>
            </w:pPr>
            <w:r>
              <w:rPr>
                <w:rFonts w:eastAsia="Google Sans" w:cs="Google Sans" w:ascii="Google Sans" w:hAnsi="Google Sans"/>
                <w:color w:val="1F1F1F"/>
              </w:rPr>
              <w:t>Maps the request to the nearest physical Assistance Centre and logs the family's local footprint.</w:t>
            </w:r>
          </w:p>
        </w:tc>
        <w:tc>
          <w:tcPr>
            <w:tcW w:w="2339" w:type="dxa"/>
            <w:tcBorders>
              <w:top w:val="single" w:sz="6" w:space="0" w:color="C4C7C5"/>
              <w:left w:val="single" w:sz="6" w:space="0" w:color="C4C7C5"/>
              <w:bottom w:val="single" w:sz="6" w:space="0" w:color="C4C7C5"/>
              <w:right w:val="single" w:sz="6" w:space="0" w:color="C4C7C5"/>
            </w:tcBorders>
            <w:shd w:fill="auto" w:val="clear"/>
          </w:tcPr>
          <w:p>
            <w:pPr>
              <w:pStyle w:val="normal1"/>
              <w:shd w:val="clear" w:fill="auto"/>
              <w:spacing w:lineRule="auto" w:line="276"/>
              <w:rPr>
                <w:rFonts w:ascii="Google Sans" w:hAnsi="Google Sans" w:eastAsia="Google Sans" w:cs="Google Sans"/>
                <w:color w:val="1F1F1F"/>
              </w:rPr>
            </w:pPr>
            <w:r>
              <w:rPr>
                <w:rFonts w:eastAsia="Google Sans" w:cs="Google Sans" w:ascii="Google Sans" w:hAnsi="Google Sans"/>
                <w:color w:val="1F1F1F"/>
              </w:rPr>
              <w:t>FamilyLocation data is classified as sensitive and hidden from public view.</w:t>
            </w:r>
          </w:p>
        </w:tc>
      </w:tr>
    </w:tbl>
    <w:p>
      <w:pPr>
        <w:pStyle w:val="Heading2"/>
        <w:shd w:val="clear" w:fill="auto"/>
        <w:spacing w:lineRule="auto" w:line="276" w:before="0" w:after="0"/>
        <w:rPr>
          <w:rFonts w:ascii="Google Sans" w:hAnsi="Google Sans" w:eastAsia="Google Sans" w:cs="Google Sans"/>
          <w:color w:val="1F1F1F"/>
        </w:rPr>
      </w:pPr>
      <w:r>
        <w:rPr>
          <w:rFonts w:eastAsia="Google Sans" w:cs="Google Sans" w:ascii="Google Sans" w:hAnsi="Google Sans"/>
          <w:color w:val="1F1F1F"/>
        </w:rPr>
        <w:t>3. Public Interface (Affected Persons &amp; Reporters)</w:t>
      </w:r>
    </w:p>
    <w:p>
      <w:pPr>
        <w:pStyle w:val="normal1"/>
        <w:numPr>
          <w:ilvl w:val="0"/>
          <w:numId w:val="2"/>
        </w:numPr>
        <w:shd w:val="clear" w:fill="auto"/>
        <w:spacing w:lineRule="auto" w:line="276"/>
        <w:ind w:hanging="360" w:left="590"/>
        <w:rPr/>
      </w:pPr>
      <w:r>
        <w:rPr>
          <w:rFonts w:eastAsia="Google Sans" w:cs="Google Sans" w:ascii="Google Sans" w:hAnsi="Google Sans"/>
          <w:b/>
          <w:bCs/>
          <w:color w:val="1F1F1F"/>
        </w:rPr>
        <w:t>I Am Safe Submission:</w:t>
      </w:r>
      <w:r>
        <w:rPr>
          <w:rFonts w:eastAsia="Google Sans" w:cs="Google Sans" w:ascii="Google Sans" w:hAnsi="Google Sans"/>
          <w:color w:val="1F1F1F"/>
        </w:rPr>
        <w:t xml:space="preserve"> A single-page form collecting identity and contact preferences. The success screen must explicitly state, "Your declaration has been received and queued for verification," avoiding the false confirmation of SAFE_CONFIRMED before authoritative review.</w:t>
      </w:r>
    </w:p>
    <w:p>
      <w:pPr>
        <w:pStyle w:val="normal1"/>
        <w:numPr>
          <w:ilvl w:val="0"/>
          <w:numId w:val="2"/>
        </w:numPr>
        <w:shd w:val="clear" w:fill="auto"/>
        <w:spacing w:lineRule="auto" w:line="276"/>
        <w:ind w:hanging="360" w:left="590"/>
        <w:rPr/>
      </w:pPr>
      <w:r>
        <w:rPr>
          <w:rFonts w:eastAsia="Google Sans" w:cs="Google Sans" w:ascii="Google Sans" w:hAnsi="Google Sans"/>
          <w:b/>
          <w:bCs/>
          <w:color w:val="1F1F1F"/>
        </w:rPr>
        <w:t>Disaster Rumour Feed:</w:t>
      </w:r>
      <w:r>
        <w:rPr>
          <w:rFonts w:eastAsia="Google Sans" w:cs="Google Sans" w:ascii="Google Sans" w:hAnsi="Google Sans"/>
          <w:color w:val="1F1F1F"/>
        </w:rPr>
        <w:t xml:space="preserve"> A dedicated public broadcast UI displaying corrected misinformation (e.g., debunked reports of a dam burst). This utilizes the RumourCorrected domain event to alleviate panic without elevating unverified claims.</w:t>
      </w:r>
    </w:p>
    <w:p>
      <w:pPr>
        <w:pStyle w:val="normal1"/>
        <w:numPr>
          <w:ilvl w:val="0"/>
          <w:numId w:val="2"/>
        </w:numPr>
        <w:shd w:val="clear" w:fill="auto"/>
        <w:spacing w:lineRule="auto" w:line="276"/>
        <w:ind w:hanging="360" w:left="590"/>
        <w:rPr/>
      </w:pPr>
      <w:r>
        <w:rPr>
          <w:rFonts w:eastAsia="Google Sans" w:cs="Google Sans" w:ascii="Google Sans" w:hAnsi="Google Sans"/>
          <w:b/>
          <w:bCs/>
          <w:color w:val="1F1F1F"/>
        </w:rPr>
        <w:t>Assistance Directory:</w:t>
      </w:r>
      <w:r>
        <w:rPr>
          <w:rFonts w:eastAsia="Google Sans" w:cs="Google Sans" w:ascii="Google Sans" w:hAnsi="Google Sans"/>
          <w:color w:val="1F1F1F"/>
        </w:rPr>
        <w:t xml:space="preserve"> A highly cached, read-only list of operational hospitals, embassies, and Red Cross stations mapped to the GET /api/v1/assistance-centres endpoint.</w:t>
      </w:r>
    </w:p>
    <w:p>
      <w:pPr>
        <w:pStyle w:val="Heading2"/>
        <w:shd w:val="clear" w:fill="auto"/>
        <w:spacing w:lineRule="auto" w:line="276" w:before="0" w:after="0"/>
        <w:rPr>
          <w:rFonts w:ascii="Google Sans" w:hAnsi="Google Sans" w:eastAsia="Google Sans" w:cs="Google Sans"/>
          <w:color w:val="1F1F1F"/>
        </w:rPr>
      </w:pPr>
      <w:r>
        <w:rPr>
          <w:rFonts w:eastAsia="Google Sans" w:cs="Google Sans" w:ascii="Google Sans" w:hAnsi="Google Sans"/>
          <w:color w:val="1F1F1F"/>
        </w:rPr>
        <w:t>4. Family &amp; Proxy Dashboard</w:t>
      </w:r>
    </w:p>
    <w:p>
      <w:pPr>
        <w:pStyle w:val="normal1"/>
        <w:numPr>
          <w:ilvl w:val="0"/>
          <w:numId w:val="3"/>
        </w:numPr>
        <w:shd w:val="clear" w:fill="auto"/>
        <w:spacing w:lineRule="auto" w:line="276"/>
        <w:ind w:hanging="360" w:left="590"/>
        <w:rPr/>
      </w:pPr>
      <w:r>
        <w:rPr>
          <w:rFonts w:eastAsia="Google Sans" w:cs="Google Sans" w:ascii="Google Sans" w:hAnsi="Google Sans"/>
          <w:b/>
          <w:bCs/>
          <w:color w:val="1F1F1F"/>
        </w:rPr>
        <w:t>Timeline View:</w:t>
      </w:r>
      <w:r>
        <w:rPr>
          <w:rFonts w:eastAsia="Google Sans" w:cs="Google Sans" w:ascii="Google Sans" w:hAnsi="Google Sans"/>
          <w:color w:val="1F1F1F"/>
        </w:rPr>
        <w:t xml:space="preserve"> The central UI for authorized relatives, displaying the chronological history of the case. Verified information from statutory authorities is badged with a distinct authoritative icon (e.g., a green shield).</w:t>
      </w:r>
    </w:p>
    <w:p>
      <w:pPr>
        <w:pStyle w:val="normal1"/>
        <w:numPr>
          <w:ilvl w:val="0"/>
          <w:numId w:val="3"/>
        </w:numPr>
        <w:shd w:val="clear" w:fill="auto"/>
        <w:spacing w:lineRule="auto" w:line="276"/>
        <w:ind w:hanging="360" w:left="590"/>
        <w:rPr/>
      </w:pPr>
      <w:r>
        <w:rPr>
          <w:rFonts w:eastAsia="Google Sans" w:cs="Google Sans" w:ascii="Google Sans" w:hAnsi="Google Sans"/>
          <w:b/>
          <w:bCs/>
          <w:color w:val="1F1F1F"/>
        </w:rPr>
        <w:t>Dispute Lock State:</w:t>
      </w:r>
      <w:r>
        <w:rPr>
          <w:rFonts w:eastAsia="Google Sans" w:cs="Google Sans" w:ascii="Google Sans" w:hAnsi="Google Sans"/>
          <w:color w:val="1F1F1F"/>
        </w:rPr>
        <w:t xml:space="preserve"> If a CaseDispute is triggered by conflicting family claims, the dashboard visually locks. A persistent banner explains that data sharing is frozen (RESTRICTED_PENDING_REVIEW) pending human arbitration, masking all competing claimant details.</w:t>
      </w:r>
    </w:p>
    <w:p>
      <w:pPr>
        <w:pStyle w:val="normal1"/>
        <w:numPr>
          <w:ilvl w:val="0"/>
          <w:numId w:val="3"/>
        </w:numPr>
        <w:shd w:val="clear" w:fill="auto"/>
        <w:spacing w:lineRule="auto" w:line="276"/>
        <w:ind w:hanging="360" w:left="590"/>
        <w:rPr/>
      </w:pPr>
      <w:r>
        <w:rPr>
          <w:rFonts w:eastAsia="Google Sans" w:cs="Google Sans" w:ascii="Google Sans" w:hAnsi="Google Sans"/>
          <w:b/>
          <w:bCs/>
          <w:color w:val="1F1F1F"/>
        </w:rPr>
        <w:t>Proxy Appointment:</w:t>
      </w:r>
      <w:r>
        <w:rPr>
          <w:rFonts w:eastAsia="Google Sans" w:cs="Google Sans" w:ascii="Google Sans" w:hAnsi="Google Sans"/>
          <w:color w:val="1F1F1F"/>
        </w:rPr>
        <w:t xml:space="preserve"> A dedicated management screen allowing families to delegate digital access to a TrustedIntermediary (e.g., a community worker or embassy official) with strict expiration dates and scoped permissions.</w:t>
      </w:r>
    </w:p>
    <w:p>
      <w:pPr>
        <w:pStyle w:val="Heading2"/>
        <w:shd w:val="clear" w:fill="auto"/>
        <w:spacing w:lineRule="auto" w:line="276" w:before="0" w:after="0"/>
        <w:rPr>
          <w:rFonts w:ascii="Google Sans" w:hAnsi="Google Sans" w:eastAsia="Google Sans" w:cs="Google Sans"/>
          <w:color w:val="1F1F1F"/>
        </w:rPr>
      </w:pPr>
      <w:r>
        <w:rPr>
          <w:rFonts w:eastAsia="Google Sans" w:cs="Google Sans" w:ascii="Google Sans" w:hAnsi="Google Sans"/>
          <w:color w:val="1F1F1F"/>
        </w:rPr>
        <w:t>5. Case Worker &amp; Agency Portal</w:t>
      </w:r>
    </w:p>
    <w:p>
      <w:pPr>
        <w:pStyle w:val="normal1"/>
        <w:numPr>
          <w:ilvl w:val="0"/>
          <w:numId w:val="4"/>
        </w:numPr>
        <w:shd w:val="clear" w:fill="auto"/>
        <w:spacing w:lineRule="auto" w:line="276"/>
        <w:ind w:hanging="360" w:left="590"/>
        <w:rPr/>
      </w:pPr>
      <w:r>
        <w:rPr>
          <w:rFonts w:eastAsia="Google Sans" w:cs="Google Sans" w:ascii="Google Sans" w:hAnsi="Google Sans"/>
          <w:b/>
          <w:bCs/>
          <w:color w:val="1F1F1F"/>
        </w:rPr>
        <w:t>Triage &amp; Matching Queue:</w:t>
      </w:r>
      <w:r>
        <w:rPr>
          <w:rFonts w:eastAsia="Google Sans" w:cs="Google Sans" w:ascii="Google Sans" w:hAnsi="Google Sans"/>
          <w:color w:val="1F1F1F"/>
        </w:rPr>
        <w:t xml:space="preserve"> Case Workers review AI-flagged PotentialMatchDetected events. The interface forces a mandatory, audited choice: "Confirm Match" or "Reject Match," logging the decision directly to the AuditEvent ledger.</w:t>
      </w:r>
    </w:p>
    <w:p>
      <w:pPr>
        <w:pStyle w:val="normal1"/>
        <w:numPr>
          <w:ilvl w:val="0"/>
          <w:numId w:val="4"/>
        </w:numPr>
        <w:shd w:val="clear" w:fill="auto"/>
        <w:spacing w:lineRule="auto" w:line="276"/>
        <w:ind w:hanging="360" w:left="590"/>
        <w:rPr/>
      </w:pPr>
      <w:r>
        <w:rPr>
          <w:rFonts w:eastAsia="Google Sans" w:cs="Google Sans" w:ascii="Google Sans" w:hAnsi="Google Sans"/>
          <w:b/>
          <w:bCs/>
          <w:color w:val="1F1F1F"/>
        </w:rPr>
        <w:t>Safeguarding Handovers:</w:t>
      </w:r>
      <w:r>
        <w:rPr>
          <w:rFonts w:eastAsia="Google Sans" w:cs="Google Sans" w:ascii="Google Sans" w:hAnsi="Google Sans"/>
          <w:color w:val="1F1F1F"/>
        </w:rPr>
        <w:t xml:space="preserve"> When transferring custody of a vulnerable minor, the UI invokes the SafeguardingHandover API. The interface requires the receiving statutory officer to digitally sign or acknowledge the transfer, ensuring an unbroken chain of custody.</w:t>
      </w:r>
    </w:p>
    <w:p>
      <w:pPr>
        <w:pStyle w:val="normal1"/>
        <w:numPr>
          <w:ilvl w:val="0"/>
          <w:numId w:val="4"/>
        </w:numPr>
        <w:shd w:val="clear" w:fill="auto"/>
        <w:spacing w:lineRule="auto" w:line="276"/>
        <w:ind w:hanging="360" w:left="590"/>
        <w:rPr/>
      </w:pPr>
      <w:r>
        <w:rPr>
          <w:rFonts w:eastAsia="Google Sans" w:cs="Google Sans" w:ascii="Google Sans" w:hAnsi="Google Sans"/>
          <w:b/>
          <w:bCs/>
          <w:color w:val="1F1F1F"/>
        </w:rPr>
        <w:t>Offline Communication Sync:</w:t>
      </w:r>
      <w:r>
        <w:rPr>
          <w:rFonts w:eastAsia="Google Sans" w:cs="Google Sans" w:ascii="Google Sans" w:hAnsi="Google Sans"/>
          <w:color w:val="1F1F1F"/>
        </w:rPr>
        <w:t xml:space="preserve"> When telecom infrastructure fails, field workers log interventions on paper or offline devices. The portal provides a "Batch Upload" interface for the CommunicationAttempt endpoint, allowing workers to backfill physical interventions once connectivity is restored.</w:t>
      </w:r>
    </w:p>
    <w:p>
      <w:pPr>
        <w:pStyle w:val="Heading2"/>
        <w:shd w:val="clear" w:fill="auto"/>
        <w:spacing w:lineRule="auto" w:line="276" w:before="0" w:after="0"/>
        <w:rPr>
          <w:rFonts w:ascii="Google Sans" w:hAnsi="Google Sans" w:eastAsia="Google Sans" w:cs="Google Sans"/>
          <w:color w:val="1F1F1F"/>
        </w:rPr>
      </w:pPr>
      <w:r>
        <w:rPr>
          <w:rFonts w:eastAsia="Google Sans" w:cs="Google Sans" w:ascii="Google Sans" w:hAnsi="Google Sans"/>
          <w:color w:val="1F1F1F"/>
        </w:rPr>
        <w:t>6. Offline Synchronization UX</w:t>
      </w:r>
    </w:p>
    <w:p>
      <w:pPr>
        <w:pStyle w:val="normal1"/>
        <w:shd w:val="clear" w:fill="auto"/>
        <w:spacing w:lineRule="auto" w:line="276"/>
        <w:rPr>
          <w:rFonts w:ascii="Google Sans" w:hAnsi="Google Sans" w:eastAsia="Google Sans" w:cs="Google Sans"/>
          <w:color w:val="1F1F1F"/>
        </w:rPr>
      </w:pPr>
      <w:r>
        <w:rPr>
          <w:rFonts w:eastAsia="Google Sans" w:cs="Google Sans" w:ascii="Google Sans" w:hAnsi="Google Sans"/>
          <w:color w:val="1F1F1F"/>
        </w:rPr>
        <w:t>Field application clients must implement a local SQLite or IndexedDB storage queue to support the Restoring Family Links mission during total network blackouts.</w:t>
      </w:r>
    </w:p>
    <w:p>
      <w:pPr>
        <w:pStyle w:val="normal1"/>
        <w:shd w:val="clear" w:fill="auto"/>
        <w:spacing w:lineRule="auto" w:line="276"/>
        <w:rPr>
          <w:rFonts w:ascii="Google Sans" w:hAnsi="Google Sans" w:eastAsia="Google Sans" w:cs="Google Sans"/>
          <w:color w:val="1F1F1F"/>
        </w:rPr>
      </w:pPr>
      <w:r>
        <w:rPr>
          <w:rFonts w:eastAsia="Google Sans" w:cs="Google Sans" w:ascii="Google Sans" w:hAnsi="Google Sans"/>
          <w:color w:val="1F1F1F"/>
        </w:rPr>
      </w:r>
    </w:p>
    <w:tbl>
      <w:tblPr>
        <w:tblStyle w:val="Table2"/>
        <w:tblW w:w="9360" w:type="dxa"/>
        <w:jc w:val="left"/>
        <w:tblInd w:w="0" w:type="dxa"/>
        <w:tblLayout w:type="fixed"/>
        <w:tblCellMar>
          <w:top w:w="120" w:type="dxa"/>
          <w:left w:w="180" w:type="dxa"/>
          <w:bottom w:w="120" w:type="dxa"/>
          <w:right w:w="180" w:type="dxa"/>
        </w:tblCellMar>
        <w:tblLook w:val="0600"/>
      </w:tblPr>
      <w:tblGrid>
        <w:gridCol w:w="3120"/>
        <w:gridCol w:w="3120"/>
        <w:gridCol w:w="3120"/>
      </w:tblGrid>
      <w:tr>
        <w:trPr/>
        <w:tc>
          <w:tcPr>
            <w:tcW w:w="3120" w:type="dxa"/>
            <w:tcBorders>
              <w:top w:val="single" w:sz="6" w:space="0" w:color="C4C7C5"/>
              <w:left w:val="single" w:sz="6" w:space="0" w:color="C4C7C5"/>
              <w:bottom w:val="single" w:sz="6" w:space="0" w:color="C4C7C5"/>
              <w:right w:val="single" w:sz="6" w:space="0" w:color="C4C7C5"/>
            </w:tcBorders>
            <w:shd w:fill="EFEFEF" w:val="clear"/>
          </w:tcPr>
          <w:p>
            <w:pPr>
              <w:pStyle w:val="normal1"/>
              <w:shd w:val="clear" w:fill="auto"/>
              <w:spacing w:lineRule="auto" w:line="276" w:before="120" w:after="120"/>
              <w:rPr>
                <w:rFonts w:ascii="Google Sans" w:hAnsi="Google Sans" w:eastAsia="Google Sans" w:cs="Google Sans"/>
                <w:b/>
                <w:bCs/>
                <w:color w:val="1F1F1F"/>
                <w:shd w:fill="auto" w:val="clear"/>
              </w:rPr>
            </w:pPr>
            <w:r>
              <w:rPr>
                <w:rFonts w:eastAsia="Google Sans" w:cs="Google Sans" w:ascii="Google Sans" w:hAnsi="Google Sans"/>
                <w:b/>
                <w:bCs/>
                <w:color w:val="1F1F1F"/>
                <w:shd w:fill="auto" w:val="clear"/>
              </w:rPr>
              <w:t>UI Element</w:t>
            </w:r>
          </w:p>
        </w:tc>
        <w:tc>
          <w:tcPr>
            <w:tcW w:w="3120" w:type="dxa"/>
            <w:tcBorders>
              <w:top w:val="single" w:sz="6" w:space="0" w:color="C4C7C5"/>
              <w:left w:val="single" w:sz="6" w:space="0" w:color="C4C7C5"/>
              <w:bottom w:val="single" w:sz="6" w:space="0" w:color="C4C7C5"/>
              <w:right w:val="single" w:sz="6" w:space="0" w:color="C4C7C5"/>
            </w:tcBorders>
            <w:shd w:fill="EFEFEF" w:val="clear"/>
          </w:tcPr>
          <w:p>
            <w:pPr>
              <w:pStyle w:val="normal1"/>
              <w:shd w:val="clear" w:fill="auto"/>
              <w:spacing w:lineRule="auto" w:line="276" w:before="120" w:after="120"/>
              <w:rPr>
                <w:rFonts w:ascii="Google Sans" w:hAnsi="Google Sans" w:eastAsia="Google Sans" w:cs="Google Sans"/>
                <w:b/>
                <w:bCs/>
                <w:color w:val="1F1F1F"/>
                <w:shd w:fill="auto" w:val="clear"/>
              </w:rPr>
            </w:pPr>
            <w:r>
              <w:rPr>
                <w:rFonts w:eastAsia="Google Sans" w:cs="Google Sans" w:ascii="Google Sans" w:hAnsi="Google Sans"/>
                <w:b/>
                <w:bCs/>
                <w:color w:val="1F1F1F"/>
                <w:shd w:fill="auto" w:val="clear"/>
              </w:rPr>
              <w:t>Behavior</w:t>
            </w:r>
          </w:p>
        </w:tc>
        <w:tc>
          <w:tcPr>
            <w:tcW w:w="3120" w:type="dxa"/>
            <w:tcBorders>
              <w:top w:val="single" w:sz="6" w:space="0" w:color="C4C7C5"/>
              <w:left w:val="single" w:sz="6" w:space="0" w:color="C4C7C5"/>
              <w:bottom w:val="single" w:sz="6" w:space="0" w:color="C4C7C5"/>
              <w:right w:val="single" w:sz="6" w:space="0" w:color="C4C7C5"/>
            </w:tcBorders>
            <w:shd w:fill="EFEFEF" w:val="clear"/>
          </w:tcPr>
          <w:p>
            <w:pPr>
              <w:pStyle w:val="normal1"/>
              <w:shd w:val="clear" w:fill="auto"/>
              <w:spacing w:lineRule="auto" w:line="276" w:before="120" w:after="120"/>
              <w:rPr>
                <w:rFonts w:ascii="Google Sans" w:hAnsi="Google Sans" w:eastAsia="Google Sans" w:cs="Google Sans"/>
                <w:b/>
                <w:bCs/>
                <w:color w:val="1F1F1F"/>
                <w:shd w:fill="auto" w:val="clear"/>
              </w:rPr>
            </w:pPr>
            <w:r>
              <w:rPr>
                <w:rFonts w:eastAsia="Google Sans" w:cs="Google Sans" w:ascii="Google Sans" w:hAnsi="Google Sans"/>
                <w:b/>
                <w:bCs/>
                <w:color w:val="1F1F1F"/>
                <w:shd w:fill="auto" w:val="clear"/>
              </w:rPr>
              <w:t>Architectural Binding</w:t>
            </w:r>
          </w:p>
        </w:tc>
      </w:tr>
      <w:tr>
        <w:trPr/>
        <w:tc>
          <w:tcPr>
            <w:tcW w:w="3120" w:type="dxa"/>
            <w:tcBorders>
              <w:top w:val="single" w:sz="6" w:space="0" w:color="C4C7C5"/>
              <w:left w:val="single" w:sz="6" w:space="0" w:color="C4C7C5"/>
              <w:bottom w:val="single" w:sz="6" w:space="0" w:color="C4C7C5"/>
              <w:right w:val="single" w:sz="6" w:space="0" w:color="C4C7C5"/>
            </w:tcBorders>
            <w:shd w:fill="auto" w:val="clear"/>
          </w:tcPr>
          <w:p>
            <w:pPr>
              <w:pStyle w:val="normal1"/>
              <w:shd w:val="clear" w:fill="auto"/>
              <w:spacing w:lineRule="auto" w:line="276" w:before="120" w:after="120"/>
              <w:rPr>
                <w:rFonts w:ascii="Google Sans" w:hAnsi="Google Sans" w:eastAsia="Google Sans" w:cs="Google Sans"/>
                <w:b/>
                <w:bCs/>
                <w:color w:val="1F1F1F"/>
              </w:rPr>
            </w:pPr>
            <w:r>
              <w:rPr>
                <w:rFonts w:eastAsia="Google Sans" w:cs="Google Sans" w:ascii="Google Sans" w:hAnsi="Google Sans"/>
                <w:b/>
                <w:bCs/>
                <w:color w:val="1F1F1F"/>
              </w:rPr>
              <w:t>Network Status Banner</w:t>
            </w:r>
          </w:p>
        </w:tc>
        <w:tc>
          <w:tcPr>
            <w:tcW w:w="3120" w:type="dxa"/>
            <w:tcBorders>
              <w:top w:val="single" w:sz="6" w:space="0" w:color="C4C7C5"/>
              <w:left w:val="single" w:sz="6" w:space="0" w:color="C4C7C5"/>
              <w:bottom w:val="single" w:sz="6" w:space="0" w:color="C4C7C5"/>
              <w:right w:val="single" w:sz="6" w:space="0" w:color="C4C7C5"/>
            </w:tcBorders>
            <w:shd w:fill="auto" w:val="clear"/>
          </w:tcPr>
          <w:p>
            <w:pPr>
              <w:pStyle w:val="normal1"/>
              <w:shd w:val="clear" w:fill="auto"/>
              <w:spacing w:lineRule="auto" w:line="276" w:before="120" w:after="120"/>
              <w:rPr>
                <w:rFonts w:ascii="Google Sans" w:hAnsi="Google Sans" w:eastAsia="Google Sans" w:cs="Google Sans"/>
                <w:color w:val="1F1F1F"/>
              </w:rPr>
            </w:pPr>
            <w:r>
              <w:rPr>
                <w:rFonts w:eastAsia="Google Sans" w:cs="Google Sans" w:ascii="Google Sans" w:hAnsi="Google Sans"/>
                <w:color w:val="1F1F1F"/>
              </w:rPr>
              <w:t>Persistently displays "Online" (Green) or "Working Offline – Changes Saved Locally" (Amber).</w:t>
            </w:r>
          </w:p>
        </w:tc>
        <w:tc>
          <w:tcPr>
            <w:tcW w:w="3120" w:type="dxa"/>
            <w:tcBorders>
              <w:top w:val="single" w:sz="6" w:space="0" w:color="C4C7C5"/>
              <w:left w:val="single" w:sz="6" w:space="0" w:color="C4C7C5"/>
              <w:bottom w:val="single" w:sz="6" w:space="0" w:color="C4C7C5"/>
              <w:right w:val="single" w:sz="6" w:space="0" w:color="C4C7C5"/>
            </w:tcBorders>
            <w:shd w:fill="auto" w:val="clear"/>
          </w:tcPr>
          <w:p>
            <w:pPr>
              <w:pStyle w:val="normal1"/>
              <w:shd w:val="clear" w:fill="auto"/>
              <w:spacing w:lineRule="auto" w:line="276" w:before="120" w:after="120"/>
              <w:rPr>
                <w:rFonts w:ascii="Google Sans" w:hAnsi="Google Sans" w:eastAsia="Google Sans" w:cs="Google Sans"/>
                <w:color w:val="1F1F1F"/>
              </w:rPr>
            </w:pPr>
            <w:r>
              <w:rPr>
                <w:rFonts w:eastAsia="Google Sans" w:cs="Google Sans" w:ascii="Google Sans" w:hAnsi="Google Sans"/>
                <w:color w:val="1F1F1F"/>
              </w:rPr>
              <w:t>Monitors browser navigator.onLine and API heartbeat endpoints.</w:t>
            </w:r>
          </w:p>
        </w:tc>
      </w:tr>
      <w:tr>
        <w:trPr/>
        <w:tc>
          <w:tcPr>
            <w:tcW w:w="3120" w:type="dxa"/>
            <w:tcBorders>
              <w:top w:val="single" w:sz="6" w:space="0" w:color="C4C7C5"/>
              <w:left w:val="single" w:sz="6" w:space="0" w:color="C4C7C5"/>
              <w:bottom w:val="single" w:sz="6" w:space="0" w:color="C4C7C5"/>
              <w:right w:val="single" w:sz="6" w:space="0" w:color="C4C7C5"/>
            </w:tcBorders>
            <w:shd w:fill="auto" w:val="clear"/>
          </w:tcPr>
          <w:p>
            <w:pPr>
              <w:pStyle w:val="normal1"/>
              <w:shd w:val="clear" w:fill="auto"/>
              <w:spacing w:lineRule="auto" w:line="276" w:before="120" w:after="120"/>
              <w:rPr>
                <w:rFonts w:ascii="Google Sans" w:hAnsi="Google Sans" w:eastAsia="Google Sans" w:cs="Google Sans"/>
                <w:b/>
                <w:bCs/>
                <w:color w:val="1F1F1F"/>
              </w:rPr>
            </w:pPr>
            <w:r>
              <w:rPr>
                <w:rFonts w:eastAsia="Google Sans" w:cs="Google Sans" w:ascii="Google Sans" w:hAnsi="Google Sans"/>
                <w:b/>
                <w:bCs/>
                <w:color w:val="1F1F1F"/>
              </w:rPr>
              <w:t>Outbox Queue</w:t>
            </w:r>
          </w:p>
        </w:tc>
        <w:tc>
          <w:tcPr>
            <w:tcW w:w="3120" w:type="dxa"/>
            <w:tcBorders>
              <w:top w:val="single" w:sz="6" w:space="0" w:color="C4C7C5"/>
              <w:left w:val="single" w:sz="6" w:space="0" w:color="C4C7C5"/>
              <w:bottom w:val="single" w:sz="6" w:space="0" w:color="C4C7C5"/>
              <w:right w:val="single" w:sz="6" w:space="0" w:color="C4C7C5"/>
            </w:tcBorders>
            <w:shd w:fill="auto" w:val="clear"/>
          </w:tcPr>
          <w:p>
            <w:pPr>
              <w:pStyle w:val="normal1"/>
              <w:shd w:val="clear" w:fill="auto"/>
              <w:spacing w:lineRule="auto" w:line="276" w:before="120" w:after="120"/>
              <w:rPr>
                <w:rFonts w:ascii="Google Sans" w:hAnsi="Google Sans" w:eastAsia="Google Sans" w:cs="Google Sans"/>
                <w:color w:val="1F1F1F"/>
              </w:rPr>
            </w:pPr>
            <w:r>
              <w:rPr>
                <w:rFonts w:eastAsia="Google Sans" w:cs="Google Sans" w:ascii="Google Sans" w:hAnsi="Google Sans"/>
                <w:color w:val="1F1F1F"/>
              </w:rPr>
              <w:t>Shows a list of pending state transitions (e.g., 3 pending safety declarations).</w:t>
            </w:r>
          </w:p>
        </w:tc>
        <w:tc>
          <w:tcPr>
            <w:tcW w:w="3120" w:type="dxa"/>
            <w:tcBorders>
              <w:top w:val="single" w:sz="6" w:space="0" w:color="C4C7C5"/>
              <w:left w:val="single" w:sz="6" w:space="0" w:color="C4C7C5"/>
              <w:bottom w:val="single" w:sz="6" w:space="0" w:color="C4C7C5"/>
              <w:right w:val="single" w:sz="6" w:space="0" w:color="C4C7C5"/>
            </w:tcBorders>
            <w:shd w:fill="auto" w:val="clear"/>
          </w:tcPr>
          <w:p>
            <w:pPr>
              <w:pStyle w:val="normal1"/>
              <w:shd w:val="clear" w:fill="auto"/>
              <w:spacing w:lineRule="auto" w:line="276" w:before="120" w:after="120"/>
              <w:rPr>
                <w:rFonts w:ascii="Google Sans" w:hAnsi="Google Sans" w:eastAsia="Google Sans" w:cs="Google Sans"/>
                <w:color w:val="1F1F1F"/>
              </w:rPr>
            </w:pPr>
            <w:r>
              <w:rPr>
                <w:rFonts w:eastAsia="Google Sans" w:cs="Google Sans" w:ascii="Google Sans" w:hAnsi="Google Sans"/>
                <w:color w:val="1F1F1F"/>
              </w:rPr>
              <w:t>Maps to local storage payloads awaiting upload.</w:t>
            </w:r>
          </w:p>
        </w:tc>
      </w:tr>
      <w:tr>
        <w:trPr/>
        <w:tc>
          <w:tcPr>
            <w:tcW w:w="3120" w:type="dxa"/>
            <w:tcBorders>
              <w:top w:val="single" w:sz="6" w:space="0" w:color="C4C7C5"/>
              <w:left w:val="single" w:sz="6" w:space="0" w:color="C4C7C5"/>
              <w:bottom w:val="single" w:sz="6" w:space="0" w:color="C4C7C5"/>
              <w:right w:val="single" w:sz="6" w:space="0" w:color="C4C7C5"/>
            </w:tcBorders>
            <w:shd w:fill="auto" w:val="clear"/>
          </w:tcPr>
          <w:p>
            <w:pPr>
              <w:pStyle w:val="normal1"/>
              <w:shd w:val="clear" w:fill="auto"/>
              <w:spacing w:lineRule="auto" w:line="276" w:before="120" w:after="120"/>
              <w:rPr>
                <w:rFonts w:ascii="Google Sans" w:hAnsi="Google Sans" w:eastAsia="Google Sans" w:cs="Google Sans"/>
                <w:b/>
                <w:bCs/>
                <w:color w:val="1F1F1F"/>
              </w:rPr>
            </w:pPr>
            <w:r>
              <w:rPr>
                <w:rFonts w:eastAsia="Google Sans" w:cs="Google Sans" w:ascii="Google Sans" w:hAnsi="Google Sans"/>
                <w:b/>
                <w:bCs/>
                <w:color w:val="1F1F1F"/>
              </w:rPr>
              <w:t>Sync Execution</w:t>
            </w:r>
          </w:p>
        </w:tc>
        <w:tc>
          <w:tcPr>
            <w:tcW w:w="3120" w:type="dxa"/>
            <w:tcBorders>
              <w:top w:val="single" w:sz="6" w:space="0" w:color="C4C7C5"/>
              <w:left w:val="single" w:sz="6" w:space="0" w:color="C4C7C5"/>
              <w:bottom w:val="single" w:sz="6" w:space="0" w:color="C4C7C5"/>
              <w:right w:val="single" w:sz="6" w:space="0" w:color="C4C7C5"/>
            </w:tcBorders>
            <w:shd w:fill="auto" w:val="clear"/>
          </w:tcPr>
          <w:p>
            <w:pPr>
              <w:pStyle w:val="normal1"/>
              <w:shd w:val="clear" w:fill="auto"/>
              <w:spacing w:lineRule="auto" w:line="276" w:before="120" w:after="120"/>
              <w:rPr>
                <w:rFonts w:ascii="Google Sans" w:hAnsi="Google Sans" w:eastAsia="Google Sans" w:cs="Google Sans"/>
                <w:color w:val="1F1F1F"/>
              </w:rPr>
            </w:pPr>
            <w:r>
              <w:rPr>
                <w:rFonts w:eastAsia="Google Sans" w:cs="Google Sans" w:ascii="Google Sans" w:hAnsi="Google Sans"/>
                <w:color w:val="1F1F1F"/>
              </w:rPr>
              <w:t>Automatically attempts upload upon reconnection. Displays a progress bar for queue clearing.</w:t>
            </w:r>
          </w:p>
        </w:tc>
        <w:tc>
          <w:tcPr>
            <w:tcW w:w="3120" w:type="dxa"/>
            <w:tcBorders>
              <w:top w:val="single" w:sz="6" w:space="0" w:color="C4C7C5"/>
              <w:left w:val="single" w:sz="6" w:space="0" w:color="C4C7C5"/>
              <w:bottom w:val="single" w:sz="6" w:space="0" w:color="C4C7C5"/>
              <w:right w:val="single" w:sz="6" w:space="0" w:color="C4C7C5"/>
            </w:tcBorders>
            <w:shd w:fill="auto" w:val="clear"/>
          </w:tcPr>
          <w:p>
            <w:pPr>
              <w:pStyle w:val="normal1"/>
              <w:shd w:val="clear" w:fill="auto"/>
              <w:spacing w:lineRule="auto" w:line="276"/>
              <w:rPr>
                <w:rFonts w:ascii="Google Sans" w:hAnsi="Google Sans" w:eastAsia="Google Sans" w:cs="Google Sans"/>
                <w:color w:val="1F1F1F"/>
              </w:rPr>
            </w:pPr>
            <w:r>
              <w:rPr>
                <w:rFonts w:eastAsia="Google Sans" w:cs="Google Sans" w:ascii="Google Sans" w:hAnsi="Google Sans"/>
                <w:color w:val="1F1F1F"/>
              </w:rPr>
              <w:t>Transmits payloads with UUID Idempotency-Key headers to prevent duplicates.</w:t>
            </w:r>
          </w:p>
        </w:tc>
      </w:tr>
      <w:tr>
        <w:trPr/>
        <w:tc>
          <w:tcPr>
            <w:tcW w:w="3120" w:type="dxa"/>
            <w:tcBorders>
              <w:top w:val="single" w:sz="6" w:space="0" w:color="C4C7C5"/>
              <w:left w:val="single" w:sz="6" w:space="0" w:color="C4C7C5"/>
              <w:bottom w:val="single" w:sz="6" w:space="0" w:color="C4C7C5"/>
              <w:right w:val="single" w:sz="6" w:space="0" w:color="C4C7C5"/>
            </w:tcBorders>
            <w:shd w:fill="auto" w:val="clear"/>
          </w:tcPr>
          <w:p>
            <w:pPr>
              <w:pStyle w:val="normal1"/>
              <w:shd w:val="clear" w:fill="auto"/>
              <w:spacing w:lineRule="auto" w:line="276" w:before="120" w:after="120"/>
              <w:rPr>
                <w:rFonts w:ascii="Google Sans" w:hAnsi="Google Sans" w:eastAsia="Google Sans" w:cs="Google Sans"/>
                <w:b/>
                <w:bCs/>
                <w:color w:val="1F1F1F"/>
              </w:rPr>
            </w:pPr>
            <w:r>
              <w:rPr>
                <w:rFonts w:eastAsia="Google Sans" w:cs="Google Sans" w:ascii="Google Sans" w:hAnsi="Google Sans"/>
                <w:b/>
                <w:bCs/>
                <w:color w:val="1F1F1F"/>
              </w:rPr>
              <w:t>Conflict Resolution Modal</w:t>
            </w:r>
          </w:p>
        </w:tc>
        <w:tc>
          <w:tcPr>
            <w:tcW w:w="3120" w:type="dxa"/>
            <w:tcBorders>
              <w:top w:val="single" w:sz="6" w:space="0" w:color="C4C7C5"/>
              <w:left w:val="single" w:sz="6" w:space="0" w:color="C4C7C5"/>
              <w:bottom w:val="single" w:sz="6" w:space="0" w:color="C4C7C5"/>
              <w:right w:val="single" w:sz="6" w:space="0" w:color="C4C7C5"/>
            </w:tcBorders>
            <w:shd w:fill="auto" w:val="clear"/>
          </w:tcPr>
          <w:p>
            <w:pPr>
              <w:pStyle w:val="normal1"/>
              <w:shd w:val="clear" w:fill="auto"/>
              <w:spacing w:lineRule="auto" w:line="276"/>
              <w:rPr>
                <w:rFonts w:ascii="Google Sans" w:hAnsi="Google Sans" w:eastAsia="Google Sans" w:cs="Google Sans"/>
                <w:color w:val="1F1F1F"/>
              </w:rPr>
            </w:pPr>
            <w:r>
              <w:rPr>
                <w:rFonts w:eastAsia="Google Sans" w:cs="Google Sans" w:ascii="Google Sans" w:hAnsi="Google Sans"/>
                <w:color w:val="1F1F1F"/>
              </w:rPr>
              <w:t>If an ETag mismatch occurs (412 Precondition Failed), forces the Case Worker to resolve the concurrent edit.</w:t>
            </w:r>
          </w:p>
        </w:tc>
        <w:tc>
          <w:tcPr>
            <w:tcW w:w="3120" w:type="dxa"/>
            <w:tcBorders>
              <w:top w:val="single" w:sz="6" w:space="0" w:color="C4C7C5"/>
              <w:left w:val="single" w:sz="6" w:space="0" w:color="C4C7C5"/>
              <w:bottom w:val="single" w:sz="6" w:space="0" w:color="C4C7C5"/>
              <w:right w:val="single" w:sz="6" w:space="0" w:color="C4C7C5"/>
            </w:tcBorders>
            <w:shd w:fill="auto" w:val="clear"/>
          </w:tcPr>
          <w:p>
            <w:pPr>
              <w:pStyle w:val="normal1"/>
              <w:shd w:val="clear" w:fill="auto"/>
              <w:spacing w:lineRule="auto" w:line="276"/>
              <w:rPr>
                <w:rFonts w:ascii="Google Sans" w:hAnsi="Google Sans" w:eastAsia="Google Sans" w:cs="Google Sans"/>
                <w:color w:val="1F1F1F"/>
              </w:rPr>
            </w:pPr>
            <w:r>
              <w:rPr>
                <w:rFonts w:eastAsia="Google Sans" w:cs="Google Sans" w:ascii="Google Sans" w:hAnsi="Google Sans"/>
                <w:color w:val="1F1F1F"/>
              </w:rPr>
              <w:t>Compares the local state against the server's authoritative state before overriding.</w:t>
            </w:r>
          </w:p>
        </w:tc>
      </w:tr>
    </w:tbl>
    <w:p>
      <w:pPr>
        <w:pStyle w:val="Heading2"/>
        <w:shd w:val="clear" w:fill="auto"/>
        <w:spacing w:lineRule="auto" w:line="276" w:before="0" w:after="0"/>
        <w:rPr>
          <w:rFonts w:ascii="Google Sans" w:hAnsi="Google Sans" w:eastAsia="Google Sans" w:cs="Google Sans"/>
          <w:color w:val="1F1F1F"/>
        </w:rPr>
      </w:pPr>
      <w:r>
        <w:rPr>
          <w:rFonts w:eastAsia="Google Sans" w:cs="Google Sans" w:ascii="Google Sans" w:hAnsi="Google Sans"/>
          <w:color w:val="1F1F1F"/>
        </w:rPr>
        <w:t>7. Notification &amp; Communication UX</w:t>
      </w:r>
    </w:p>
    <w:p>
      <w:pPr>
        <w:pStyle w:val="normal1"/>
        <w:numPr>
          <w:ilvl w:val="0"/>
          <w:numId w:val="5"/>
        </w:numPr>
        <w:shd w:val="clear" w:fill="auto"/>
        <w:spacing w:lineRule="auto" w:line="276"/>
        <w:ind w:hanging="360" w:left="590"/>
        <w:rPr/>
      </w:pPr>
      <w:r>
        <w:rPr>
          <w:rFonts w:eastAsia="Google Sans" w:cs="Google Sans" w:ascii="Google Sans" w:hAnsi="Google Sans"/>
          <w:b/>
          <w:bCs/>
          <w:color w:val="1F1F1F"/>
        </w:rPr>
        <w:t>SMS Constraints:</w:t>
      </w:r>
      <w:r>
        <w:rPr>
          <w:rFonts w:eastAsia="Google Sans" w:cs="Google Sans" w:ascii="Google Sans" w:hAnsi="Google Sans"/>
          <w:color w:val="1F1F1F"/>
        </w:rPr>
        <w:t xml:space="preserve"> SMS is strictly utilized as a low-bandwidth signaling mechanism. To enforce minimum necessary disclosure, an SMS payload must never contain clinical, forensic, or safeguarding data. A compliant notification reads: "FamilyConnect: An authoritative update regarding case FC-NP-2026-00892 is available. Please log in or visit an Assistance Centre."</w:t>
      </w:r>
    </w:p>
    <w:p>
      <w:pPr>
        <w:pStyle w:val="normal1"/>
        <w:numPr>
          <w:ilvl w:val="0"/>
          <w:numId w:val="5"/>
        </w:numPr>
        <w:shd w:val="clear" w:fill="auto"/>
        <w:spacing w:lineRule="auto" w:line="276"/>
        <w:ind w:hanging="360" w:left="590"/>
        <w:rPr/>
      </w:pPr>
      <w:r>
        <w:rPr>
          <w:rFonts w:eastAsia="Google Sans" w:cs="Google Sans" w:ascii="Google Sans" w:hAnsi="Google Sans"/>
          <w:b/>
          <w:bCs/>
          <w:color w:val="1F1F1F"/>
        </w:rPr>
        <w:t>Human-Mediated Death Notification:</w:t>
      </w:r>
      <w:r>
        <w:rPr>
          <w:rFonts w:eastAsia="Google Sans" w:cs="Google Sans" w:ascii="Google Sans" w:hAnsi="Google Sans"/>
          <w:color w:val="1F1F1F"/>
        </w:rPr>
        <w:t xml:space="preserve"> The UI technologically restricts automated digital notifications for a DECEASED_PERSON state transition. Forensic confirmations are routed exclusively to the Case Worker dashboard, triggering a mandatory offline operational process for human-led bereavement contact prior to any digital dashboard update.</w:t>
      </w:r>
    </w:p>
    <w:p>
      <w:pPr>
        <w:pStyle w:val="normal1"/>
        <w:shd w:val="clear" w:fill="auto"/>
        <w:spacing w:lineRule="auto" w:line="276"/>
        <w:ind w:hanging="360" w:left="590"/>
        <w:rPr>
          <w:rFonts w:ascii="Google Sans" w:hAnsi="Google Sans" w:eastAsia="Google Sans" w:cs="Google Sans"/>
          <w:color w:val="1F1F1F"/>
        </w:rPr>
      </w:pPr>
      <w:r>
        <w:rPr>
          <w:rFonts w:eastAsia="Google Sans" w:cs="Google Sans" w:ascii="Google Sans" w:hAnsi="Google Sans"/>
          <w:color w:val="1F1F1F"/>
        </w:rPr>
      </w:r>
    </w:p>
    <w:p>
      <w:pPr>
        <w:pStyle w:val="normal1"/>
        <w:shd w:val="clear" w:fill="auto"/>
        <w:spacing w:lineRule="auto" w:line="276"/>
        <w:ind w:hanging="360" w:left="590"/>
        <w:rPr>
          <w:rFonts w:ascii="Google Sans" w:hAnsi="Google Sans" w:eastAsia="Google Sans" w:cs="Google Sans"/>
          <w:color w:val="1F1F1F"/>
        </w:rPr>
      </w:pPr>
      <w:r>
        <w:rPr>
          <w:rFonts w:eastAsia="Google Sans" w:cs="Google Sans" w:ascii="Google Sans" w:hAnsi="Google Sans"/>
          <w:color w:val="1F1F1F"/>
        </w:rPr>
        <w:t>Appendix</w:t>
      </w:r>
    </w:p>
    <w:p>
      <w:pPr>
        <w:pStyle w:val="BodyText"/>
        <w:shd w:val="clear" w:fill="auto"/>
        <w:spacing w:lineRule="auto" w:line="276"/>
        <w:ind w:hanging="360" w:left="590"/>
        <w:rPr>
          <w:rFonts w:ascii="Google Sans Text;sans-serif" w:hAnsi="Google Sans Text;sans-serif" w:eastAsia="Google Sans" w:cs="Google Sans"/>
          <w:b/>
          <w:color w:val="1F1F1F"/>
          <w:kern w:val="0"/>
          <w:sz w:val="22"/>
          <w:szCs w:val="22"/>
          <w:lang w:val="en-US" w:eastAsia="zh-CN" w:bidi="hi-IN"/>
        </w:rPr>
      </w:pPr>
      <w:r>
        <w:rPr>
          <w:rFonts w:eastAsia="Google Sans" w:cs="Google Sans" w:ascii="Google Sans Text;sans-serif" w:hAnsi="Google Sans Text;sans-serif"/>
          <w:b/>
          <w:color w:val="1F1F1F"/>
          <w:kern w:val="0"/>
          <w:sz w:val="22"/>
          <w:szCs w:val="22"/>
          <w:lang w:val="en-US" w:eastAsia="zh-CN" w:bidi="hi-IN"/>
        </w:rPr>
        <w:t>UX Red-Team Review: 25-Scenario Validation</w:t>
      </w:r>
    </w:p>
    <w:p>
      <w:pPr>
        <w:pStyle w:val="BodyText"/>
        <w:numPr>
          <w:ilvl w:val="0"/>
          <w:numId w:val="6"/>
        </w:numPr>
        <w:pBdr/>
        <w:tabs>
          <w:tab w:val="clear" w:pos="720"/>
          <w:tab w:val="left" w:pos="0" w:leader="none"/>
        </w:tabs>
        <w:spacing w:lineRule="auto" w:line="274" w:before="0" w:after="140"/>
        <w:ind w:hanging="283" w:left="709" w:right="0"/>
        <w:rPr>
          <w:rFonts w:ascii="Google Sans" w:hAnsi="Google Sans" w:eastAsia="Google Sans" w:cs="Google Sans"/>
          <w:color w:val="1F1F1F"/>
          <w:kern w:val="0"/>
          <w:sz w:val="22"/>
          <w:szCs w:val="22"/>
          <w:lang w:val="en-US" w:eastAsia="zh-CN" w:bidi="hi-IN"/>
        </w:rPr>
      </w:pPr>
      <w:bookmarkStart w:id="0" w:name="p-rc_198721976843cd84-691"/>
      <w:bookmarkEnd w:id="0"/>
      <w:r>
        <w:rPr>
          <w:rFonts w:eastAsia="Google Sans" w:cs="Google Sans" w:ascii="Google Sans Text;sans-serif" w:hAnsi="Google Sans Text;sans-serif"/>
          <w:b/>
          <w:color w:val="1F1F1F"/>
          <w:kern w:val="0"/>
          <w:sz w:val="22"/>
          <w:szCs w:val="22"/>
          <w:lang w:val="en-US" w:eastAsia="zh-CN" w:bidi="hi-IN"/>
        </w:rPr>
        <w:t>Disputes &amp; Impersonation (Scenarios 2, 21, 22):</w:t>
      </w:r>
      <w:r>
        <w:rPr>
          <w:rFonts w:eastAsia="Google Sans" w:cs="Google Sans" w:ascii="Google Sans Text;sans-serif" w:hAnsi="Google Sans Text;sans-serif"/>
          <w:color w:val="1F1F1F"/>
          <w:kern w:val="0"/>
          <w:sz w:val="22"/>
          <w:szCs w:val="22"/>
          <w:lang w:val="en-US" w:eastAsia="zh-CN" w:bidi="hi-IN"/>
        </w:rPr>
        <w:t xml:space="preserve"> PASS. The "Dispute Lock State" successfully masks all claimant data and displays a persistent </w:t>
      </w:r>
      <w:r>
        <w:rPr>
          <w:rStyle w:val="SourceText"/>
          <w:rFonts w:ascii="Google Sans Text;sans-serif" w:hAnsi="Google Sans Text;sans-serif"/>
          <w:color w:val="1F1F1F"/>
          <w:kern w:val="0"/>
          <w:sz w:val="22"/>
          <w:szCs w:val="22"/>
          <w:lang w:val="en-US" w:eastAsia="zh-CN" w:bidi="hi-IN"/>
        </w:rPr>
        <w:t>RESTRICTED_PENDING_REVIEW</w:t>
      </w:r>
      <w:r>
        <w:rPr>
          <w:rFonts w:eastAsia="Google Sans" w:cs="Google Sans" w:ascii="Google Sans Text;sans-serif" w:hAnsi="Google Sans Text;sans-serif"/>
          <w:color w:val="1F1F1F"/>
          <w:kern w:val="0"/>
          <w:sz w:val="22"/>
          <w:szCs w:val="22"/>
          <w:lang w:val="en-US" w:eastAsia="zh-CN" w:bidi="hi-IN"/>
        </w:rPr>
        <w:t xml:space="preserve"> banner to prevent hostile actors from scraping data during family conflicts. </w:t>
      </w:r>
    </w:p>
    <w:p>
      <w:pPr>
        <w:pStyle w:val="BodyText"/>
        <w:numPr>
          <w:ilvl w:val="0"/>
          <w:numId w:val="6"/>
        </w:numPr>
        <w:pBdr/>
        <w:tabs>
          <w:tab w:val="clear" w:pos="720"/>
          <w:tab w:val="left" w:pos="0" w:leader="none"/>
        </w:tabs>
        <w:spacing w:lineRule="auto" w:line="274" w:before="0" w:after="140"/>
        <w:ind w:hanging="283" w:left="709" w:right="0"/>
        <w:rPr>
          <w:rFonts w:ascii="Google Sans Text;sans-serif" w:hAnsi="Google Sans Text;sans-serif" w:eastAsia="Google Sans" w:cs="Google Sans"/>
          <w:color w:val="1F1F1F"/>
          <w:kern w:val="0"/>
          <w:sz w:val="22"/>
          <w:szCs w:val="22"/>
          <w:lang w:val="en-US" w:eastAsia="zh-CN" w:bidi="hi-IN"/>
        </w:rPr>
      </w:pPr>
      <w:bookmarkStart w:id="1" w:name="p-rc_198721976843cd84-692"/>
      <w:bookmarkEnd w:id="1"/>
      <w:r>
        <w:rPr>
          <w:rFonts w:eastAsia="Google Sans" w:cs="Google Sans" w:ascii="Google Sans Text;sans-serif" w:hAnsi="Google Sans Text;sans-serif"/>
          <w:b/>
          <w:color w:val="1F1F1F"/>
          <w:kern w:val="0"/>
          <w:sz w:val="22"/>
          <w:szCs w:val="22"/>
          <w:lang w:val="en-US" w:eastAsia="zh-CN" w:bidi="hi-IN"/>
        </w:rPr>
        <w:t>Deceased Person Dignity (Scenario 5):</w:t>
      </w:r>
      <w:r>
        <w:rPr>
          <w:rFonts w:eastAsia="Google Sans" w:cs="Google Sans" w:ascii="Google Sans Text;sans-serif" w:hAnsi="Google Sans Text;sans-serif"/>
          <w:color w:val="1F1F1F"/>
          <w:kern w:val="0"/>
          <w:sz w:val="22"/>
          <w:szCs w:val="22"/>
          <w:lang w:val="en-US" w:eastAsia="zh-CN" w:bidi="hi-IN"/>
        </w:rPr>
        <w:t xml:space="preserve"> PASS. Automated digital notifications for death are technologically restricted at the UI level. The interface forces case workers into a human-mediated offline workflow before any digital dashboard update occurs. </w:t>
      </w:r>
    </w:p>
    <w:p>
      <w:pPr>
        <w:pStyle w:val="BodyText"/>
        <w:numPr>
          <w:ilvl w:val="0"/>
          <w:numId w:val="6"/>
        </w:numPr>
        <w:pBdr/>
        <w:tabs>
          <w:tab w:val="clear" w:pos="720"/>
          <w:tab w:val="left" w:pos="0" w:leader="none"/>
        </w:tabs>
        <w:spacing w:lineRule="auto" w:line="274" w:before="0" w:after="140"/>
        <w:ind w:hanging="283" w:left="709" w:right="0"/>
        <w:rPr>
          <w:rFonts w:ascii="Google Sans Text;sans-serif" w:hAnsi="Google Sans Text;sans-serif" w:eastAsia="Google Sans" w:cs="Google Sans"/>
          <w:color w:val="1F1F1F"/>
          <w:kern w:val="0"/>
          <w:sz w:val="22"/>
          <w:szCs w:val="22"/>
          <w:lang w:val="en-US" w:eastAsia="zh-CN" w:bidi="hi-IN"/>
        </w:rPr>
      </w:pPr>
      <w:bookmarkStart w:id="2" w:name="p-rc_198721976843cd84-693"/>
      <w:bookmarkEnd w:id="2"/>
      <w:r>
        <w:rPr>
          <w:rFonts w:eastAsia="Google Sans" w:cs="Google Sans" w:ascii="Google Sans Text;sans-serif" w:hAnsi="Google Sans Text;sans-serif"/>
          <w:b/>
          <w:color w:val="1F1F1F"/>
          <w:kern w:val="0"/>
          <w:sz w:val="22"/>
          <w:szCs w:val="22"/>
          <w:lang w:val="en-US" w:eastAsia="zh-CN" w:bidi="hi-IN"/>
        </w:rPr>
        <w:t>Offline &amp; Telecom Failure (Scenarios 9, 17):</w:t>
      </w:r>
      <w:r>
        <w:rPr>
          <w:rFonts w:eastAsia="Google Sans" w:cs="Google Sans" w:ascii="Google Sans Text;sans-serif" w:hAnsi="Google Sans Text;sans-serif"/>
          <w:color w:val="1F1F1F"/>
          <w:kern w:val="0"/>
          <w:sz w:val="22"/>
          <w:szCs w:val="22"/>
          <w:lang w:val="en-US" w:eastAsia="zh-CN" w:bidi="hi-IN"/>
        </w:rPr>
        <w:t xml:space="preserve"> PASS. The inclusion of an Outbox Queue, "Working Offline" status banners, and ETag conflict resolution modals successfully addresses the reality of disconnected field operations. </w:t>
      </w:r>
    </w:p>
    <w:p>
      <w:pPr>
        <w:pStyle w:val="BodyText"/>
        <w:numPr>
          <w:ilvl w:val="0"/>
          <w:numId w:val="6"/>
        </w:numPr>
        <w:pBdr/>
        <w:tabs>
          <w:tab w:val="clear" w:pos="720"/>
          <w:tab w:val="left" w:pos="0" w:leader="none"/>
        </w:tabs>
        <w:spacing w:lineRule="auto" w:line="274" w:before="0" w:after="140"/>
        <w:ind w:hanging="283" w:left="709" w:right="0"/>
        <w:rPr>
          <w:rFonts w:ascii="Google Sans Text;sans-serif" w:hAnsi="Google Sans Text;sans-serif" w:eastAsia="Google Sans" w:cs="Google Sans"/>
          <w:color w:val="1F1F1F"/>
          <w:kern w:val="0"/>
          <w:sz w:val="22"/>
          <w:szCs w:val="22"/>
          <w:lang w:val="en-US" w:eastAsia="zh-CN" w:bidi="hi-IN"/>
        </w:rPr>
      </w:pPr>
      <w:bookmarkStart w:id="3" w:name="p-rc_198721976843cd84-694"/>
      <w:bookmarkEnd w:id="3"/>
      <w:r>
        <w:rPr>
          <w:rFonts w:eastAsia="Google Sans" w:cs="Google Sans" w:ascii="Google Sans Text;sans-serif" w:hAnsi="Google Sans Text;sans-serif"/>
          <w:b/>
          <w:color w:val="1F1F1F"/>
          <w:kern w:val="0"/>
          <w:sz w:val="22"/>
          <w:szCs w:val="22"/>
          <w:lang w:val="en-US" w:eastAsia="zh-CN" w:bidi="hi-IN"/>
        </w:rPr>
        <w:t>Misinformation &amp; Panic (Scenarios 14, 15):</w:t>
      </w:r>
      <w:r>
        <w:rPr>
          <w:rFonts w:eastAsia="Google Sans" w:cs="Google Sans" w:ascii="Google Sans Text;sans-serif" w:hAnsi="Google Sans Text;sans-serif"/>
          <w:color w:val="1F1F1F"/>
          <w:kern w:val="0"/>
          <w:sz w:val="22"/>
          <w:szCs w:val="22"/>
          <w:lang w:val="en-US" w:eastAsia="zh-CN" w:bidi="hi-IN"/>
        </w:rPr>
        <w:t xml:space="preserve"> PASS. The Disaster Rumour Feed UX properly isolates debunked social media claims, broadcasting corrections without polluting individual case timelines or elevating unverified rumors to authoritative facts. </w:t>
      </w:r>
    </w:p>
    <w:p>
      <w:pPr>
        <w:pStyle w:val="BodyText"/>
        <w:numPr>
          <w:ilvl w:val="0"/>
          <w:numId w:val="6"/>
        </w:numPr>
        <w:pBdr/>
        <w:tabs>
          <w:tab w:val="clear" w:pos="720"/>
          <w:tab w:val="left" w:pos="0" w:leader="none"/>
        </w:tabs>
        <w:spacing w:lineRule="auto" w:line="274" w:before="0" w:after="140"/>
        <w:ind w:hanging="283" w:left="709" w:right="0"/>
        <w:rPr>
          <w:rFonts w:ascii="Google Sans" w:hAnsi="Google Sans" w:eastAsia="Google Sans" w:cs="Google Sans"/>
          <w:color w:val="1F1F1F"/>
          <w:kern w:val="0"/>
          <w:sz w:val="22"/>
          <w:szCs w:val="22"/>
          <w:lang w:val="en-US" w:eastAsia="zh-CN" w:bidi="hi-IN"/>
        </w:rPr>
      </w:pPr>
      <w:bookmarkStart w:id="4" w:name="p-rc_198721976843cd84-695"/>
      <w:bookmarkEnd w:id="4"/>
      <w:r>
        <w:rPr>
          <w:rFonts w:eastAsia="Google Sans" w:cs="Google Sans" w:ascii="Google Sans Text;sans-serif" w:hAnsi="Google Sans Text;sans-serif"/>
          <w:b/>
          <w:color w:val="1F1F1F"/>
          <w:kern w:val="0"/>
          <w:sz w:val="22"/>
          <w:szCs w:val="22"/>
          <w:lang w:val="en-US" w:eastAsia="zh-CN" w:bidi="hi-IN"/>
        </w:rPr>
        <w:t>Safeguarding Custody (Scenario 3):</w:t>
      </w:r>
      <w:r>
        <w:rPr>
          <w:rFonts w:eastAsia="Google Sans" w:cs="Google Sans" w:ascii="Google Sans Text;sans-serif" w:hAnsi="Google Sans Text;sans-serif"/>
          <w:color w:val="1F1F1F"/>
          <w:kern w:val="0"/>
          <w:sz w:val="22"/>
          <w:szCs w:val="22"/>
          <w:lang w:val="en-US" w:eastAsia="zh-CN" w:bidi="hi-IN"/>
        </w:rPr>
        <w:t xml:space="preserve"> PASS. The UI mandates that receiving statutory officers digitally sign or acknowledge the </w:t>
      </w:r>
      <w:r>
        <w:rPr>
          <w:rStyle w:val="SourceText"/>
          <w:rFonts w:ascii="Google Sans Text;sans-serif" w:hAnsi="Google Sans Text;sans-serif"/>
          <w:color w:val="1F1F1F"/>
          <w:kern w:val="0"/>
          <w:sz w:val="22"/>
          <w:szCs w:val="22"/>
          <w:lang w:val="en-US" w:eastAsia="zh-CN" w:bidi="hi-IN"/>
        </w:rPr>
        <w:t>SafeguardingHandover</w:t>
      </w:r>
      <w:r>
        <w:rPr>
          <w:rFonts w:eastAsia="Google Sans" w:cs="Google Sans" w:ascii="Google Sans Text;sans-serif" w:hAnsi="Google Sans Text;sans-serif"/>
          <w:color w:val="1F1F1F"/>
          <w:kern w:val="0"/>
          <w:sz w:val="22"/>
          <w:szCs w:val="22"/>
          <w:lang w:val="en-US" w:eastAsia="zh-CN" w:bidi="hi-IN"/>
        </w:rPr>
        <w:t xml:space="preserve">, enforcing an unbroken, auditable chain of custody. </w:t>
      </w:r>
    </w:p>
    <w:p>
      <w:pPr>
        <w:pStyle w:val="BodyText"/>
        <w:numPr>
          <w:ilvl w:val="0"/>
          <w:numId w:val="6"/>
        </w:numPr>
        <w:pBdr/>
        <w:tabs>
          <w:tab w:val="clear" w:pos="720"/>
          <w:tab w:val="left" w:pos="0" w:leader="none"/>
        </w:tabs>
        <w:spacing w:lineRule="auto" w:line="274" w:before="0" w:after="140"/>
        <w:ind w:hanging="283" w:left="709" w:right="0"/>
        <w:rPr>
          <w:rFonts w:ascii="Google Sans Text;sans-serif" w:hAnsi="Google Sans Text;sans-serif" w:eastAsia="Google Sans" w:cs="Google Sans"/>
          <w:color w:val="1F1F1F"/>
          <w:kern w:val="0"/>
          <w:sz w:val="22"/>
          <w:szCs w:val="22"/>
          <w:lang w:val="en-US" w:eastAsia="zh-CN" w:bidi="hi-IN"/>
        </w:rPr>
      </w:pPr>
      <w:bookmarkStart w:id="5" w:name="p-rc_198721976843cd84-696"/>
      <w:bookmarkEnd w:id="5"/>
      <w:r>
        <w:rPr>
          <w:rFonts w:eastAsia="Google Sans" w:cs="Google Sans" w:ascii="Google Sans Text;sans-serif" w:hAnsi="Google Sans Text;sans-serif"/>
          <w:b/>
          <w:color w:val="1F1F1F"/>
          <w:kern w:val="0"/>
          <w:sz w:val="22"/>
          <w:szCs w:val="22"/>
          <w:lang w:val="en-US" w:eastAsia="zh-CN" w:bidi="hi-IN"/>
        </w:rPr>
        <w:t>Privacy Preferences (Scenario 19):</w:t>
      </w:r>
      <w:r>
        <w:rPr>
          <w:rFonts w:eastAsia="Google Sans" w:cs="Google Sans" w:ascii="Google Sans Text;sans-serif" w:hAnsi="Google Sans Text;sans-serif"/>
          <w:color w:val="1F1F1F"/>
          <w:kern w:val="0"/>
          <w:sz w:val="22"/>
          <w:szCs w:val="22"/>
          <w:lang w:val="en-US" w:eastAsia="zh-CN" w:bidi="hi-IN"/>
        </w:rPr>
        <w:t xml:space="preserve"> CONDITIONAL PASS. While contact preferences are mentioned, the UX must explicitly mandate distinct toggle switches (e.g., "Hide Exact Location", "Hide Phone Number") on the public submission forms so users can request logistical help without broadcasting their coordinates. </w:t>
      </w:r>
    </w:p>
    <w:p>
      <w:pPr>
        <w:pStyle w:val="BodyText"/>
        <w:numPr>
          <w:ilvl w:val="0"/>
          <w:numId w:val="6"/>
        </w:numPr>
        <w:pBdr/>
        <w:tabs>
          <w:tab w:val="clear" w:pos="720"/>
          <w:tab w:val="left" w:pos="0" w:leader="none"/>
        </w:tabs>
        <w:spacing w:lineRule="auto" w:line="274" w:before="0" w:after="140"/>
        <w:ind w:hanging="283" w:left="709" w:right="0"/>
        <w:rPr>
          <w:rFonts w:ascii="Google Sans" w:hAnsi="Google Sans" w:eastAsia="Google Sans" w:cs="Google Sans"/>
          <w:color w:val="1F1F1F"/>
          <w:kern w:val="0"/>
          <w:sz w:val="22"/>
          <w:szCs w:val="22"/>
          <w:lang w:val="en-US" w:eastAsia="zh-CN" w:bidi="hi-IN"/>
        </w:rPr>
      </w:pPr>
      <w:bookmarkStart w:id="6" w:name="p-rc_198721976843cd84-697"/>
      <w:bookmarkEnd w:id="6"/>
      <w:r>
        <w:rPr>
          <w:rFonts w:eastAsia="Google Sans" w:cs="Google Sans" w:ascii="Google Sans Text;sans-serif" w:hAnsi="Google Sans Text;sans-serif"/>
          <w:b/>
          <w:color w:val="1F1F1F"/>
          <w:kern w:val="0"/>
          <w:sz w:val="22"/>
          <w:szCs w:val="22"/>
          <w:lang w:val="en-US" w:eastAsia="zh-CN" w:bidi="hi-IN"/>
        </w:rPr>
        <w:t>Agency Data Masking (Scenarios 10, 11, 12, 13):</w:t>
      </w:r>
      <w:r>
        <w:rPr>
          <w:rFonts w:eastAsia="Google Sans" w:cs="Google Sans" w:ascii="Google Sans Text;sans-serif" w:hAnsi="Google Sans Text;sans-serif"/>
          <w:color w:val="1F1F1F"/>
          <w:kern w:val="0"/>
          <w:sz w:val="22"/>
          <w:szCs w:val="22"/>
          <w:lang w:val="en-US" w:eastAsia="zh-CN" w:bidi="hi-IN"/>
        </w:rPr>
        <w:t xml:space="preserve"> CONDITIONAL PASS. The Agency Portal interface must explicitly enforce "Minimum Necessary UI Rendering." For example, a hospital's portal must render physical descriptors and </w:t>
      </w:r>
      <w:r>
        <w:rPr>
          <w:rStyle w:val="SourceText"/>
          <w:rFonts w:ascii="Google Sans Text;sans-serif" w:hAnsi="Google Sans Text;sans-serif"/>
          <w:color w:val="1F1F1F"/>
          <w:kern w:val="0"/>
          <w:sz w:val="22"/>
          <w:szCs w:val="22"/>
          <w:lang w:val="en-US" w:eastAsia="zh-CN" w:bidi="hi-IN"/>
        </w:rPr>
        <w:t>IdentityEvidence</w:t>
      </w:r>
      <w:r>
        <w:rPr>
          <w:rFonts w:eastAsia="Google Sans" w:cs="Google Sans" w:ascii="Google Sans Text;sans-serif" w:hAnsi="Google Sans Text;sans-serif"/>
          <w:color w:val="1F1F1F"/>
          <w:kern w:val="0"/>
          <w:sz w:val="22"/>
          <w:szCs w:val="22"/>
          <w:lang w:val="en-US" w:eastAsia="zh-CN" w:bidi="hi-IN"/>
        </w:rPr>
        <w:t xml:space="preserve"> but completely hide UI components related to family financial disputes or non-medical history. </w:t>
      </w:r>
    </w:p>
    <w:p>
      <w:pPr>
        <w:pStyle w:val="BodyText"/>
        <w:spacing w:lineRule="auto" w:line="274" w:before="0" w:after="140"/>
        <w:ind w:hanging="0" w:left="0" w:right="0"/>
        <w:rPr>
          <w:rFonts w:ascii="Google Sans Text;sans-serif" w:hAnsi="Google Sans Text;sans-serif" w:eastAsia="Google Sans" w:cs="Google Sans"/>
          <w:b/>
          <w:color w:val="1F1F1F"/>
          <w:kern w:val="0"/>
          <w:sz w:val="22"/>
          <w:szCs w:val="22"/>
          <w:lang w:val="en-US" w:eastAsia="zh-CN" w:bidi="hi-IN"/>
        </w:rPr>
      </w:pPr>
      <w:r>
        <w:rPr>
          <w:rFonts w:eastAsia="Google Sans" w:cs="Google Sans" w:ascii="Google Sans Text;sans-serif" w:hAnsi="Google Sans Text;sans-serif"/>
          <w:b/>
          <w:color w:val="1F1F1F"/>
          <w:kern w:val="0"/>
          <w:sz w:val="22"/>
          <w:szCs w:val="22"/>
          <w:lang w:val="en-US" w:eastAsia="zh-CN" w:bidi="hi-IN"/>
        </w:rPr>
        <w:t>SPEC-006 Confirmation &amp; Baseline</w:t>
      </w:r>
    </w:p>
    <w:p>
      <w:pPr>
        <w:pStyle w:val="BodyText"/>
        <w:spacing w:lineRule="auto" w:line="274" w:before="0" w:after="140"/>
        <w:ind w:hanging="0" w:left="0" w:right="0"/>
        <w:rPr>
          <w:rFonts w:ascii="Google Sans Text;sans-serif" w:hAnsi="Google Sans Text;sans-serif" w:eastAsia="Google Sans" w:cs="Google Sans"/>
          <w:color w:val="1F1F1F"/>
          <w:kern w:val="0"/>
          <w:sz w:val="22"/>
          <w:szCs w:val="22"/>
          <w:lang w:val="en-US" w:eastAsia="zh-CN" w:bidi="hi-IN"/>
        </w:rPr>
      </w:pPr>
      <w:bookmarkStart w:id="7" w:name="p-rc_198721976843cd84-698"/>
      <w:bookmarkEnd w:id="7"/>
      <w:r>
        <w:rPr>
          <w:rFonts w:eastAsia="Google Sans" w:cs="Google Sans" w:ascii="Google Sans Text;sans-serif" w:hAnsi="Google Sans Text;sans-serif"/>
          <w:color w:val="1F1F1F"/>
          <w:kern w:val="0"/>
          <w:sz w:val="22"/>
          <w:szCs w:val="22"/>
          <w:lang w:val="en-US" w:eastAsia="zh-CN" w:bidi="hi-IN"/>
        </w:rPr>
        <w:t xml:space="preserve">With the above conditional passes integrated, </w:t>
      </w:r>
      <w:r>
        <w:rPr>
          <w:rFonts w:eastAsia="Google Sans" w:cs="Google Sans" w:ascii="Google Sans Text;sans-serif" w:hAnsi="Google Sans Text;sans-serif"/>
          <w:b/>
          <w:color w:val="1F1F1F"/>
          <w:kern w:val="0"/>
          <w:sz w:val="22"/>
          <w:szCs w:val="22"/>
          <w:lang w:val="en-US" w:eastAsia="zh-CN" w:bidi="hi-IN"/>
        </w:rPr>
        <w:t>SPEC-006 is CONFIRMED</w:t>
      </w:r>
      <w:r>
        <w:rPr>
          <w:rFonts w:eastAsia="Google Sans" w:cs="Google Sans" w:ascii="Google Sans Text;sans-serif" w:hAnsi="Google Sans Text;sans-serif"/>
          <w:color w:val="1F1F1F"/>
          <w:kern w:val="0"/>
          <w:sz w:val="22"/>
          <w:szCs w:val="22"/>
          <w:lang w:val="en-US" w:eastAsia="zh-CN" w:bidi="hi-IN"/>
        </w:rPr>
        <w:t xml:space="preserve"> and baselined as v0.2. The interaction models successfully translate the strict privacy, safeguarding, and architectural controls of SPEC-003, SPEC-004, and SPEC-005 into trauma-informed interfaces. </w:t>
      </w:r>
    </w:p>
    <w:p>
      <w:pPr>
        <w:pStyle w:val="normal1"/>
        <w:shd w:val="clear" w:fill="auto"/>
        <w:spacing w:lineRule="auto" w:line="276"/>
        <w:ind w:hanging="360" w:left="590"/>
        <w:rPr>
          <w:rFonts w:ascii="Google Sans" w:hAnsi="Google Sans" w:eastAsia="Google Sans" w:cs="Google Sans"/>
          <w:color w:val="1F1F1F"/>
        </w:rPr>
      </w:pPr>
      <w:r>
        <w:rPr>
          <w:rFonts w:eastAsia="Google Sans" w:cs="Google Sans" w:ascii="Google Sans" w:hAnsi="Google Sans"/>
          <w:color w:val="1F1F1F"/>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1"/>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1"/>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OpenSymbol">
    <w:altName w:val="Arial Unicode MS"/>
    <w:charset w:val="02"/>
    <w:family w:val="auto"/>
    <w:pitch w:val="default"/>
    <w:embedRegular r:id="rId14" w:fontKey="{0E014A78-CABC-4EF0-12AC-5CD89AEFDE0E}"/>
    <w:embedBold r:id="rId15" w:fontKey="{0F014A78-CABC-4EF0-12AC-5CD89AEFDE0F}"/>
  </w:font>
  <w:font w:name="Liberation Mono">
    <w:altName w:val="Courier New"/>
    <w:charset w:val="01"/>
    <w:family w:val="modern"/>
    <w:pitch w:val="fixed"/>
    <w:embedRegular r:id="rId16" w:fontKey="{10014A78-CABC-4EF0-12AC-5CD89AEFDE10}"/>
    <w:embedBold r:id="rId17" w:fontKey="{11014A78-CABC-4EF0-12AC-5CD89AEFDE11}"/>
    <w:embedItalic r:id="rId18" w:fontKey="{12014A78-CABC-4EF0-12AC-5CD89AEFDE12}"/>
    <w:embedBoldItalic r:id="rId19" w:fontKey="{13014A78-CABC-4EF0-12AC-5CD89AEFDE13}"/>
  </w:font>
  <w:font w:name="Liberation Sans">
    <w:altName w:val="Arial"/>
    <w:charset w:val="01"/>
    <w:family w:val="swiss"/>
    <w:pitch w:val="variable"/>
    <w:embedRegular r:id="rId20" w:fontKey="{14014A78-CABC-4EF0-12AC-5CD89AEFDE14}"/>
    <w:embedBold r:id="rId21" w:fontKey="{15014A78-CABC-4EF0-12AC-5CD89AEFDE15}"/>
    <w:embedItalic r:id="rId22" w:fontKey="{16014A78-CABC-4EF0-12AC-5CD89AEFDE16}"/>
    <w:embedBoldItalic r:id="rId23" w:fontKey="{17014A78-CABC-4EF0-12AC-5CD89AEFDE17}"/>
  </w:font>
  <w:font w:name="Georgia">
    <w:charset w:val="01"/>
    <w:family w:val="auto"/>
    <w:pitch w:val="variable"/>
    <w:embedRegular r:id="rId24" w:fontKey="{18014A78-CABC-4EF0-12AC-5CD89AEFDE18}"/>
    <w:embedBold r:id="rId25" w:fontKey="{19014A78-CABC-4EF0-12AC-5CD89AEFDE19}"/>
    <w:embedItalic r:id="rId26" w:fontKey="{1A014A78-CABC-4EF0-12AC-5CD89AEFDE1A}"/>
    <w:embedBoldItalic r:id="rId27" w:fontKey="{1B014A78-CABC-4EF0-12AC-5CD89AEFDE1B}"/>
  </w:font>
  <w:font w:name="Google Sans">
    <w:charset w:val="01"/>
    <w:family w:val="auto"/>
    <w:pitch w:val="variable"/>
    <w:embedRegular r:id="rId28" w:fontKey="{1C014A78-CABC-4EF0-12AC-5CD89AEFDE1C}"/>
    <w:embedBold r:id="rId29" w:fontKey="{1D014A78-CABC-4EF0-12AC-5CD89AEFDE1D}"/>
    <w:embedItalic r:id="rId30" w:fontKey="{1E014A78-CABC-4EF0-12AC-5CD89AEFDE1E}"/>
    <w:embedBoldItalic r:id="rId31" w:fontKey="{1F014A78-CABC-4EF0-12AC-5CD89AEFDE1F}"/>
  </w:font>
  <w:font w:name="Google Sans Text">
    <w:altName w:val="sans-serif"/>
    <w:charset w:val="01"/>
    <w:family w:val="auto"/>
    <w:pitch w:val="default"/>
  </w:font>
  <w:font w:name="Symbol">
    <w:charset w:val="02"/>
    <w:family w:val="auto"/>
    <w:pitch w:val="default"/>
    <w:embedRegular r:id="rId32" w:fontKey="{20014A78-CABC-4EF0-12AC-5CD89AEFDE20}"/>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9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2">
    <w:lvl w:ilvl="0">
      <w:start w:val="1"/>
      <w:numFmt w:val="bullet"/>
      <w:lvlText w:val="●"/>
      <w:lvlJc w:val="left"/>
      <w:pPr>
        <w:tabs>
          <w:tab w:val="num" w:pos="0"/>
        </w:tabs>
        <w:ind w:left="59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3">
    <w:lvl w:ilvl="0">
      <w:start w:val="1"/>
      <w:numFmt w:val="bullet"/>
      <w:lvlText w:val="●"/>
      <w:lvlJc w:val="left"/>
      <w:pPr>
        <w:tabs>
          <w:tab w:val="num" w:pos="0"/>
        </w:tabs>
        <w:ind w:left="59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4">
    <w:lvl w:ilvl="0">
      <w:start w:val="1"/>
      <w:numFmt w:val="bullet"/>
      <w:lvlText w:val="●"/>
      <w:lvlJc w:val="left"/>
      <w:pPr>
        <w:tabs>
          <w:tab w:val="num" w:pos="0"/>
        </w:tabs>
        <w:ind w:left="59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5">
    <w:lvl w:ilvl="0">
      <w:start w:val="1"/>
      <w:numFmt w:val="bullet"/>
      <w:lvlText w:val="●"/>
      <w:lvlJc w:val="left"/>
      <w:pPr>
        <w:tabs>
          <w:tab w:val="num" w:pos="0"/>
        </w:tabs>
        <w:ind w:left="59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3"/>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shd w:val="clear" w:fill="auto"/>
      <w:spacing w:lineRule="auto" w:line="240" w:before="240" w:after="240"/>
    </w:pPr>
    <w:rPr>
      <w:b/>
      <w:bCs/>
      <w:i w:val="false"/>
      <w:iCs w:val="false"/>
      <w:sz w:val="48"/>
      <w:szCs w:val="48"/>
    </w:rPr>
  </w:style>
  <w:style w:type="paragraph" w:styleId="Heading2">
    <w:name w:val="heading 2"/>
    <w:basedOn w:val="normal1"/>
    <w:next w:val="normal1"/>
    <w:qFormat/>
    <w:pPr>
      <w:shd w:val="clear" w:fill="auto"/>
      <w:spacing w:lineRule="auto" w:line="240" w:before="225" w:after="225"/>
    </w:pPr>
    <w:rPr>
      <w:b/>
      <w:bCs/>
      <w:i w:val="false"/>
      <w:iCs w:val="false"/>
      <w:sz w:val="36"/>
      <w:szCs w:val="36"/>
    </w:rPr>
  </w:style>
  <w:style w:type="paragraph" w:styleId="Heading3">
    <w:name w:val="heading 3"/>
    <w:basedOn w:val="normal1"/>
    <w:next w:val="normal1"/>
    <w:qFormat/>
    <w:pPr>
      <w:shd w:val="clear" w:fill="auto"/>
      <w:spacing w:lineRule="auto" w:line="240" w:before="240" w:after="240"/>
    </w:pPr>
    <w:rPr>
      <w:b/>
      <w:bCs/>
      <w:i w:val="false"/>
      <w:iCs w:val="false"/>
      <w:sz w:val="28"/>
      <w:szCs w:val="28"/>
    </w:rPr>
  </w:style>
  <w:style w:type="paragraph" w:styleId="Heading4">
    <w:name w:val="heading 4"/>
    <w:basedOn w:val="normal1"/>
    <w:next w:val="normal1"/>
    <w:qFormat/>
    <w:pPr>
      <w:shd w:val="clear" w:fill="auto"/>
      <w:spacing w:lineRule="auto" w:line="240" w:before="255" w:after="255"/>
    </w:pPr>
    <w:rPr>
      <w:b/>
      <w:bCs/>
      <w:i w:val="false"/>
      <w:iCs w:val="false"/>
      <w:sz w:val="24"/>
      <w:szCs w:val="24"/>
    </w:rPr>
  </w:style>
  <w:style w:type="paragraph" w:styleId="Heading5">
    <w:name w:val="heading 5"/>
    <w:basedOn w:val="normal1"/>
    <w:next w:val="normal1"/>
    <w:qFormat/>
    <w:pPr>
      <w:shd w:val="clear" w:fill="auto"/>
      <w:spacing w:lineRule="auto" w:line="240" w:before="255" w:after="255"/>
    </w:pPr>
    <w:rPr>
      <w:b/>
      <w:bCs/>
      <w:i w:val="false"/>
      <w:iCs w:val="false"/>
      <w:sz w:val="18"/>
      <w:szCs w:val="18"/>
    </w:rPr>
  </w:style>
  <w:style w:type="paragraph" w:styleId="Heading6">
    <w:name w:val="heading 6"/>
    <w:basedOn w:val="normal1"/>
    <w:next w:val="normal1"/>
    <w:qFormat/>
    <w:pPr>
      <w:shd w:val="clear" w:fill="auto"/>
      <w:spacing w:lineRule="auto" w:line="240" w:before="360" w:after="360"/>
    </w:pPr>
    <w:rPr>
      <w:b/>
      <w:bCs/>
      <w:i w:val="false"/>
      <w:iCs w:val="false"/>
      <w:sz w:val="16"/>
      <w:szCs w:val="16"/>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1" w:default="1">
    <w:name w:val="normal1"/>
    <w:qFormat/>
    <w:pPr>
      <w:widowControl w:val="false"/>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Relationship Id="rId29" Type="http://schemas.openxmlformats.org/officeDocument/2006/relationships/font" Target="fonts/font29.odttf"/><Relationship Id="rId30" Type="http://schemas.openxmlformats.org/officeDocument/2006/relationships/font" Target="fonts/font30.odttf"/><Relationship Id="rId31" Type="http://schemas.openxmlformats.org/officeDocument/2006/relationships/font" Target="fonts/font31.odttf"/><Relationship Id="rId32" Type="http://schemas.openxmlformats.org/officeDocument/2006/relationships/font" Target="fonts/font3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LibreOffice/25.2.0.3$MacOSX_AARCH64 LibreOffice_project/e1cf4a87eb02d755bce1a01209907ea5ddc8f069</Application>
  <AppVersion>15.0000</AppVersion>
  <Pages>5</Pages>
  <Words>1232</Words>
  <Characters>7973</Characters>
  <CharactersWithSpaces>9116</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2026-08-29T12:42:29Z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