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This specification establishes the engineering, quality assurance, and deployment testing gates required to certify the FamilyConnect MVP for live disaster operations. It ensures the architectural resilience and privacy controls defined in preceding specifications perform flawlessly under degraded conditions.</w:t>
      </w:r>
    </w:p>
    <w:p>
      <w:pPr>
        <w:pStyle w:val="Heading 2"/>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1. Implementation Methodology</w:t>
      </w:r>
    </w:p>
    <w:p>
      <w:pPr>
        <w:pStyle w:val="Body"/>
        <w:numPr>
          <w:ilvl w:val="0"/>
          <w:numId w:val="2"/>
        </w:numPr>
        <w:spacing w:line="275" w:lineRule="auto"/>
      </w:pPr>
      <w:r>
        <w:rPr>
          <w:rFonts w:ascii="Google Sans" w:cs="Google Sans" w:hAnsi="Google Sans" w:eastAsia="Google Sans"/>
          <w:b w:val="1"/>
          <w:bCs w:val="1"/>
          <w:outline w:val="0"/>
          <w:color w:val="1f1f1f"/>
          <w:u w:color="1f1f1f"/>
          <w:rtl w:val="0"/>
          <w14:textFill>
            <w14:solidFill>
              <w14:srgbClr w14:val="1F1F1F"/>
            </w14:solidFill>
          </w14:textFill>
        </w:rPr>
        <w:t>Modular Monolith:</w:t>
      </w:r>
      <w:r>
        <w:rPr>
          <w:rFonts w:ascii="Google Sans" w:cs="Google Sans" w:hAnsi="Google Sans" w:eastAsia="Google Sans"/>
          <w:outline w:val="0"/>
          <w:color w:val="1f1f1f"/>
          <w:u w:color="1f1f1f"/>
          <w:rtl w:val="0"/>
          <w:lang w:val="en-US"/>
          <w14:textFill>
            <w14:solidFill>
              <w14:srgbClr w14:val="1F1F1F"/>
            </w14:solidFill>
          </w14:textFill>
        </w:rPr>
        <w:t xml:space="preserve"> Deploy bounded contexts (Identity, Case Management, Offline Sync) within a single scalable application boundary to minimize network overhead and orchestration complexity during the MVP phase.</w:t>
      </w:r>
    </w:p>
    <w:p>
      <w:pPr>
        <w:pStyle w:val="Body"/>
        <w:numPr>
          <w:ilvl w:val="0"/>
          <w:numId w:val="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Database First:</w:t>
      </w:r>
      <w:r>
        <w:rPr>
          <w:rFonts w:ascii="Google Sans" w:cs="Google Sans" w:hAnsi="Google Sans" w:eastAsia="Google Sans"/>
          <w:outline w:val="0"/>
          <w:color w:val="1f1f1f"/>
          <w:u w:color="1f1f1f"/>
          <w:rtl w:val="0"/>
          <w:lang w:val="en-US"/>
          <w14:textFill>
            <w14:solidFill>
              <w14:srgbClr w14:val="1F1F1F"/>
            </w14:solidFill>
          </w14:textFill>
        </w:rPr>
        <w:t xml:space="preserve"> Utilize PostgreSQL for relational state management, pg_trgm for approximate matching, and the Transactional Outbox Pattern for the event bus.</w:t>
      </w:r>
    </w:p>
    <w:p>
      <w:pPr>
        <w:pStyle w:val="Body"/>
        <w:numPr>
          <w:ilvl w:val="0"/>
          <w:numId w:val="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API-Driven UI:</w:t>
      </w:r>
      <w:r>
        <w:rPr>
          <w:rFonts w:ascii="Google Sans" w:cs="Google Sans" w:hAnsi="Google Sans" w:eastAsia="Google Sans"/>
          <w:outline w:val="0"/>
          <w:color w:val="1f1f1f"/>
          <w:u w:color="1f1f1f"/>
          <w:rtl w:val="0"/>
          <w:lang w:val="en-US"/>
          <w14:textFill>
            <w14:solidFill>
              <w14:srgbClr w14:val="1F1F1F"/>
            </w14:solidFill>
          </w14:textFill>
        </w:rPr>
        <w:t xml:space="preserve"> Decouple the trauma-informed frontend from the backend using the REST/JSON contracts established in SPEC-003.</w:t>
      </w:r>
    </w:p>
    <w:p>
      <w:pPr>
        <w:pStyle w:val="Heading 2"/>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2. Testing Gates &amp; Quality Assurance</w:t>
      </w:r>
    </w:p>
    <w:p>
      <w:pPr>
        <w:pStyle w:val="Body"/>
        <w:spacing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engineering team must pass four mandatory testing phases prior to the Humanitarian Agency Review.</w:t>
      </w:r>
    </w:p>
    <w:p>
      <w:pPr>
        <w:pStyle w:val="Heading 3"/>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 Chaos Engineering &amp; Offline Resilience</w:t>
      </w:r>
    </w:p>
    <w:p>
      <w:pPr>
        <w:pStyle w:val="Body"/>
        <w:spacing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Disaster zones feature highly unstable telecommunications.</w:t>
      </w:r>
    </w:p>
    <w:p>
      <w:pPr>
        <w:pStyle w:val="Body"/>
        <w:numPr>
          <w:ilvl w:val="0"/>
          <w:numId w:val="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Network Drops:</w:t>
      </w:r>
      <w:r>
        <w:rPr>
          <w:rFonts w:ascii="Google Sans" w:cs="Google Sans" w:hAnsi="Google Sans" w:eastAsia="Google Sans"/>
          <w:outline w:val="0"/>
          <w:color w:val="1f1f1f"/>
          <w:u w:color="1f1f1f"/>
          <w:rtl w:val="0"/>
          <w:lang w:val="en-US"/>
          <w14:textFill>
            <w14:solidFill>
              <w14:srgbClr w14:val="1F1F1F"/>
            </w14:solidFill>
          </w14:textFill>
        </w:rPr>
        <w:t xml:space="preserve"> Field client applications must successfully queue operations locally when connections drop mid-request.</w:t>
      </w:r>
    </w:p>
    <w:p>
      <w:pPr>
        <w:pStyle w:val="Body"/>
        <w:numPr>
          <w:ilvl w:val="0"/>
          <w:numId w:val="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Idempotency Validation:</w:t>
      </w:r>
      <w:r>
        <w:rPr>
          <w:rFonts w:ascii="Google Sans" w:cs="Google Sans" w:hAnsi="Google Sans" w:eastAsia="Google Sans"/>
          <w:outline w:val="0"/>
          <w:color w:val="1f1f1f"/>
          <w:u w:color="1f1f1f"/>
          <w:rtl w:val="0"/>
          <w:lang w:val="en-US"/>
          <w14:textFill>
            <w14:solidFill>
              <w14:srgbClr w14:val="1F1F1F"/>
            </w14:solidFill>
          </w14:textFill>
        </w:rPr>
        <w:t xml:space="preserve"> Automated tests must fire concurrent POST requests with identical Idempotency-Key headers to ensure no duplicate MissingReport or SafetyDeclaration records are generated.</w:t>
      </w:r>
    </w:p>
    <w:p>
      <w:pPr>
        <w:pStyle w:val="Body"/>
        <w:numPr>
          <w:ilvl w:val="0"/>
          <w:numId w:val="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ETag Conflict Resolution:</w:t>
      </w:r>
      <w:r>
        <w:rPr>
          <w:rFonts w:ascii="Google Sans" w:cs="Google Sans" w:hAnsi="Google Sans" w:eastAsia="Google Sans"/>
          <w:outline w:val="0"/>
          <w:color w:val="1f1f1f"/>
          <w:u w:color="1f1f1f"/>
          <w:rtl w:val="0"/>
          <w:lang w:val="en-US"/>
          <w14:textFill>
            <w14:solidFill>
              <w14:srgbClr w14:val="1F1F1F"/>
            </w14:solidFill>
          </w14:textFill>
        </w:rPr>
        <w:t xml:space="preserve"> Simulate concurrent Case Worker edits to ensure 412 Precondition Failed is thrown and handled by the conflict resolution UI.</w:t>
      </w:r>
    </w:p>
    <w:p>
      <w:pPr>
        <w:pStyle w:val="Heading 3"/>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B. Security &amp; Privacy Penetration (ABAC)</w:t>
      </w:r>
    </w:p>
    <w:p>
      <w:pPr>
        <w:pStyle w:val="Body"/>
        <w:spacing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Role-Based Access Control (RBAC) is insufficient; tests must validate the Attribute-Based Access Control (ABAC) matrix.</w:t>
      </w:r>
    </w:p>
    <w:p>
      <w:pPr>
        <w:pStyle w:val="Body"/>
        <w:numPr>
          <w:ilvl w:val="0"/>
          <w:numId w:val="6"/>
        </w:numPr>
        <w:spacing w:line="275" w:lineRule="auto"/>
        <w:rPr>
          <w:lang w:val="fr-FR"/>
        </w:rPr>
      </w:pPr>
      <w:r>
        <w:rPr>
          <w:rFonts w:ascii="Google Sans" w:cs="Google Sans" w:hAnsi="Google Sans" w:eastAsia="Google Sans"/>
          <w:b w:val="1"/>
          <w:bCs w:val="1"/>
          <w:outline w:val="0"/>
          <w:color w:val="1f1f1f"/>
          <w:u w:color="1f1f1f"/>
          <w:rtl w:val="0"/>
          <w:lang w:val="fr-FR"/>
          <w14:textFill>
            <w14:solidFill>
              <w14:srgbClr w14:val="1F1F1F"/>
            </w14:solidFill>
          </w14:textFill>
        </w:rPr>
        <w:t>Cross-Tenant Isolation:</w:t>
      </w:r>
      <w:r>
        <w:rPr>
          <w:rFonts w:ascii="Google Sans" w:cs="Google Sans" w:hAnsi="Google Sans" w:eastAsia="Google Sans"/>
          <w:outline w:val="0"/>
          <w:color w:val="1f1f1f"/>
          <w:u w:color="1f1f1f"/>
          <w:rtl w:val="0"/>
          <w:lang w:val="en-US"/>
          <w14:textFill>
            <w14:solidFill>
              <w14:srgbClr w14:val="1F1F1F"/>
            </w14:solidFill>
          </w14:textFill>
        </w:rPr>
        <w:t xml:space="preserve"> Ensure a FAMILY actor cannot query HIGHLY_RESTRICTED forensic data or view contact details of competing claimants during an active CaseDispute.</w:t>
      </w:r>
    </w:p>
    <w:p>
      <w:pPr>
        <w:pStyle w:val="Body"/>
        <w:numPr>
          <w:ilvl w:val="0"/>
          <w:numId w:val="6"/>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Agency Boundary Test:</w:t>
      </w:r>
      <w:r>
        <w:rPr>
          <w:rFonts w:ascii="Google Sans" w:cs="Google Sans" w:hAnsi="Google Sans" w:eastAsia="Google Sans"/>
          <w:outline w:val="0"/>
          <w:color w:val="1f1f1f"/>
          <w:u w:color="1f1f1f"/>
          <w:rtl w:val="0"/>
          <w:lang w:val="en-US"/>
          <w14:textFill>
            <w14:solidFill>
              <w14:srgbClr w14:val="1F1F1F"/>
            </w14:solidFill>
          </w14:textFill>
        </w:rPr>
        <w:t xml:space="preserve"> Validate that an AUTHORITY user from a hospital portal only receives Minimum Necessary Disclosure (e.g., physical descriptors) and is blocked from family financial data.</w:t>
      </w:r>
    </w:p>
    <w:p>
      <w:pPr>
        <w:pStyle w:val="Body"/>
        <w:numPr>
          <w:ilvl w:val="0"/>
          <w:numId w:val="6"/>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Audit Immutability:</w:t>
      </w:r>
      <w:r>
        <w:rPr>
          <w:rFonts w:ascii="Google Sans" w:cs="Google Sans" w:hAnsi="Google Sans" w:eastAsia="Google Sans"/>
          <w:outline w:val="0"/>
          <w:color w:val="1f1f1f"/>
          <w:u w:color="1f1f1f"/>
          <w:rtl w:val="0"/>
          <w:lang w:val="en-US"/>
          <w14:textFill>
            <w14:solidFill>
              <w14:srgbClr w14:val="1F1F1F"/>
            </w14:solidFill>
          </w14:textFill>
        </w:rPr>
        <w:t xml:space="preserve"> Attempt to DELETE or UPDATE records in the AuditEvent table using application credentials; the database must reject these transactions.</w:t>
      </w:r>
    </w:p>
    <w:p>
      <w:pPr>
        <w:pStyle w:val="Heading 3"/>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C. Load &amp; Surge Testing</w:t>
      </w:r>
    </w:p>
    <w:p>
      <w:pPr>
        <w:pStyle w:val="Body"/>
        <w:numPr>
          <w:ilvl w:val="0"/>
          <w:numId w:val="8"/>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Public Endpoint Stress:</w:t>
      </w:r>
      <w:r>
        <w:rPr>
          <w:rFonts w:ascii="Google Sans" w:cs="Google Sans" w:hAnsi="Google Sans" w:eastAsia="Google Sans"/>
          <w:outline w:val="0"/>
          <w:color w:val="1f1f1f"/>
          <w:u w:color="1f1f1f"/>
          <w:rtl w:val="0"/>
          <w:lang w:val="en-US"/>
          <w14:textFill>
            <w14:solidFill>
              <w14:srgbClr w14:val="1F1F1F"/>
            </w14:solidFill>
          </w14:textFill>
        </w:rPr>
        <w:t xml:space="preserve"> Simulate traffic spikes replicating a sudden disaster rumor (e.g., 10,000 concurrent hits to GET /api/v1/events/{eventId}/rumours) to validate edge caching and CDN resilience.</w:t>
      </w:r>
    </w:p>
    <w:p>
      <w:pPr>
        <w:pStyle w:val="Body"/>
        <w:numPr>
          <w:ilvl w:val="0"/>
          <w:numId w:val="8"/>
        </w:numPr>
        <w:spacing w:line="275" w:lineRule="auto"/>
        <w:rPr>
          <w:lang w:val="de-DE"/>
        </w:rPr>
      </w:pPr>
      <w:r>
        <w:rPr>
          <w:rFonts w:ascii="Google Sans" w:cs="Google Sans" w:hAnsi="Google Sans" w:eastAsia="Google Sans"/>
          <w:b w:val="1"/>
          <w:bCs w:val="1"/>
          <w:outline w:val="0"/>
          <w:color w:val="1f1f1f"/>
          <w:u w:color="1f1f1f"/>
          <w:rtl w:val="0"/>
          <w:lang w:val="de-DE"/>
          <w14:textFill>
            <w14:solidFill>
              <w14:srgbClr w14:val="1F1F1F"/>
            </w14:solidFill>
          </w14:textFill>
        </w:rPr>
        <w:t>Rate-Limit Shielding:</w:t>
      </w:r>
      <w:r>
        <w:rPr>
          <w:rFonts w:ascii="Google Sans" w:cs="Google Sans" w:hAnsi="Google Sans" w:eastAsia="Google Sans"/>
          <w:outline w:val="0"/>
          <w:color w:val="1f1f1f"/>
          <w:u w:color="1f1f1f"/>
          <w:rtl w:val="0"/>
          <w:lang w:val="en-US"/>
          <w14:textFill>
            <w14:solidFill>
              <w14:srgbClr w14:val="1F1F1F"/>
            </w14:solidFill>
          </w14:textFill>
        </w:rPr>
        <w:t xml:space="preserve"> Ensure automated enumeration attempts against case IDs return generic 404 Not Found or 429 Rate Limited errors to prevent hostile data scraping.</w:t>
      </w:r>
    </w:p>
    <w:p>
      <w:pPr>
        <w:pStyle w:val="Heading 3"/>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 System Handover &amp; Lifecycle</w:t>
      </w:r>
    </w:p>
    <w:p>
      <w:pPr>
        <w:pStyle w:val="Body"/>
        <w:numPr>
          <w:ilvl w:val="0"/>
          <w:numId w:val="10"/>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Safeguarding Custody:</w:t>
      </w:r>
      <w:r>
        <w:rPr>
          <w:rFonts w:ascii="Google Sans" w:cs="Google Sans" w:hAnsi="Google Sans" w:eastAsia="Google Sans"/>
          <w:outline w:val="0"/>
          <w:color w:val="1f1f1f"/>
          <w:u w:color="1f1f1f"/>
          <w:rtl w:val="0"/>
          <w:lang w:val="en-US"/>
          <w14:textFill>
            <w14:solidFill>
              <w14:srgbClr w14:val="1F1F1F"/>
            </w14:solidFill>
          </w14:textFill>
        </w:rPr>
        <w:t xml:space="preserve"> Verify the SafeguardingHandover API requires digital acknowledgment before releasing a minor's record to statutory police systems.</w:t>
      </w:r>
    </w:p>
    <w:p>
      <w:pPr>
        <w:pStyle w:val="Body"/>
        <w:numPr>
          <w:ilvl w:val="0"/>
          <w:numId w:val="10"/>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External Handover Sync:</w:t>
      </w:r>
      <w:r>
        <w:rPr>
          <w:rFonts w:ascii="Google Sans" w:cs="Google Sans" w:hAnsi="Google Sans" w:eastAsia="Google Sans"/>
          <w:outline w:val="0"/>
          <w:color w:val="1f1f1f"/>
          <w:u w:color="1f1f1f"/>
          <w:rtl w:val="0"/>
          <w:lang w:val="en-US"/>
          <w14:textFill>
            <w14:solidFill>
              <w14:srgbClr w14:val="1F1F1F"/>
            </w14:solidFill>
          </w14:textFill>
        </w:rPr>
        <w:t xml:space="preserve"> Test the export of a long-term unresolved case to an external tracing system, ensuring the original FamilyConnect audit history is locked and preserved.</w:t>
      </w:r>
    </w:p>
    <w:p>
      <w:pPr>
        <w:pStyle w:val="Heading 2"/>
        <w:spacing w:before="0" w:after="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3. Deployment Readiness</w:t>
      </w:r>
    </w:p>
    <w:p>
      <w:pPr>
        <w:pStyle w:val="Body"/>
        <w:spacing w:line="275" w:lineRule="auto"/>
      </w:pPr>
      <w:r>
        <w:rPr>
          <w:rFonts w:ascii="Google Sans" w:cs="Google Sans" w:hAnsi="Google Sans" w:eastAsia="Google Sans"/>
          <w:b w:val="1"/>
          <w:bCs w:val="1"/>
          <w:outline w:val="0"/>
          <w:color w:val="1f1f1f"/>
          <w:u w:color="1f1f1f"/>
          <w:rtl w:val="0"/>
          <w14:textFill>
            <w14:solidFill>
              <w14:srgbClr w14:val="1F1F1F"/>
            </w14:solidFill>
          </w14:textFill>
        </w:rPr>
        <w:t>SPEC-007 STATUS:</w:t>
      </w:r>
      <w:r>
        <w:rPr>
          <w:rFonts w:ascii="Google Sans" w:cs="Google Sans" w:hAnsi="Google Sans" w:eastAsia="Google Sans"/>
          <w:outline w:val="0"/>
          <w:color w:val="1f1f1f"/>
          <w:u w:color="1f1f1f"/>
          <w:rtl w:val="0"/>
          <w:lang w:val="en-US"/>
          <w14:textFill>
            <w14:solidFill>
              <w14:srgbClr w14:val="1F1F1F"/>
            </w14:solidFill>
          </w14:textFill>
        </w:rPr>
        <w:t xml:space="preserve"> Baseline Approved. The full specification pipeline (SPEC-001 through SPEC-007) is complete. Engineering implementation against the MVP boundary may now formally commence.</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9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9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59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59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59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