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52"/>
          <w:szCs w:val="52"/>
        </w:rPr>
        <w:t xml:space="preserve">QUANT AGENT SYSTEM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2"/>
          <w:szCs w:val="32"/>
        </w:rPr>
        <w:t xml:space="preserve">QA-1 Functional Specification v2.0</w:t>
      </w:r>
    </w:p>
    <w:p>
      <w:pPr>
        <w:spacing w:after="40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6"/>
          <w:szCs w:val="26"/>
        </w:rPr>
        <w:t xml:space="preserve">Institutional-Grade Multi-Agent Investment System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3C1D"/>
          <w:sz w:val="20"/>
          <w:szCs w:val="20"/>
        </w:rPr>
        <w:t xml:space="preserve">Classification: Confidential — Internal Architecture Document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 2.0  |  Revised &amp; Extended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Revision Summary — v1.0 → v2.0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This document is a complete rewrite of QA-1 v1.0, addressing six critical institutional-grade gaps identified in the architectural review. All new or substantially revised sections are marked [NEW] or [REVISED].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 Area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Resolution in v2.0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Underspecified objective function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Section 4: Formal GBWM utility function with Monte Carlo probability engine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No data infrastructure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Section 5 [NEW]: Layer 0 Data Orchestration with point-in-time and quality controls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No learning mechanism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Section 6 [NEW]: Layer 1 Intelligence Engine with versioned ML models and drift detection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Vague agent communication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Section 9 [NEW]: Typed Agent Message Bus with formal arbitration policy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Shallow risk framework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Section 11 [REVISED]: Layered risk architecture with factor model, CPPI, and model risk overlay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Missing institutional components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Sections 7, 10, 12 [NEW]: TOA, ATA, MORA agents; Governance Layer; TCM; GIPS attribution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1. System Vision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Quant Agent (QA-1) is a multi-agent autonomous investment system designed to function as an AI-driven, institutional-grade Investment Committee. It is architected as a continuous portfolio fiduciary — not a one-time optimizer — that dynamically constructs, evaluates, and adjusts portfolios to maximise the probability of achieving user-defined financial goals under real-world constraints, including market regime changes, tax friction, liquidity limits, and behavioural tolerance.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QA-1 v2.0 is built on six architectural layers that together produce a closed-loop, self-auditing, and continuously learning investment system: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Core Function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Layer 0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Data Orchestration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Point-in-time market, factor, and alternative data with quality controls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Layer 1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Intelligence Engine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Versioned ML models for regime detection, risk, returns, and transaction costs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Layer 2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Agent Mesh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 specialised agents with typed communication contracts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Layer 3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Super Agent Orchestration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Arbitration, conflict resolution, and autonomy-tiered decision authority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Layer 4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Governance &amp; Compliance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Immutable audit trail, regulatory compliance, XAI, and model risk register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Layer 5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Output &amp; Reporting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GIPS-compliant attribution, goal-probability reporting, and client narratives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2. Design Principles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principles govern all design decisions across every layer of QA-1: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Goal-probability maximisation over return maximisation — every decision is evaluated by its effect on P(Goal Achievement), not raw expected return.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Explainability as a first-class requirement — every agent output must be renderable as a plain-English rationale for client and regulatory review.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Human-supervised autonomy — the system executes autonomously within pre-defined envelopes and escalates beyond them; it never acts unilaterally on high-impact decisions.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Do-nothing has a positive cost — inaction is not the default; the system must justify holding, not just trading, at every review cycle.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Data lineage as fiduciary requirement — every portfolio decision is traceable to the exact data snapshot, model version, and agent output that produced it.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Model risk is portfolio risk — all predictive models are versioned, monitored for drift, and subject to uncertainty widening when out-of-sample accuracy degrades.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Tax and cost efficiency are returns — the transaction cost model and tax optimisation layer are integrated into portfolio construction, not applied as an afterthought.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3. Super Agent (SA) — Core Mandate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3.1 Role Definition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Super Agent acts simultaneously as Chief Investment Officer, System Orchestrator, and Decision Authority. It is the single entry point for all workflows, coordinates all agent outputs through a formal arbitration policy, and produces all final investment artefacts.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3.2 Formal Objective Function [REVISED]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Design Principle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The objective is not to maximise expected return. It is to maximise the probability of achieving each user-defined goal at its target probability threshold, while constraining risk within user-defined limits.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SA maximises a multi-objective utility function across a prioritised goal hierarchy: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 Tier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Description &amp; Threshold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Tier 1 — Survival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Essential goals (basic income, emergency fund). P(Achievement) ≥ 99% required. Non-negotiable. Any shortfall here vetoes all other allocation decisions.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Tier 2 — Safety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Important goals (home purchase, education). P(Achievement) ≥ 90% required. Funded before growth goals.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Tier 3 — Growth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Aspirational goals (retirement corpus, wealth transfer). P(Achievement) ≥ 80% target. Subject to residual capital availability.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goal g with target corpus C_g at horizon T_g, the system computes P(Achievement) via Monte Carlo simulation across N ≥ 10,000 scenario paths, using the current portfolio allocation, the return-generating model from Layer 1, and a fat-tailed return distribution calibrated to the current market regime. The primary system objective is: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12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Maximise:  Σ_g [ w_g × P(W_T_g ≥ C_g | Portfolio, Regime, Constraints) ]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Subject to: volatility constraint σ_p ≤ σ_max(t); maximum drawdown constraint MDD_p ≤ MDD_max; CVaR at 95th percentile ≤ CVaR_limit; liquidity constraint: liquid assets ≥ L_min; turnover constraint: annual turnover ≤ TO_max; and regulatory concentration limits.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3.3 Continuous Mandate — Always-On Behaviour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Monitor portfolio drift against strategic allocation at every market-data update.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Detect regime changes via MRA signal and recalibrate return/risk assumptions.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Initiate Tier 1 and Tier 2 autonomous actions (see Section 10) without user intervention.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Escalate Tier 3 and Tier 4 decisions to the human governance interface.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Maintain a real-time, cryptographically signed decision log (see Layer 4).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4. Six-Layer System Architecture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4.0 Layer 0 — Data Orchestration [NEW]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Gap Addressed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v1.0 described agents performing fundamental analysis, regime detection, and stress testing with no reference to the data infrastructure underpinning these capabilities. This layer closes that gap.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Layer 0 is the foundational data substrate. All agent inputs are derived exclusively from this layer — no agent consumes raw external feeds directly. This ensures consistency, traceability, and point-in-time correctness.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4.0.1 Data Sources and Feeds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Feed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Type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Refresh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Price &amp; volume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EOD + intraday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NSE, BSE, ETF NAV, FX rates, commodity prices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EOD mandatory; intraday for regime signals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Corporate actions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Exchange feed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Dividends, splits, mergers, delistings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Real-time with 48h lag for confirmation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Fundamental data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Quarterly filings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P&amp;L, balance sheet, ROCE, margins, PEG, cash flows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Quarterly; point-in-time stamped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Macro / alternative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RBI, MOSPI, Bloomberg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CPI, IIP, FII/DII flows, credit spreads, options OI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Daily/monthly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Factor library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Internal compute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Pre-computed momentum, quality, value, low-vol signals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 after market close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Stress scenarios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Internal library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Historical paths: 2008, 2013 taper, 2020, custom forward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Static; updated quarterly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4.0.2 Data Quality and Governance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Survivorship bias correction: historical universe includes all securities, including delisted.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Point-in-time (PIT) enforcement: every data snapshot is tagged with the as-of date, preventing look-ahead contamination in backtests and live signals.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Automated outlier detection: price and fundamental anomalies flagged and quarantined pending review.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Corporate action adjustment: returns and price series adjusted automatically; manual override requires audit log entry.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Data lineage graph: every agent input traceable to its source feed, timestamp, and quality score.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4.0.3 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Purpose &amp; Technology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Time-series store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Arctic or InfluxDB; stores price, returns, and factor series with nanosecond timestamps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Fundamental store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 with PIT versioning; every row tagged with reporting date and as-of date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 or Feast; pre-computed ML features served to intelligence layer with low latency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Scenario library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Immutable object store (S3-compatible); historical stress paths versioned and checksummed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Audit data lake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Append-only columnar store (Parquet); all data access events logged for lineage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4.1 Layer 1 — Intelligence Engine [NEW]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Gap Addressed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v1.0 claimed QA-1 is a "continuously learning system" but defined no learning mechanism. Layer 1 is that mechanism — versioned ML models with formal lifecycle management, drift detection, and champion/challenger evaluation.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Layer 1 houses all predictive models consumed by the agent mesh. Each model is versioned, monitored, and subject to automated retraining. No model is consumed directly by agents — all outputs are wrapped in a standardised ModelOutput object that carries the prediction, confidence interval, model version, feature snapshot, and an uncertainty flag.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4.1.1 Intelligence Modules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Outputs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Retraining Trigger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Regime Classifier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Hidden Markov Model + XGBoost ensemble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Bull / Bear / Sideways / Stagflation probability vector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PSI &gt; 0.2 on input features or accuracy &lt; 65% OOS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Factor Risk Model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Ledoit-Wolf shrinkage covariance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Factor exposures, idiosyncratic risk, covariance matrix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Monthly; forced after major index reconstitution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Return Forecaster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Black-Litterman + consensus views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Expected return vector with confidence intervals per asset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Monthly with regime-conditional recalibration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Transaction Cost Model (TCM)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Market impact regression (Almgren-Chriss)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Estimated execution cost per trade as bps; slippage estimate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Quarterly; recalibrated on live execution data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Liquidity Scorer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Volume-adjusted ADV model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Liquidity score and days-to-liquidate per holding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Daily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Drawdown Control Model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CPPI with volatility targeting overlay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Risky asset multiplier, floor, cushion signal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Continuous; triggered by volatility threshold breach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4.1.2 Model Lifecycle Management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models stored in a versioned Model Registry (MLflow or equivalent) with full parameter, metric, and artefact tracking.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Champion/challenger framework: every retrained model runs in shadow mode on a 30-day paper-trading window before promotion.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Drift detection: Population Stability Index (PSI) and KL divergence computed daily on model input distributions; threshold breach triggers MORA alert.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Uncertainty propagation: when a model flags reduced confidence, its output confidence interval is widened and propagated to GENPOA as a tighter allocation constraint.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Human sign-off required before promoting any model to champion status in production.</w:t>
      </w:r>
    </w:p>
    <w:p>
      <w:pPr>
        <w:spacing w:after="0" w:before="0"/>
      </w:pPr>
      <w:r>
        <w:br/>
        <w:t xml:space="preserve"/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4.2 Layer 2 — Agent Mesh [REVISED + NEW AGENTS]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Architecture Upgrade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All agents in v2.0 emit a typed AgentOutput object (see Section 9). Three new agents — Tax Optimisation (TOA), Attribution (ATA), and Model Risk (MORA) — are added to close institutional gaps.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4.2.1 Goal Interpretation Agent (GIA) — "The Planner"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Converts user-provided inputs into a structured goal hierarchy using the three-tier priority model (Survival / Safety / Growth).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goal: computes target corpus, investment horizon, required return, and shortfall penalty.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Generates a risk tolerance band (σ_min to σ_max) calibrated to user psychometric profile and capacity for loss.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Performs multi-goal compatibility check — flags cases where simultaneous goal funding is infeasible under current capital and return assumptions.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Outputs a Goals Feasibility Report alongside structured constraints for downstream agents.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4.2.2 Market Regime Agent (MRA) — "The Macro Interpreter"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Consumes Regime Classifier output from Layer 1 intelligence engine.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Detects and signals: Bull / Bear / Sideways / Stagflation / Liquidity Crunch regimes.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Outputs a regime probability vector (not a point estimate) so downstream agents can express uncertainty correctly.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Maintains a 90-day regime transition matrix and flags when regime uncertainty is elevated — triggering conservative allocation overlays.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4.2.3 Equity Research Agent (EQRA) — "The Stock Picker"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Universe: NSE Nifty 50, Nifty 100, Nifty Smallcap 250.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Fundamental screen: ROCE &gt; 15%, operating margin trend, PEG &lt; 1.5, FCF positive for 3 of last 4 years.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Momentum filter: 12-1 month momentum score in top quintile of universe.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Quality factor overlay: Piotroski F-Score ≥ 7 as minimum quality gate.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Analyst consensus integration: aggregated consensus revision momentum as a secondary signal.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Outputs a ranked candidate list with conviction score, valuation range, and risk flags.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4.2.4 Passive Research Agent (PFRA) — "The Tracker Specialist"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Universe: NSE-listed ETFs, Fund of Funds (FoFs), passive index mutual funds.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Evaluation criteria: tracking error ≤ 50bps vs benchmark, TER, AUM liquidity, bid-ask spread, creation/redemption efficiency.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Geographic diversification mandate: evaluates international ETFs for global allocation sleeve (US, EM, developed markets).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ETF structure risk: flags synthetic ETFs and evaluates counterparty risk on structured products.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4.2.5 Portfolio Review Agent (PORA) — "The Auditor"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Evaluates every existing holding against current quality, momentum, and valuation criteria.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Generates Hold / Trim / Exit signals with explicit justification tied to specific metric breaches.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Style drift detection: identifies when a holding has migrated from its original classification (e.g., growth-to-value migration in a quality stock).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ESG flag integration: outputs ESG risk score change alerts for holdings with deteriorating governance scores.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4.2.6 Portfolio Construction Agent (GENPOA) — "The Architect"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Builds the target strategic allocation using constrained Mean-Variance Optimisation with Ledoit-Wolf covariance shrinkage.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Black-Litterman model used to blend market equilibrium returns with EQRA and PFRA views, weighted by confidence scores.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Hierarchical Risk Parity (HRP) used as a cross-check and fallback when covariance matrix is ill-conditioned.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TCM-adjusted optimisation: transaction cost estimates from Layer 1 TCM are incorporated directly into the optimisation objective, penalising unnecessary turnover.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Goal-allocation mapping: each portfolio sleeve is mapped explicitly to a goal tier (Survival / Safety / Growth) with separate rebalancing rules per tier.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Glide path logic: automatically de-risks allocations as horizon T_g approaches, per configurable de-risking curves by goal type.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4.2.7 Risk Analysis Agent (RAA) — "The Compliance Officer"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Enforces hard constraints: single stock ≤ 8% of equity sleeve; sector ≤ 25% of portfolio; Gold/Silver ≤ 10%; international equity ≤ 30%.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Veto authority: RAA has veto rights in the SA arbitration policy — no allocation that breaches a hard constraint can proceed, regardless of other agent signals.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Liquidity-adjusted position sizing: maximum position size capped at 5% of 30-day ADV to ensure the portfolio can be liquidated within 20 trading days.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Factor exposure limits: net exposure to any single factor (momentum, value, quality, low-vol) capped at ±30% deviation from benchmark.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4.2.8 Risk Engine Agent (REA) — "The Stress Tester"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Runs historical stress scenarios: 2008 GFC, 2013 taper tantrum, 2020 COVID crash, 2022 rate shock, and custom forward scenarios.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Computes: maximum drawdown under each scenario, time-to-recovery, CVaR at 95th and 99th percentiles.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Tail dependency analysis: models correlations in tail regimes (not just mean-variance correlations) using copula methods.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Scenario-weighted portfolio score: stress test results fed into SA objective function as a penalty term for tail-risk-heavy allocations.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Mandatory gate: no portfolio may be submitted for execution without a passing REA stress certification.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4.2.9 Rebalancing Agent (RBA) — "The Executor"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Threshold-based trigger: rebalances when any asset class drifts &gt; 5% from strategic allocation, or any individual holding drifts &gt; 3%.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Periodic trigger: minimum quarterly review regardless of drift.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TCM-aware rebalancing: will not initiate a rebalance if estimated transaction cost exceeds the expected benefit from reduced tracking error. Computed as: ΔTE_benefit / TCM_cost &gt; 1.5 threshold.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Tax-aware lot selection: coordinates with TOA to select optimal lot for each sell transaction (specific identification method preferred over FIFO).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Outputs a rebalancing trade list with estimated cost, expected tracking error improvement, and tax impact per trade.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4.2.10 Portfolio Diagnostics Agent (PDA) — "The Analyzer"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ETF overlap analysis: computes pairwise underlying holdings overlap across all passive funds in the portfolio; flags effective concentration.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Factor imbalance detection: identifies when the portfolio is inadvertently double-exposed to a factor through multiple vehicles.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Drift decomposition: separates portfolio drift into price-driven drift vs cash-flow-driven drift to distinguish organic drift from structural change.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4.2.11 Insights Agent (INSA) — "The Narrator"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Generates natural language rationale for all portfolio decisions, consumable by non-expert clients.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Produces: factor heatmaps, portfolio scorecards, regime interpretation summaries.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Counterfactual generation: for each major recommendation, generates a plain-English "what would have happened if we had not acted" counterfactual to aid client understanding.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4.2.12 Action Recommendation Agent (ARA) — "The Advisor"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Produces ranked investment action list: Buy / Trim / Exit / Rebalance / Hold with explicit justification.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action includes: expected P(Goal) impact, confidence interval, risk implications, and estimated TCM cost.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Alternative action generation: for every primary recommendation, ARA generates one lower-risk alternative and one higher-conviction alternative for SA consideration.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4.2.13 User Interaction Agent (UIA) — "The Interface"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Engages the user for goal updates, risk profile changes, and Tier 3/4 decision approvals.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Suitability assessment engine: validates any proposed allocation change against the user's current MiFID-equivalent suitability profile. Flags mismatches before presenting recommendations.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Communication style adaptation: adjusts technical depth of outputs based on user sophistication profile (Retail / HNI / Institutional).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4.2.14 Tax Optimisation Agent (TOA) — "The Tax Accountant" [NEW]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Gap Addressed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Tax drag is a known source of 80-150bps annual return overstatement when ignored in Indian portfolio management. TOA closes this gap.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Maintains a real-time tax lot ledger for every holding: purchase date, cost basis, unrealised gain/loss, holding period status.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LTCG optimisation: identifies equity holdings approaching the 12-month threshold for LTCG qualification (10% flat vs 15% STCG); flags for deferred selling where TCM cost is lower than tax saving.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LTCG exemption harvesting: identifies opportunities to realise up to ₹1 lakh of LTCG annually at zero tax, then immediately repurchase to reset cost basis.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Debt fund tax treatment: applies correct taxation under post-2023 rules (taxed as income) vs equity funds; factors this into allocation recommendations.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Coordinates lot selection with RBA: for every sell order, specifies exact lots to be sold to minimise tax impact.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Outputs an annual Tax Efficiency Score and a projected after-tax return for each portfolio scenario.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4.2.15 Attribution Agent (ATA) — "The Performance Auditor" [NEW]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Gap Addressed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Without attribution, the system cannot distinguish alpha from beta, and cannot learn which decisions are adding value. ATA is the feedback loop that enables genuine learning.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Performs Brinson-Hood-Beebower (BHB) performance decomposition on every completed period: Allocation Effect + Selection Effect + Interaction Effect = Total Active Return.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Factor attribution: decomposes return attribution into factor contributions (momentum, quality, value, low-vol, market) vs idiosyncratic.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Attribution data fed back to Intelligence Engine (Layer 1) to recalibrate EQRA and PFRA signal weights.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Outputs a GIPS-compliant performance report per goal sleeve with benchmark comparison.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Maintains a decision-quality ledger: tracks whether each SA decision improved or worsened P(Goal Achievement) ex-post, enabling model learning.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4.2.16 Model Risk Agent (MORA) — "The Validator" [NEW]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Gap Addressed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A system that confidently executes stale signals is more dangerous than one that acts conservatively. MORA prevents this by monitoring every predictive model in real-time.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Monitors all Layer 1 models daily: tracks out-of-sample accuracy, PSI on input features, KL divergence in output distributions.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any model breaches its drift threshold: (a) widens the confidence intervals in its AgentOutput; (b) alerts SA; (c) flags the model for expedited retraining.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Maintains a Model Risk Register: version history, performance metrics, drift alerts, and human review sign-off dates for every model.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Publishes a daily Model Health Dashboard to Layer 5 output.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Hard gate: if the Regime Classifier confidence drops below 60%, forces the SA into a conservative allocation overlay until confidence recovers.</w:t>
      </w:r>
    </w:p>
    <w:p>
      <w:pPr>
        <w:spacing w:after="0" w:before="0"/>
      </w:pPr>
      <w:r>
        <w:br/>
        <w:t xml:space="preserve"/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4.3 Layer 3 — Super Agent Orchestration [REVISED]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Gap Addressed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v1.0 described SA as an orchestrator but provided no formal arbitration policy, message schema, or conflict resolution mechanism. This section defines all three.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4.3.1 Workflow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Trigger &amp; Agent Sequence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Initial construction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input → GIA → MRA → EQRA + PFRA → GENPOA ↔ RAA → REA → TOA → ATA (baseline) → INSA → SA presents portfolio → UIA (approval)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Ongoing monitoring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Continuous: MRA + PDA + MORA → RAA (constraint check) → REA (risk validation) → RBA (rebalance plan) → TOA (tax impact) → ARA (ranked actions) → SA decision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Goal change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UIA → GIA (resolvation) → GENPOA (replan) → RAA + REA → SA Tier 3/4 escalation → UIA (approval)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Risk breach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RAA veto trigger → SA emergency protocol → immediate Tier 2 notification → GENPOA (corrective allocation) → REA certification → execution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Model degradation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MORA alert → SA widens uncertainty bounds → GENPOA uses conservative priors → UIA notification (Tier 2)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4.4 Layer 4 — Governance and Compliance [NEW]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Gap Addressed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v1.0 had one sentence on auditability. Fiduciary-grade systems require a full governance stack — immutable audit trail, regulatory compliance engine, explainability layer, and model risk register.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4.4.1 Immutable Audit Log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SA decision is recorded with: timestamp, full agent output set (with model versions), data snapshot reference, confidence intervals, autonomy tier applied, and the decision taken.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Log entries are cryptographically hashed and chained (Merkle tree structure) to prevent retroactive modification.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Retention: 10 years minimum, consistent with SEBI record-keeping requirements.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Access: read-only to regulators via authenticated API; write access only by the SA decision engine.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4.4.2 Regulatory Compliance Engine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SEBI portfolio limit enforcement: validates all allocations against current SEBI regulations for PMS, mutual fund, and AIF structures as applicable.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Insider trading lookout: cross-references trade list against a restricted securities list; any match blocks execution and triggers immediate human review.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Client suitability compliance: all recommendations validated against KYC, risk category, and investment objective on file before presentation to client.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Regulatory change monitoring: subscribed to SEBI circular feed; triggers compliance re-check when new circulars affect portfolio construction rules.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4.4.3 Explainability Framework (XAI)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Explainability Output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Retail client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Plain-English narrative (INSA): "We are reducing your technology allocation from 28% to 22% because the sector has become overvalued relative to earnings growth, and the risk to your retirement goal has increased."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HNI / advisor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Factor attribution table, regime signal, scenario impact, before/after risk metrics.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Regulator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decision audit trail with model outputs, data lineage, and rationale chain from each contributing agent.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Internal risk committee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 risk dashboard, MORA health report, champion/challenger results, stress certification from REA.</w:t>
            </w:r>
          </w:p>
        </w:tc>
      </w:tr>
    </w:tbl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4.4.4 Four-Tier Autonomy and Governance Framework [REVISED]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Design Upgrade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v1.0 had a binary autonomous/human split. v2.0 replaces this with a formal four-tier model with defined rollback protocols.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 Type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Governance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Tier 1 — Automated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Minor drift correction, routine threshold rebalancing (&lt; 2% shift), risk normalisation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Trimming a 1.5% drift in large-cap; topping up liquid fund to maintain liquidity buffer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Executed automatically. Post-hoc log entry. No notification unless client has opted into all-action alerts.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Tier 2 — Notify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Regime-triggered allocation shifts within pre-agreed bands; TCM-excepted rebalancing deferrals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Reducing equity from 65% to 58% on Bear regime signal; deferring rebalance due to high market impact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Automated execution. Client notification within 4 hours. 24-hour reversal window.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Tier 3 — Approve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Allocation changes &gt; 10%; entry into a new asset class; breach of a soft risk limit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Adding gold sleeve for first time; increasing international equity above 20%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Presented to client via UIA with full rationale. Execution only upon explicit approval. 7-day window.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Tier 4 — Committee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Breach of any hard risk limit; goal modification; system parameter changes; model champion promotion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Portfolio volatility breaches σ_max; client requests change to retirement date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Human investment committee review required. Full audit documentation. Rollback plan mandatory.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4.5 Layer 5 — Output and Reporting [REVISED]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4.5.1 Portfolio View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Strategic vs tactical allocation comparison with drift summary.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Factor exposure heatmap per sleeve (equity, passive, alternatives).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Geographic and market-cap breakdown.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Goal-mapping view: each holding linked to the goal sleeve it serves.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4.5.2 Risk Dashboard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Ex-ante portfolio volatility vs σ_max limit.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Expected maximum drawdown vs MDD_max limit.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CVaR at 95th and 99th percentiles.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Liquidity score: days-to-liquidate full portfolio.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Model health panel: MORA summary of all Layer 1 model statuses.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[NEW] Regime confidence indicator with transition probability.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4.5.3 Goal Probability Report [NEW]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each goal: current P(Achievement), required P threshold, gap, and the single most impactful action to close the gap.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Monte Carlo fan chart: 10th, 25th, 50th, 75th, 90th percentile wealth paths to the goal horizon.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Scenario stress table: P(Achievement) under each REA stress scenario.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4.5.4 Attribution and Performance Report [NEW]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GIPS-compliant period returns by goal sleeve, with benchmark comparison.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BHB attribution: allocation, selection, and interaction effects for the period.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Factor contribution decomposition.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Tax efficiency report: after-tax return vs pre-tax return; LTCG harvested; effective tax rate on portfolio activity.</w:t>
      </w:r>
    </w:p>
    <w:p>
      <w:pPr>
        <w:pStyle w:val="Heading3"/>
        <w:spacing w:after="100" w:before="20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3"/>
          <w:szCs w:val="23"/>
        </w:rPr>
        <w:t xml:space="preserve">4.5.5 Decision Log Summary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Chronological list of all SA decisions in the period with tier, rationale summary, and outcome flag.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Actions taken autonomously vs actions escalated.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Model changes: any champion/challenger promotions in the period.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5. Agent Communication Protocol [NEW]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Gap Addressed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v1.0 described information flows as arrows between agent names with no communication contract. This section defines the typed message schema and arbitration policy that make multi-agent coordination reliable.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5.1 AgentOutput Schema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agent in Layer 2 emits an AgentOutput object with the following mandatory fields: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Type &amp; 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agent_id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 — unique agent identifier (e.g., "EQRA", "RAA")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Typed payload — agent-specific structured output (e.g., ranked candidate list, constraint check result, stress certification)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Float [0.0–1.0] — agent's self-assessed confidence in its output, derived from model uncertainty metrics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confidence_interval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Tuple [lower, upper] — 90th percentile bounds on key quantitative outputs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data_lineage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of data source IDs and snapshot timestamps consumed to produce this output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Semantic version string of the Layer 1 model(s) used (e.g., "regime_classifier:v3.2.1")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ISO-8601 UTC timestamp of output generation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flags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 of machine-readable flags: e.g., ["high_uncertainty", "stale_data", "constraint_breach"]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rationale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String — plain-English justification for this output, ≤ 500 characters, consumed by INSA for client narrative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5.2 Formal Arbitration Policy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two or more agents produce conflicting signals, the SA resolves the conflict using the following ordered rules: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Hard constraint veto: if RAA flags a constraint breach, that signal overrides all other agent outputs unconditionally. No appeal.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Model risk gate: if MORA flags a model as degraded, the associated agent's signal is down-weighted by 50% in the SA objective function.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Confidence-weighted aggregation: for non-vetoed, non-degraded signals, SA computes a confidence-weighted consensus across contributing agents.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Regime conditioning: all signals are adjusted by the MRA regime probability vector. In a Bear regime, EQRA signals are discounted; REA stress outputs are up-weighted.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Tie-breaking: when confidence-weighted signals are within 5% of each other, SA applies the "do-nothing" bias — the incumbent allocation is maintained.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Escalation: when the confidence-weighted consensus falls below 0.65, SA does not act autonomously — it escalates to Tier 3 regardless of the proposed action size.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6. Risk Management Framework [REVISED]</w:t>
      </w:r>
    </w:p>
    <w:p>
      <w:pPr>
        <w:pBdr>
          <w:left w:val="single" w:color="0F6E56" w:sz="8" w:space="4"/>
        </w:pBdr>
        <w:shd w:fill="E1F5EE" w:val="clear"/>
        <w:spacing w:after="100" w:before="100" w:line="276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Gap Addressed 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v1.0 listed risk dimensions without specifying ex-ante vs ex-post, factor model methodology, or tail-risk treatment. v2.0 defines a three-layer risk architecture.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6.1 Layer A — Factor Risk Model (Ex-Ante)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Covariance matrix estimated using Ledoit-Wolf shrinkage to manage estimation error in high-dimensional portfolios.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Factor model: Barra-style with five factors — Market, Momentum, Quality, Value, Low-Volatility — each with risk premium, volatility, and correlation estimates.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Ex-ante tracking error computed against the benchmark (Nifty 500 blended for the equity sleeve).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Factor exposure report generated daily; breaches of ±30% deviation from benchmark flagged to RAA.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6.2 Layer B — Drawdown Control (Real-Time)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Constant Proportion Portfolio Insurance (CPPI): computes the risky asset multiplier based on current portfolio value, floor (minimum acceptable value at horizon), and cushion.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Volatility targeting overlay: scales equity allocation inversely to 21-day realised volatility; target portfolio volatility maintained at σ_target ± 2%.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Maximum drawdown governor: if realised drawdown crosses MDD_warning (80% of MDD_max), RBA is automatically triggered for a defensive rebalance; if MDD_max is breached, Tier 4 escalation is immediate.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6.3 Layer C — Model Risk Overlay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risk metrics carry uncertainty bounds derived from MORA model health scores.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the factor risk model confidence is reduced, covariance matrix is blended with a more conservative equal-correlation matrix (shrinkage parameter increased).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Regime uncertainty amplification: when MRA outputs a high-entropy regime vector (i.e., no clear regime dominant), all volatility estimates are scaled up by 1.3× as a conservative buffer.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Stress test penalty: CVaR from REA stress scenarios is added to the ex-ante risk metric as a tail-risk surcharge, ensuring the optimiser accounts for fat-tail scenarios beyond historical covariance.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6.4 Risk Limits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Metric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Warning Level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Hard Limit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Breach Action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Portfolio volatility (ex-ante)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σ_target + 2%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σ_max (user-defined)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Tier 2 notify; defensive rebalance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Maximum drawdown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80% of MDD_max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MDD_max (user-defined)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Tier 2 → Tier 4 if MDD_max breached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CVaR (95th pct)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90% of CVaR_limit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CVaR_limit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Tier 2 notify; REA full re-run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Single stock concentration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6%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8%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RAA veto; forced trim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Sector concentration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RAA veto; forced trim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International equity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30%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RAA veto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Portfolio liquidity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Days-to-liquidate &gt; 15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Days-to-liquidate &gt; 20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Tier 3 escalation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Factor exposure deviation</w:t>
            </w:r>
          </w:p>
        </w:tc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±25% vs benchmark</w:t>
            </w:r>
          </w:p>
        </w:tc>
        <w:tc>
          <w:tcPr>
            <w:tcW w:type="dxa" w:w="3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±30% vs benchmark</w:t>
            </w:r>
          </w:p>
        </w:tc>
        <w:tc>
          <w:tcPr>
            <w:tcW w:type="dxa" w:w="18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RAA flag; GENPOA rebalance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7. Transaction Cost and Tax Framework [NEW]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7.1 Transaction Cost Model (TCM)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rebalancing decisions are evaluated against a full-cost model that incorporates: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Brokerage and STT: explicit per-trade costs at actual rates for the applicable instrument type.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Market impact: Almgren-Chriss square-root market impact model, calibrated to 30-day ADV for each security. Impact cost estimated as a function of order size relative to ADV.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Bid-ask spread: for ETFs, use observed spread at time of signal; for equities, use 5-day average spread.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Opportunity cost of delay: if a rebalance is deferred due to high TCM cost, the system tracks the accruing tracking error and re-evaluates the rebalance/defer decision at each subsequent review.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Net benefit threshold: a rebalance is only executed if: expected reduction in tracking error × portfolio value &gt; 1.5 × total estimated TCM cost.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7.2 Tax Framework (India-Specific)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Tax Event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Treatment in QA-1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Equity LTCG (&gt; 12 months)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Taxed at 10% on gains above ₹1 lakh annually. TOA targets harvesting the ₹1L exemption each financial year.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Equity STCG (≤ 12 months)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Taxed at 15%. TOA defers sells that would trigger STCG within 3 months of the 12-month threshold if deferral cost &lt; tax saving.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Debt fund (post-April 2023)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Taxed as income at marginal rate. Impacts recommended allocation between debt MFs vs debt ETFs.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Dividend income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Taxed at marginal rate. TOA prefers growth option over dividend option for all mutual fund holdings; flags dividend-paying stocks for tax drag calculation.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Gold/Silver ETF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Treated as non-equity; LTCG at 20% with indexation if held &gt; 36 months. TOA tracks holding period separately.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International ETF (India-listed)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Post-2023: taxed as debt fund (income rate). TOA factors this into international allocation sizing.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8. Portfolio Construction Principles [REVISED]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8.1 Strategic Allocation Framework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Baseline: 60% growth assets (equity + international) / 30% stability assets (debt, gold) / 10% tactical buffer. Adjusted by GIA based on risk profile and goal horizons.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Within equity: 50% large-cap (Nifty 100 universe) / 30% mid-cap / 20% small-cap as baseline; regime-adjusted by MRA signals.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Passive vs active blend: 60% passive (ETF/index funds) / 40% active equity as default; tilts toward passive in high-efficiency regimes, toward active in high-dispersion regimes.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8.2 Diversification Standards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Factor diversification: portfolio must have meaningful exposure to at least three of five factors (market, momentum, quality, value, low-vol) at all times.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Avoid fund overlap: PDA runs ETF holding overlap analysis before every allocation; effective single-stock concentration from overlapping funds included in the concentration limit check.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Geographic diversification: minimum 10% international allocation for portfolios with horizon &gt; 10 years; maximum 30%.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Inflation protection: minimum 5% gold/silver/commodity exposure for portfolios with horizon &gt; 7 years.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Liquidity tiering: minimum 10% in highly liquid instruments (liquid funds, T-bills, short-duration ETFs) for emergency access without market impact.</w:t>
      </w:r>
    </w:p>
    <w:p>
      <w:pPr>
        <w:pStyle w:val="Heading2"/>
        <w:spacing w:after="120" w:before="2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8.3 Glide Path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Horizon to Goal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Equity Allocation Action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&gt; 10 years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strategic equity allocation as per risk profile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7-10 years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Begin 2% annual de-risking: reduce small-cap, increase large-cap quality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4-7 years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 de-risking: shift 5% equity to short-duration debt annually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1-3 years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Defensive posture: equity ≤ 40% of goal sleeve; rest in short-duration debt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&lt; 1 year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Capital preservation mode: equity ≤ 20%; rest in liquid/overnight/arbitrage funds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9. Time Horizon Management [REVISED]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Daily (automated)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Market data update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Price drift monitoring, liquidity scoring, regime signal update, MORA model health check, RAA constraint validation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Weekly (automated)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Threshold breach or scheduled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Tier 1 rebalancing if drift triggers met, TCM cost-benefit evaluation, PDA overlap analysis update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Monthly (semi-auto)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Factor risk model refresh, return forecast update, PORA quality review of all holdings, ATA attribution run, TOA tax lot review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Quarterly (human-in-loop)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Scheduled + event-driven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Strategic allocation review, REA full stress test, glide path adjustment check, model champion/challenger evaluation, client goal review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Annual / Event-driven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Goal change, life event, major regime shift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goal feasibility reassessment (GIA), glide path recalibration, risk profile re-survey, regulatory compliance re-check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10. System Guardrails [REVISED]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Maximum annual turnover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40% of portfolio value. Computed as the lesser of buys or sells divided by average portfolio value. Breaches trigger TCM review before any additional trades.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Do-nothing cost function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decision cycle, the system computes the cost of inaction (accrued tracking error, drift penalty, opportunity cost). Inaction is not free and must be explicitly justified.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Mandatory stress certification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portfolio allocation may be submitted for client approval without a passing REA stress certification. Stress certification expires after 5 trading days.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Model confidence gate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MORA flags any Tier 1 model (regime classifier, factor risk model) as degraded, all Tier 1 autonomous actions are suspended and escalated to Tier 2 until the model recovers.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Execution cooling period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a Tier 4 event (hard limit breach), a 48-hour cooling period applies before any new allocation changes. Only pre-approved defensive rebalancing permitted during this window.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Single-day trade limit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single trading day execution may exceed 10% of the portfolio value, except in declared emergency conditions requiring Tier 4 sign-off.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Liquidity buffer floor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liquid buffer (overnight / liquid funds) may never fall below 5% of total portfolio value, even during rebalancing. RBA enforces this constraint before generating any trade list.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Concentration hard stop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Any single position breaching 10% of total portfolio triggers an immediate halt: no further trades executed until RAA certifies the breach is resolved.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11. System Output Artefacts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Artefact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Description &amp; Consumer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Portfolio Allocation View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Current vs strategic allocation by asset class, sleeve, factor, and geography. Consumer: client, advisor.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Goal Probability Report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P(Achievement) for each goal with fan chart, scenario table, and top action to close the gap. Consumer: client.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Risk Dashboard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Ex-ante metrics, drawdown, CVaR, liquidity score, factor exposure, model health. Consumer: risk committee.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Action Plan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Ranked Buy/Sell/Hold/Rebalance list with TCM cost, tax impact, and expected P(Goal) improvement per action. Consumer: advisor, client.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Attribution Report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GIPS-compliant period returns with BHB decomposition and after-tax return analysis. Consumer: client, regulator.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Tax Efficiency Report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After-tax return, LTCG harvested, effective tax rate on activity, lot-level detail. Consumer: client, tax advisor.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Decision Log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Chronological audit trail of all SA decisions with full lineage. Consumer: regulator, internal audit.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Model Health Dashboard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MORA summary of all Layer 1 model statuses, drift alerts, and champion/challenger results. Consumer: internal risk and technology teams.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Insights Narrative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Plain-English market interpretation, portfolio health commentary, and regime update. Consumer: client.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12. Key System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v1.0 Capability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v2.0 Capability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Objective function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Stated but not operationalised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Formal GBWM utility with Monte Carlo P(Goal) engine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Data infrastructure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addressed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Layer 0 with PIT data, quality controls, and lineage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Learning mechanism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Claimed but undefined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Layer 1 with versioned models, drift detection, ATA feedback loop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Agent communication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Informal arrows between agent names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Typed AgentOutput schema with confidence, lineage, and model version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Conflict resolution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defined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Formal arbitration policy with RAA veto, confidence weighting, and escalation rules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Risk framework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Shallow list of metrics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Three-layer: factor model + CPPI drawdown control + model risk overlay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Tax management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addressed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TOA: LTCG optimisation, STCG deferral, exemption harvesting, lot selection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Performance attribution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addressed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GIPS-compliant BHB attribution with factor decomposition and ATA feedback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Model risk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addressed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MORA: daily drift monitoring, uncertainty propagation, model risk register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Governance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One-sentence audit mention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Layer 4: immutable audit log, SEBI compliance, XAI, model risk register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Autonomy framework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Binary autonomous/human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Four-tier: Automated / Notify / Approve / Committee with rollback protocols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Transaction costs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addressed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Almgren-Chriss TCM integrated into optimisation objective; rebalance/defer decision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9"/>
                <w:szCs w:val="19"/>
              </w:rPr>
              <w:t xml:space="preserve">Client reporting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Basic outputs listed</w:t>
            </w:r>
          </w:p>
        </w:tc>
        <w:tc>
          <w:tcPr>
            <w:tcW w:type="dxa" w:w="368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GIPS-compliant attribution, goal probability fan charts, tax efficiency report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16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13. Glossary of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ADV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Average Daily Volume — used for liquidity scoring and market impact estimation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BHB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Brinson-Hood-Beebower — performance attribution decomposition into allocation, selection, and interaction effects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CPPI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Constant Proportion Portfolio Insurance — dynamic asset allocation strategy that maintains a floor 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CVaR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Conditional Value at Risk — expected portfolio loss in the worst X% of scenarios; also called Expected Shortfall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GBWM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Goals-Based Wealth Management — framework that structures portfolio management around achieving specific life goals at defined probability thresholds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GIPS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Global Investment Performance Standards — CFA Institute standards for performance reporting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HRP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Hierarchical Risk Parity — portfolio construction method using hierarchical clustering to diversify across risk factors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KL Divergence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Kullback-Leibler Divergence — measure of how a probability distribution differs from a reference distribution; used for model drift detection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Ledoit-Wolf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Shrinkage estimator for covariance matrices that reduces estimation error in high-dimensional settings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LTCG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Long-Term Capital Gains — equity gains on holdings &gt; 12 months; taxed at 10% above ₹1L in India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MDD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Maximum Drawdown — peak-to-trough decline in portfolio value over a specified period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PIT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Point-in-Time — data that reflects information available at a specific historical date, preventing look-ahead bias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PSI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Population Stability Index — measure of shift in a variable's distribution over time; used for model input drift detection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STCG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Short-Term Capital Gains — equity gains on holdings ≤ 12 months; taxed at 15% in India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TCM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Transaction Cost Model — model estimating full execution cost including brokerage, STT, market impact, and spread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TOA</w:t>
            </w:r>
          </w:p>
        </w:tc>
        <w:tc>
          <w:tcPr>
            <w:tcW w:type="dxa" w:w="6560"/>
            <w:tcBorders>
              <w:top w:val="single" w:color="A0B4C8" w:sz="1"/>
              <w:left w:val="single" w:color="A0B4C8" w:sz="1"/>
              <w:bottom w:val="single" w:color="A0B4C8" w:sz="1"/>
              <w:right w:val="single" w:color="A0B4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Tax Optimisation Agent — QA-1 agent responsible for tax-efficient trade execution and LTCG/STCG management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Architecture Document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QA-1 Functional Specification v2.0  |  Institutional-Grade Multi-Agent Investment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6E5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2026-04-25T19:36:57.686Z</dcterms:created>
  <dcterms:modified xsi:type="dcterms:W3CDTF">2026-04-25T19:36:57.687Z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