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QA-1 v2.0 Modular Development Plan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 following plan decomposes the entire QA-1 system into independent, testable units of functionality aligned with the architectural layers and agents defined in the specification. Each task represents a well-bounded module that can be developed, integrated, and validated in isolation before full system assembly.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Task Breakdown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Task 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Module / Unit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Description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Dependencies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Spec Ref.</w:t>
            </w:r>
          </w:p>
        </w:tc>
      </w:tr>
      <w:tr>
        <w:tblPrEx>
          <w:shd w:val="clear" w:color="auto" w:fill="auto"/>
        </w:tblPrEx>
        <w:trPr>
          <w:trHeight w:val="45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Data Ingestion Pipelines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connectors for all feeds: price/volume, corporate actions, fundamentals, macro/alternative, factor library, stress scenarios. Capture data with timestamps.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None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4.0.1</w:t>
            </w:r>
          </w:p>
        </w:tc>
      </w:tr>
      <w:tr>
        <w:tblPrEx>
          <w:shd w:val="clear" w:color="auto" w:fill="auto"/>
        </w:tblPrEx>
        <w:trPr>
          <w:trHeight w:val="3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Data Quality &amp; Governance Engine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survivorship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bias correction, point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in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time tagging, outlier detection, corporate action adjustment, and data lineage tracking.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4.0.2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Storage &amp; Feature Infrastructure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Set up time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series store, fundamental store with PIT versioning, feature store, scenario library (immutable), and audit data lake (append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only columnar).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D1, D2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4.0.3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Agent Communication Protocol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Define and implement the AgentOutput schema, message serialisation, typed bus, and the formal arbitration policy (veto, down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weighting, confidence aggregation).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None (can be started early)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5.1, 5.2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Regime Classifier Model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Train/implement Hidden Markov Model + XGBoost ensemble; produce regime probability vector; integrate drift detection (PSI) trigger.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 (features)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4.1.1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Factor Risk Model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Ledoit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Wolf shrinkage covariance estimator, factor exposures, idiosyncratic risk; daily factor exposure report generation.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 (price/factor data)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4.1.1, 6.1</w:t>
            </w:r>
          </w:p>
        </w:tc>
      </w:tr>
      <w:tr>
        <w:tblPrEx>
          <w:shd w:val="clear" w:color="auto" w:fill="auto"/>
        </w:tblPrEx>
        <w:trPr>
          <w:trHeight w:val="3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Return Forecaster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Black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Litterman with consensus views, confidence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weighted equilibrium blending, regime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conditional recalibration.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M1, M2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4.1.1</w:t>
            </w:r>
          </w:p>
        </w:tc>
      </w:tr>
      <w:tr>
        <w:tblPrEx>
          <w:shd w:val="clear" w:color="auto" w:fill="auto"/>
        </w:tblPrEx>
        <w:trPr>
          <w:trHeight w:val="33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M4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Transaction Cost Model (TCM)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Almgren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Chriss market impact model, calibration to ADV, bid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ask spread, brokerage + STT; expose total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cost estimator.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 (market data)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4.1.1, 7.1</w:t>
            </w:r>
          </w:p>
        </w:tc>
      </w:tr>
      <w:tr>
        <w:tblPrEx>
          <w:shd w:val="clear" w:color="auto" w:fill="auto"/>
        </w:tblPrEx>
        <w:trPr>
          <w:trHeight w:val="2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M5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Liquidity Scorer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Compute ADV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based liquidity score and days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to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liquidate for each security; update daily.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4.1.1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Drawdown Control Model (CPPI)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dynamic CPPI with volatility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targeting overlay; output risky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asset multiplier, floor, cushion signals.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D3, M2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4.1.1, 6.2</w:t>
            </w:r>
          </w:p>
        </w:tc>
      </w:tr>
      <w:tr>
        <w:tblPrEx>
          <w:shd w:val="clear" w:color="auto" w:fill="auto"/>
        </w:tblPrEx>
        <w:trPr>
          <w:trHeight w:val="42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M7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Model Lifecycle Manager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versioned model registry, champion/challenger shadow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mode framework, drift detection (PSI, KL divergence), uncertainty propagation, human sign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off workflow.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M1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M6 (model implementations)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4.1.2</w:t>
            </w:r>
          </w:p>
        </w:tc>
      </w:tr>
      <w:tr>
        <w:tblPrEx>
          <w:shd w:val="clear" w:color="auto" w:fill="auto"/>
        </w:tblPrEx>
        <w:trPr>
          <w:trHeight w:val="42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Goal Interpretation Agent (GIA)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Convert user inputs to three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tier goal hierarchy, compute target corpus/horizon, multi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goal feasibility check, risk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tolerance band, structured constraints.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 (message schema)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</w:t>
            </w:r>
          </w:p>
        </w:tc>
      </w:tr>
      <w:tr>
        <w:tblPrEx>
          <w:shd w:val="clear" w:color="auto" w:fill="auto"/>
        </w:tblPrEx>
        <w:trPr>
          <w:trHeight w:val="42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Market Regime Agent (MRA)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Consume regime classifier output, maintain 90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day transition matrix, produce regime probability vector with uncertainty flags.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M1, 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4.2.2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Equity Research Agent (EQRA)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fundamental screen, momentum filter, quality (Piotroski) gate, analyst consensus integration; output ranked candidate list with conviction score.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 (fundamental, price data), 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4.2.3</w:t>
            </w:r>
          </w:p>
        </w:tc>
      </w:tr>
      <w:tr>
        <w:tblPrEx>
          <w:shd w:val="clear" w:color="auto" w:fill="auto"/>
        </w:tblPrEx>
        <w:trPr>
          <w:trHeight w:val="33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A4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Passive Research Agent (PFRA)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Evaluate ETFs/index funds on tracking error, TER, liquidity, structure risk; produce ranked passive vehicle list including international diversification.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D3, 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4.2.4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A5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Portfolio Review Agent (PORA)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Evaluate current holdings against quality/momentum/valuation; generate Hold/Trim/Exit signals, style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drift detection, ESG flag integration.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A3, A4, 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4.2.5</w:t>
            </w:r>
          </w:p>
        </w:tc>
      </w:tr>
      <w:tr>
        <w:tblPrEx>
          <w:shd w:val="clear" w:color="auto" w:fill="auto"/>
        </w:tblPrEx>
        <w:trPr>
          <w:trHeight w:val="42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Portfolio Construction Agent (GENPOA)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MVO with Ledoit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Wolf shrinkage, Black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Litterman views blending, HRP fallback, TCM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penalised optimisation, goal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sleeve mapping, glide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path logic.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M2, M3, M4, A1, 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4.2.6</w:t>
            </w:r>
          </w:p>
        </w:tc>
      </w:tr>
      <w:tr>
        <w:tblPrEx>
          <w:shd w:val="clear" w:color="auto" w:fill="auto"/>
        </w:tblPrEx>
        <w:trPr>
          <w:trHeight w:val="33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A7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Risk Analysis Agent (RAA)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Enforce hard constraints (concentration, sector, factor exposure, liquidity), veto authority, position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size caps; publish constraint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check reports.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M2, M5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4.2.7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A8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Risk Engine Agent (REA)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Run historical and custom stress scenarios, compute MDD, CVaR, tail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dependency via copulas; produce scenario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weighted penalty and stress certification.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D3 (scenarios), M2, 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4.2.8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A9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Rebalancing Agent (RBA)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threshold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based and periodic triggers, TCM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aware deferral logic (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Δ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TE benefit vs cost), lot selection coordination with TOA; generate trade list.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M4, A7, C1, (TOA later)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4.2.9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A10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Portfolio Diagnostics Agent (PDA)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Compute ETF overlap, factor imbalance detection, drift decomposition (price vs cash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flow); output diagnostic reports.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D3 (holdings data)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4.2.10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Insights Agent (INSA)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Generate natural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language rationales, factor heatmaps, scorecards, and counterfactual narratives from agent outputs.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(other agents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 xml:space="preserve">’ 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output)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4.2.11</w:t>
            </w:r>
          </w:p>
        </w:tc>
      </w:tr>
      <w:tr>
        <w:tblPrEx>
          <w:shd w:val="clear" w:color="auto" w:fill="auto"/>
        </w:tblPrEx>
        <w:trPr>
          <w:trHeight w:val="33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Action Recommendation Agent (ARA)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Produce ranked Buy/Trim/Exit/Rebalance list with P(Goal) impact, confidence, risk implications, and alternative actions.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A6, A7, A8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4.2.12</w:t>
            </w:r>
          </w:p>
        </w:tc>
      </w:tr>
      <w:tr>
        <w:tblPrEx>
          <w:shd w:val="clear" w:color="auto" w:fill="auto"/>
        </w:tblPrEx>
        <w:trPr>
          <w:trHeight w:val="33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User Interaction Agent (UIA)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Manage user goal updates, risk profiling, suitability checks, communication style adaptation, and Tier 3/4 approval workflows.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A1, 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4.2.13</w:t>
            </w:r>
          </w:p>
        </w:tc>
      </w:tr>
      <w:tr>
        <w:tblPrEx>
          <w:shd w:val="clear" w:color="auto" w:fill="auto"/>
        </w:tblPrEx>
        <w:trPr>
          <w:trHeight w:val="3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A14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Tax Optimisation Agent (TOA)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Maintain tax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lot ledger, LTCG/STCG deferral rules, exemption harvesting, debt fund tax treatment, lot selection for RBA; produce Tax Efficiency Score.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D3 (transaction data), Indian tax rules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4.2.14, 7.2</w:t>
            </w:r>
          </w:p>
        </w:tc>
      </w:tr>
      <w:tr>
        <w:tblPrEx>
          <w:shd w:val="clear" w:color="auto" w:fill="auto"/>
        </w:tblPrEx>
        <w:trPr>
          <w:trHeight w:val="45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A15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Attribution Agent (ATA)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Perform Brinson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Hood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Beebower and factor attribution, feed results back to Intelligence Engine, maintain decision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quality ledger; GIPS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compliant period returns.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D3 (portfolio data), M2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4.2.15</w:t>
            </w:r>
          </w:p>
        </w:tc>
      </w:tr>
      <w:tr>
        <w:tblPrEx>
          <w:shd w:val="clear" w:color="auto" w:fill="auto"/>
        </w:tblPrEx>
        <w:trPr>
          <w:trHeight w:val="3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A16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Model Risk Agent (MORA)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Daily model drift monitoring, confidence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interval widening, model risk register, hard gate when Regime Classifier confidence &lt; 60%.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M7, 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4.2.16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Super Agent Orchestrator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all workflow phases, arbitration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policy execution, tiered autonomy decisions, escalation logic, and the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“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do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nothing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 xml:space="preserve">” 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cost evaluation.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all research/risk/construction agents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4.3, 5.2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G1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Immutable Audit Log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cryptographically chained (Merkle tree) decision log, with retention, read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only API, and tamper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proof guarantees.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4.4.1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G2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Regulatory Compliance Engine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SEBI limit checks, insider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trading lookout, client suitability validation, and regulatory change monitor.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SA, D3 (regulatory data)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4.4.2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G3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Explainability Framework (XAI)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Create plain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English, advisor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level, and regulator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level explanation generators adapted from INSA outputs and audit trail.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SA, INSA, G1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4.4.3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G4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Autonomy &amp; Governance Governor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Enforce four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tier autonomy rules, rollback protocols, notification windows, and committee escalation triggers.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SA, G2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4.4.4</w:t>
            </w:r>
          </w:p>
        </w:tc>
      </w:tr>
      <w:tr>
        <w:tblPrEx>
          <w:shd w:val="clear" w:color="auto" w:fill="auto"/>
        </w:tblPrEx>
        <w:trPr>
          <w:trHeight w:val="33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Risk Management Integration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Assemble the three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layer risk overlay: Factor Risk (M2) + Drawdown Control (M6) + Model Risk Overlay (A16); enforce risk limits and breach actions.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M2, M6, A16, SA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Section 6</w:t>
            </w:r>
          </w:p>
        </w:tc>
      </w:tr>
      <w:tr>
        <w:tblPrEx>
          <w:shd w:val="clear" w:color="auto" w:fill="auto"/>
        </w:tblPrEx>
        <w:trPr>
          <w:trHeight w:val="33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Transaction Cost &amp; Tax Framework Integration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Wire TCM (M4) and TOA (A14) into all rebalancing/construction decisions; enforce net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benefit thresholds and tax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aware execution.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M4, A14, A9, A6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Section 7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Portfolio Construction Principles Enforcement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strategic allocation baseline, factor/diversification rules, glide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path logic, and hard concentration stops as reusable policy modules.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A6, A7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Section 8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R4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Time Horizon Scheduler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the daily/weekly/monthly/quarterly trigger loop and coordinate all periodic agent runs and model refreshes.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All agents, SA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Section 9</w:t>
            </w:r>
          </w:p>
        </w:tc>
      </w:tr>
      <w:tr>
        <w:tblPrEx>
          <w:shd w:val="clear" w:color="auto" w:fill="auto"/>
        </w:tblPrEx>
        <w:trPr>
          <w:trHeight w:val="42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R5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System Guardrails Controller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Enforce turnover cap, do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nothing cost function, mandatory stress certification, model confidence gate, execution cooling periods, liquidity floor, etc.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SA, R1, R2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Section 10</w:t>
            </w:r>
          </w:p>
        </w:tc>
      </w:tr>
      <w:tr>
        <w:tblPrEx>
          <w:shd w:val="clear" w:color="auto" w:fill="auto"/>
        </w:tblPrEx>
        <w:trPr>
          <w:trHeight w:val="45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O1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Output &amp; Reporting Services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all client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‑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facing and internal artefacts: Portfolio View, Risk Dashboard, Goal Probability Report, Attribution/Performance Report, Decision Log, Insights.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SA, A11, A15, A14, A16, G1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Section 4.5, 11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Suggested Development Phases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Foundation </w:t>
      </w:r>
      <w:r>
        <w:rPr>
          <w:sz w:val="26"/>
          <w:szCs w:val="26"/>
          <w:rtl w:val="0"/>
        </w:rPr>
        <w:t xml:space="preserve">– </w:t>
      </w:r>
      <w:r>
        <w:rPr>
          <w:sz w:val="26"/>
          <w:szCs w:val="26"/>
          <w:rtl w:val="0"/>
          <w:lang w:val="en-US"/>
        </w:rPr>
        <w:t>Tasks D1</w:t>
      </w:r>
      <w:r>
        <w:rPr>
          <w:sz w:val="26"/>
          <w:szCs w:val="26"/>
          <w:rtl w:val="0"/>
        </w:rPr>
        <w:t>–</w:t>
      </w:r>
      <w:r>
        <w:rPr>
          <w:sz w:val="26"/>
          <w:szCs w:val="26"/>
          <w:rtl w:val="0"/>
          <w:lang w:val="en-US"/>
        </w:rPr>
        <w:t>D3, C1, M7 (Model Lifecycle skeleton)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fr-FR"/>
        </w:rPr>
      </w:pPr>
      <w:r>
        <w:rPr>
          <w:sz w:val="26"/>
          <w:szCs w:val="26"/>
          <w:rtl w:val="0"/>
          <w:lang w:val="fr-FR"/>
        </w:rPr>
        <w:t xml:space="preserve">Intelligence Core </w:t>
      </w:r>
      <w:r>
        <w:rPr>
          <w:sz w:val="26"/>
          <w:szCs w:val="26"/>
          <w:rtl w:val="0"/>
        </w:rPr>
        <w:t xml:space="preserve">– </w:t>
      </w:r>
      <w:r>
        <w:rPr>
          <w:sz w:val="26"/>
          <w:szCs w:val="26"/>
          <w:rtl w:val="0"/>
          <w:lang w:val="en-US"/>
        </w:rPr>
        <w:t>Tasks M1</w:t>
      </w:r>
      <w:r>
        <w:rPr>
          <w:sz w:val="26"/>
          <w:szCs w:val="26"/>
          <w:rtl w:val="0"/>
        </w:rPr>
        <w:t>–</w:t>
      </w:r>
      <w:r>
        <w:rPr>
          <w:sz w:val="26"/>
          <w:szCs w:val="26"/>
          <w:rtl w:val="0"/>
        </w:rPr>
        <w:t>M6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Core Agents </w:t>
      </w:r>
      <w:r>
        <w:rPr>
          <w:sz w:val="26"/>
          <w:szCs w:val="26"/>
          <w:rtl w:val="0"/>
        </w:rPr>
        <w:t xml:space="preserve">– </w:t>
      </w:r>
      <w:r>
        <w:rPr>
          <w:sz w:val="26"/>
          <w:szCs w:val="26"/>
          <w:rtl w:val="0"/>
          <w:lang w:val="pt-PT"/>
        </w:rPr>
        <w:t xml:space="preserve">A1 (GIA), A2 (MRA), A3 (EQRA), A4 (PFRA), A6 (GENPOA), A7 (RAA), A8 (REA), A13 (UIA) </w:t>
      </w:r>
      <w:r>
        <w:rPr>
          <w:sz w:val="26"/>
          <w:szCs w:val="26"/>
          <w:rtl w:val="0"/>
        </w:rPr>
        <w:t xml:space="preserve">– </w:t>
      </w:r>
      <w:r>
        <w:rPr>
          <w:sz w:val="26"/>
          <w:szCs w:val="26"/>
          <w:rtl w:val="0"/>
          <w:lang w:val="en-US"/>
        </w:rPr>
        <w:t>establish the basic investment committee loop.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Execution &amp; Diagnostics </w:t>
      </w:r>
      <w:r>
        <w:rPr>
          <w:sz w:val="26"/>
          <w:szCs w:val="26"/>
          <w:rtl w:val="0"/>
        </w:rPr>
        <w:t xml:space="preserve">– </w:t>
      </w:r>
      <w:r>
        <w:rPr>
          <w:sz w:val="26"/>
          <w:szCs w:val="26"/>
          <w:rtl w:val="0"/>
        </w:rPr>
        <w:t xml:space="preserve">A5 (PORA), A9 (RBA), A10 (PDA), A12 (ARA) </w:t>
      </w:r>
      <w:r>
        <w:rPr>
          <w:sz w:val="26"/>
          <w:szCs w:val="26"/>
          <w:rtl w:val="0"/>
        </w:rPr>
        <w:t xml:space="preserve">– </w:t>
      </w:r>
      <w:r>
        <w:rPr>
          <w:sz w:val="26"/>
          <w:szCs w:val="26"/>
          <w:rtl w:val="0"/>
          <w:lang w:val="en-US"/>
        </w:rPr>
        <w:t>complete agent mesh.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Institutional Add</w:t>
      </w:r>
      <w:r>
        <w:rPr>
          <w:sz w:val="26"/>
          <w:szCs w:val="26"/>
          <w:rtl w:val="0"/>
        </w:rPr>
        <w:t>‑</w:t>
      </w:r>
      <w:r>
        <w:rPr>
          <w:sz w:val="26"/>
          <w:szCs w:val="26"/>
          <w:rtl w:val="0"/>
          <w:lang w:val="fr-FR"/>
        </w:rPr>
        <w:t xml:space="preserve">ons </w:t>
      </w:r>
      <w:r>
        <w:rPr>
          <w:sz w:val="26"/>
          <w:szCs w:val="26"/>
          <w:rtl w:val="0"/>
        </w:rPr>
        <w:t xml:space="preserve">– </w:t>
      </w:r>
      <w:r>
        <w:rPr>
          <w:sz w:val="26"/>
          <w:szCs w:val="26"/>
          <w:rtl w:val="0"/>
          <w:lang w:val="pt-PT"/>
        </w:rPr>
        <w:t>A14 (TOA), A15 (ATA), A16 (MORA), G1</w:t>
      </w:r>
      <w:r>
        <w:rPr>
          <w:sz w:val="26"/>
          <w:szCs w:val="26"/>
          <w:rtl w:val="0"/>
        </w:rPr>
        <w:t>–</w:t>
      </w:r>
      <w:r>
        <w:rPr>
          <w:sz w:val="26"/>
          <w:szCs w:val="26"/>
          <w:rtl w:val="0"/>
          <w:lang w:val="pt-PT"/>
        </w:rPr>
        <w:t>G4 (Governance), R1</w:t>
      </w:r>
      <w:r>
        <w:rPr>
          <w:sz w:val="26"/>
          <w:szCs w:val="26"/>
          <w:rtl w:val="0"/>
        </w:rPr>
        <w:t>–</w:t>
      </w:r>
      <w:r>
        <w:rPr>
          <w:sz w:val="26"/>
          <w:szCs w:val="26"/>
          <w:rtl w:val="0"/>
          <w:lang w:val="it-IT"/>
        </w:rPr>
        <w:t>R5 (Cross</w:t>
      </w:r>
      <w:r>
        <w:rPr>
          <w:sz w:val="26"/>
          <w:szCs w:val="26"/>
          <w:rtl w:val="0"/>
        </w:rPr>
        <w:t>‑</w:t>
      </w:r>
      <w:r>
        <w:rPr>
          <w:sz w:val="26"/>
          <w:szCs w:val="26"/>
          <w:rtl w:val="0"/>
          <w:lang w:val="en-US"/>
        </w:rPr>
        <w:t>cutting frameworks).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Orchestration &amp; Reporting </w:t>
      </w:r>
      <w:r>
        <w:rPr>
          <w:sz w:val="26"/>
          <w:szCs w:val="26"/>
          <w:rtl w:val="0"/>
        </w:rPr>
        <w:t xml:space="preserve">– </w:t>
      </w:r>
      <w:r>
        <w:rPr>
          <w:sz w:val="26"/>
          <w:szCs w:val="26"/>
          <w:rtl w:val="0"/>
          <w:lang w:val="en-US"/>
        </w:rPr>
        <w:t>SA (Super Agent full logic), O1 (all output artefacts).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Each task is designed to be developed in parallel once its dependencies are stable, with clear interface contracts defined via the Agent Communication Protocol (C1).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 following table merges your detailed development plan into a structured roadmap, categorized by system layers and development stages. This plan incorporates the foundational requirements for data integrity, multi-agent coordination, and institutional-grade risk management.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QA-1 Integrated Development &amp; Test Plan</w:t>
      </w:r>
    </w:p>
    <w:tbl>
      <w:tblPr>
        <w:tblW w:w="12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0"/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1279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Stage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Task 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Task Description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Technical &amp; Functional Implementation Details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Spec Reference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Dependencies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1. Data &amp; Intelligence (Foundations)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Data Quality Pipeline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survivorship-bias correction , point-in-time (PIT) tagging , outlier detection , corporate action adjustments , and data lineage tracking.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4.0.2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3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Storage Architecture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Setup Arctic/InfluxDB for time-series, PostgreSQL for PIT fundamental data, Redis/Feast for features, and immutable S3 stores for scenarios.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4.0.3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D1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M1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Intelligence Modules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Train HMM + XGBoost Regime Classifier ; build Ledoit-Wolf shrinkage risk models ; implement Black-Litterman forecaster and Almgren-Chriss TCM.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D1, D2</w:t>
            </w:r>
          </w:p>
        </w:tc>
      </w:tr>
      <w:tr>
        <w:tblPrEx>
          <w:shd w:val="clear" w:color="auto" w:fill="auto"/>
        </w:tblPrEx>
        <w:trPr>
          <w:trHeight w:val="33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M7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Model Registry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MLflow registry with champion/challenger frameworks, PSI/KL-divergence drift detection, and uncertainty propagation.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4.1.2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M1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M6</w:t>
            </w:r>
          </w:p>
        </w:tc>
      </w:tr>
      <w:tr>
        <w:tblPrEx>
          <w:shd w:val="clear" w:color="auto" w:fill="auto"/>
        </w:tblPrEx>
        <w:trPr>
          <w:trHeight w:val="39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2. Communication &amp; Strategy (Agent Mesh)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C1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Agent Bus &amp; Protocol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Define typed AgentOutput schema including confidence, lineage, and model versions ; implement formal arbitration policy (Veto &gt; Model Risk &gt; Consensus).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5.1, 5.2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None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GIA (The Planner)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Convert inputs to 3-tier hierarchy (Survival/Safety/Growth); compute target corpus and feasibility checks.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</w:t>
            </w:r>
          </w:p>
        </w:tc>
      </w:tr>
      <w:tr>
        <w:tblPrEx>
          <w:shd w:val="clear" w:color="auto" w:fill="auto"/>
        </w:tblPrEx>
        <w:trPr>
          <w:trHeight w:val="27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MRA (Macro Interpreter)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Maintain 90-day regime transition matrix and produce probability vectors with uncertainty flags.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M1, C1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A3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A4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Research Agents (EQRA/PFRA)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fundamental/momentum screens (NSE universe) and passive vehicle evaluation (tracking error, liquidity, structure risk).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4.2.3, 4.2.4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D1, C1</w:t>
            </w:r>
          </w:p>
        </w:tc>
      </w:tr>
      <w:tr>
        <w:tblPrEx>
          <w:shd w:val="clear" w:color="auto" w:fill="auto"/>
        </w:tblPrEx>
        <w:trPr>
          <w:trHeight w:val="18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A5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PORA (The Auditor)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Evaluate holdings for Hold/Trim/Exit; detect style drift and ESG flag changes.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4.2.5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A3, A4, C1</w:t>
            </w:r>
          </w:p>
        </w:tc>
      </w:tr>
      <w:tr>
        <w:tblPrEx>
          <w:shd w:val="clear" w:color="auto" w:fill="auto"/>
        </w:tblPrEx>
        <w:trPr>
          <w:trHeight w:val="27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GENPOA (The Architect)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MVO with Ledoit-Wolf shrinkage, TCM-penalized optimization, goal-sleeve mapping, and glide-path logic.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M2, M3, M4, C1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3. Risk, Tax &amp; Performance (Governance)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A7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A8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Risk Control Agents (RAA/REA)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Enforce hard concentration/sector limits ; run historical stress scenarios (GFC, 2020) and tail-dependency via copulas.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4.2.7, 4.2.8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M2, M5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A9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A10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Rebalance &amp; Diagnostics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Implement TCM-aware rebalancing (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Δ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TE benefit vs. cost) ; perform ETF overlap and drift decomposition.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4.2.9, 4.2.10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M4, C1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A14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TOA (Tax Accountant)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Maintain tax-lot ledger; implement India-specific LTCG harvesting, STCG deferral, and post-2023 debt fund treatment.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4.2.14, 7.2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D1</w:t>
            </w:r>
          </w:p>
        </w:tc>
      </w:tr>
      <w:tr>
        <w:tblPrEx>
          <w:shd w:val="clear" w:color="auto" w:fill="auto"/>
        </w:tblPrEx>
        <w:trPr>
          <w:trHeight w:val="27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A15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A16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MORA &amp; ATA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Perform BHB performance attribution ; monitor model drift daily and apply hard gates if regime confidence &lt; 60%.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4.2.15, 4.2.16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M7, C1</w:t>
            </w:r>
          </w:p>
        </w:tc>
      </w:tr>
      <w:tr>
        <w:tblPrEx>
          <w:shd w:val="clear" w:color="auto" w:fill="auto"/>
        </w:tblPrEx>
        <w:trPr>
          <w:trHeight w:val="36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4. System Orchestration (Super Agent)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SA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Super Agent Core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Execute workflow phases; manage tiered autonomy (Automated/Notify/Approve/Committee) and "do-nothing" cost evaluation.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4.3, 5.2, 10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All Agents</w:t>
            </w:r>
          </w:p>
        </w:tc>
      </w:tr>
      <w:tr>
        <w:tblPrEx>
          <w:shd w:val="clear" w:color="auto" w:fill="auto"/>
        </w:tblPrEx>
        <w:trPr>
          <w:trHeight w:val="30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G1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G2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Compliance &amp; Logs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Build Merkle-tree decision logs ; implement SEBI limit checks, insider trading lookout, and suitability validation.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4.4.1, 4.4.2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</w:t>
            </w:r>
          </w:p>
        </w:tc>
      </w:tr>
      <w:tr>
        <w:tblPrEx>
          <w:shd w:val="clear" w:color="auto" w:fill="auto"/>
        </w:tblPrEx>
        <w:trPr>
          <w:trHeight w:val="27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R1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R2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Risk/Tax Overlays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Assemble three-layer risk overlay (Factor + CPPI + Model Risk) ; wire TCM/TOA into all construction decisions.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Sections 6, 7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M2, M6, A14</w:t>
            </w:r>
          </w:p>
        </w:tc>
      </w:tr>
      <w:tr>
        <w:tblPrEx>
          <w:shd w:val="clear" w:color="auto" w:fill="auto"/>
        </w:tblPrEx>
        <w:trPr>
          <w:trHeight w:val="27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5. Narrative &amp; Outputs (Layer 5)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A11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A13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Interface &amp; Insights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Generate natural-language rationales and counterfactuals ; rank Buy/Sell actions with goal-impact scores.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4.2.11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4.2.13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C1, SA</w:t>
            </w:r>
          </w:p>
        </w:tc>
      </w:tr>
      <w:tr>
        <w:tblPrEx>
          <w:shd w:val="clear" w:color="auto" w:fill="auto"/>
        </w:tblPrEx>
        <w:trPr>
          <w:trHeight w:val="2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G3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XAI Framework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Create tiered explainability reports (Plain-English for Retail, Factor for HNI, Full Audit for Regulators).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4.4.3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INSA, G1</w:t>
            </w:r>
          </w:p>
        </w:tc>
      </w:tr>
      <w:tr>
        <w:tblPrEx>
          <w:shd w:val="clear" w:color="auto" w:fill="auto"/>
        </w:tblPrEx>
        <w:trPr>
          <w:trHeight w:val="27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R3</w:t>
            </w: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–</w:t>
            </w: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R6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Reporting Artifacts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Assemble GIPS-compliant attribution, Goal-probability fan charts, and Model Health Dashboards.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4.5, 11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SA, A15, A16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Key Implementation Priorities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Data Lineage (D1):</w:t>
      </w:r>
      <w:r>
        <w:rPr>
          <w:sz w:val="26"/>
          <w:szCs w:val="26"/>
          <w:rtl w:val="0"/>
          <w:lang w:val="en-US"/>
        </w:rPr>
        <w:t xml:space="preserve"> No agent is permitted to execute without a valid data snapshot ID and a quality score from Layer 0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The Veto Power (A7):</w:t>
      </w:r>
      <w:r>
        <w:rPr>
          <w:sz w:val="26"/>
          <w:szCs w:val="26"/>
          <w:rtl w:val="0"/>
          <w:lang w:val="en-US"/>
        </w:rPr>
        <w:t xml:space="preserve"> The Risk Analysis Agent has absolute veto rights in the SA arbitration policy; no allocation can proceed if it breaches a hard limit (e.g., 8% single stock concentration).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it-IT"/>
        </w:rPr>
      </w:pPr>
      <w:r>
        <w:rPr>
          <w:b w:val="1"/>
          <w:bCs w:val="1"/>
          <w:sz w:val="26"/>
          <w:szCs w:val="26"/>
          <w:rtl w:val="0"/>
          <w:lang w:val="it-IT"/>
        </w:rPr>
        <w:t>Model Reliability (A16):</w:t>
      </w:r>
      <w:r>
        <w:rPr>
          <w:sz w:val="26"/>
          <w:szCs w:val="26"/>
          <w:rtl w:val="0"/>
          <w:lang w:val="en-US"/>
        </w:rPr>
        <w:t xml:space="preserve"> If MORA identifies a degraded model, it must automatically widen the confidence intervals in the AgentOutput and notify the Super Agent to escalate to Tier 2 governance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================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Ok kick off our deep dive into the </w:t>
      </w:r>
      <w:r>
        <w:rPr>
          <w:b w:val="1"/>
          <w:bCs w:val="1"/>
          <w:sz w:val="26"/>
          <w:szCs w:val="26"/>
          <w:rtl w:val="0"/>
          <w:lang w:val="en-US"/>
        </w:rPr>
        <w:t>QA-1 Development and Test Plan</w:t>
      </w:r>
      <w:r>
        <w:rPr>
          <w:sz w:val="26"/>
          <w:szCs w:val="26"/>
          <w:rtl w:val="0"/>
          <w:lang w:val="en-US"/>
        </w:rPr>
        <w:t xml:space="preserve">, we begin with </w:t>
      </w:r>
      <w:r>
        <w:rPr>
          <w:b w:val="1"/>
          <w:bCs w:val="1"/>
          <w:sz w:val="26"/>
          <w:szCs w:val="26"/>
          <w:rtl w:val="0"/>
          <w:lang w:val="en-US"/>
        </w:rPr>
        <w:t>Stage 1: Data &amp; Intelligence (Foundations)</w:t>
      </w:r>
      <w:r>
        <w:rPr>
          <w:sz w:val="26"/>
          <w:szCs w:val="26"/>
          <w:rtl w:val="0"/>
          <w:lang w:val="en-US"/>
        </w:rPr>
        <w:t>. This stage is the bedrock of the entire system; without a high-fidelity, "point-in-time" (PIT) data substrate, the downstream ML models and agents would be prone to look-ahead bias and unreliable signals.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de-DE"/>
        </w:rPr>
        <w:t xml:space="preserve">Phase 1: Layer 0 </w:t>
      </w:r>
      <w:r>
        <w:rPr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b w:val="1"/>
          <w:bCs w:val="1"/>
          <w:sz w:val="40"/>
          <w:szCs w:val="40"/>
          <w:rtl w:val="0"/>
          <w:lang w:val="en-US"/>
        </w:rPr>
        <w:t>Data Orchestration (Tasks D1 &amp; D2)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This phase transforms raw market feeds into an institutional-grade, audit-ready data environment.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it-IT"/>
        </w:rPr>
        <w:t>1.1 Task D1: Data Quality &amp; Governance Pipeline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 goal is to ensure that every piece of data used by the agents is accurate, historically consistent, and traceable.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Survivorship-Bias Correction:</w:t>
      </w:r>
      <w:r>
        <w:rPr>
          <w:sz w:val="26"/>
          <w:szCs w:val="26"/>
          <w:rtl w:val="0"/>
          <w:lang w:val="en-US"/>
        </w:rPr>
        <w:t xml:space="preserve"> The historical universe must include all securities, including those currently delisted, to ensure backtests and signals aren't artificially inflated by only looking at "survivors".</w:t>
      </w:r>
      <w:r>
        <w:rPr>
          <w:sz w:val="26"/>
          <w:szCs w:val="26"/>
        </w:rPr>
        <w:br w:type="textWrapping"/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fr-FR"/>
        </w:rPr>
      </w:pPr>
      <w:r>
        <w:rPr>
          <w:b w:val="1"/>
          <w:bCs w:val="1"/>
          <w:sz w:val="26"/>
          <w:szCs w:val="26"/>
          <w:rtl w:val="0"/>
          <w:lang w:val="fr-FR"/>
        </w:rPr>
        <w:t>Point-in-Time (PIT) Enforcement:</w:t>
      </w:r>
      <w:r>
        <w:rPr>
          <w:sz w:val="26"/>
          <w:szCs w:val="26"/>
          <w:rtl w:val="0"/>
          <w:lang w:val="en-US"/>
        </w:rPr>
        <w:t xml:space="preserve"> Every data record must be tagged with an "as-of" date (when the data was actually available to the public) to prevent the system from "seeing the future" during backtesting.</w:t>
      </w:r>
      <w:r>
        <w:rPr>
          <w:sz w:val="26"/>
          <w:szCs w:val="26"/>
        </w:rPr>
        <w:br w:type="textWrapping"/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Corporate Action Adjustment:</w:t>
      </w:r>
      <w:r>
        <w:rPr>
          <w:sz w:val="26"/>
          <w:szCs w:val="26"/>
          <w:rtl w:val="0"/>
          <w:lang w:val="en-US"/>
        </w:rPr>
        <w:t xml:space="preserve"> Implement automated adjustment logic for dividends, splits, and mergers, with a 48-hour lag for confirmation to ensure data stability.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Automated Outlier Detection:</w:t>
      </w:r>
      <w:r>
        <w:rPr>
          <w:sz w:val="26"/>
          <w:szCs w:val="26"/>
          <w:rtl w:val="0"/>
          <w:lang w:val="en-US"/>
        </w:rPr>
        <w:t xml:space="preserve"> Build "quarantine" logic where price or fundamental anomalies are flagged and blocked from entering the feature store until manually reviewed.</w:t>
      </w:r>
      <w:r>
        <w:rPr>
          <w:sz w:val="26"/>
          <w:szCs w:val="26"/>
        </w:rPr>
        <w:br w:type="textWrapping"/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Data Lineage Graph:</w:t>
      </w:r>
      <w:r>
        <w:rPr>
          <w:sz w:val="26"/>
          <w:szCs w:val="26"/>
          <w:rtl w:val="0"/>
          <w:lang w:val="en-US"/>
        </w:rPr>
        <w:t xml:space="preserve"> Every model output must be traceable back to the exact source feed, timestamp, and quality score.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1.2 Task D2: Specialized Storage Architecture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We will implement a polyglot storage strategy to handle different data velocities and structures.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Component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Technology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Functional Purpose</w:t>
            </w:r>
          </w:p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Time-Series Store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Arctic or InfluxDB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Storage for high-frequency price, volume, and factor data with nanosecond precision.</w:t>
            </w:r>
          </w:p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Fundamental Store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PostgreSQL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Relational database for quarterly filings (P&amp;L, Balance Sheet) with strict PIT versioning.</w:t>
            </w:r>
          </w:p>
        </w:tc>
      </w:tr>
      <w:tr>
        <w:tblPrEx>
          <w:shd w:val="clear" w:color="auto" w:fill="auto"/>
        </w:tblPrEx>
        <w:trPr>
          <w:trHeight w:val="15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Feature Store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Redis or Feast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Low-latency serving of pre-computed ML features (e.g., 12-month momentum) to the intelligence layer.</w:t>
            </w:r>
          </w:p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Scenario Library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Immutable S3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Versioned and checksummed historical stress paths (e.g., 2008 GFC, 2020 COVID).</w:t>
            </w:r>
          </w:p>
        </w:tc>
      </w:tr>
      <w:tr>
        <w:tblPrEx>
          <w:shd w:val="clear" w:color="auto" w:fill="auto"/>
        </w:tblPrEx>
        <w:trPr>
          <w:trHeight w:val="15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Audit Data Lake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Append-only Parquet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Columnar store for every data access event, ensuring a 10-year immutable record for regulators.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40"/>
          <w:szCs w:val="4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>Testing Strategy for Phase 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Before moving to ML model training, we must clear the following "Ground Truth" tests: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The "Look-Ahead" Audit:</w:t>
      </w:r>
      <w:r>
        <w:rPr>
          <w:sz w:val="26"/>
          <w:szCs w:val="26"/>
          <w:rtl w:val="0"/>
          <w:lang w:val="en-US"/>
        </w:rPr>
        <w:t xml:space="preserve"> Run a mock agent request for "today's" price using a "six-months-ago" timestamp; the system must return a failure or the correct historical price, never the future price.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Corporate Action Stress Test:</w:t>
      </w:r>
      <w:r>
        <w:rPr>
          <w:sz w:val="26"/>
          <w:szCs w:val="26"/>
          <w:rtl w:val="0"/>
          <w:lang w:val="en-US"/>
        </w:rPr>
        <w:t xml:space="preserve"> Verify that a stock split occurring on Day X does not create a "phantom" 50% drop in the unadjusted return series used by the EQRA agent.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Lineage Integrity Check:</w:t>
      </w:r>
      <w:r>
        <w:rPr>
          <w:sz w:val="26"/>
          <w:szCs w:val="26"/>
          <w:rtl w:val="0"/>
          <w:lang w:val="en-US"/>
        </w:rPr>
        <w:t xml:space="preserve"> Pick a random portfolio recommendation and verify that the system can generate a report showing every raw data point (and its source) used to make that decision.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Proceeding with the deep dive, we move into the "brains" of the operation. While </w:t>
      </w:r>
      <w:r>
        <w:rPr>
          <w:b w:val="1"/>
          <w:bCs w:val="1"/>
          <w:sz w:val="26"/>
          <w:szCs w:val="26"/>
          <w:rtl w:val="0"/>
          <w:lang w:val="en-US"/>
        </w:rPr>
        <w:t>Layer 0</w:t>
      </w:r>
      <w:r>
        <w:rPr>
          <w:sz w:val="26"/>
          <w:szCs w:val="26"/>
          <w:rtl w:val="0"/>
          <w:lang w:val="en-US"/>
        </w:rPr>
        <w:t xml:space="preserve"> provides the raw ingredients, </w:t>
      </w:r>
      <w:r>
        <w:rPr>
          <w:b w:val="1"/>
          <w:bCs w:val="1"/>
          <w:sz w:val="26"/>
          <w:szCs w:val="26"/>
          <w:rtl w:val="0"/>
          <w:lang w:val="en-US"/>
        </w:rPr>
        <w:t>Layer 1</w:t>
      </w:r>
      <w:r>
        <w:rPr>
          <w:sz w:val="26"/>
          <w:szCs w:val="26"/>
          <w:rtl w:val="0"/>
          <w:lang w:val="en-US"/>
        </w:rPr>
        <w:t xml:space="preserve"> is where those ingredients are processed into institutional-grade predictive signals.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Phase 2: Layer 1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Intelligence Engine (Tasks M1</w:t>
      </w:r>
      <w:r>
        <w:rPr>
          <w:b w:val="1"/>
          <w:bCs w:val="1"/>
          <w:sz w:val="32"/>
          <w:szCs w:val="32"/>
          <w:rtl w:val="0"/>
        </w:rPr>
        <w:t>–</w:t>
      </w:r>
      <w:r>
        <w:rPr>
          <w:b w:val="1"/>
          <w:bCs w:val="1"/>
          <w:sz w:val="32"/>
          <w:szCs w:val="32"/>
          <w:rtl w:val="0"/>
        </w:rPr>
        <w:t>M7)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This layer houses versioned ML models that provide the quantitative foundation for every agent's decision. Crucially, no agent consumes raw model outputs; they receive a standardized </w:t>
      </w:r>
      <w:r>
        <w:rPr>
          <w:b w:val="1"/>
          <w:bCs w:val="1"/>
          <w:sz w:val="32"/>
          <w:szCs w:val="32"/>
          <w:rtl w:val="0"/>
        </w:rPr>
        <w:t>ModelOutput</w:t>
      </w:r>
      <w:r>
        <w:rPr>
          <w:sz w:val="26"/>
          <w:szCs w:val="26"/>
          <w:rtl w:val="0"/>
          <w:lang w:val="en-US"/>
        </w:rPr>
        <w:t xml:space="preserve"> object that includes predictions, confidence intervals, and model versioning.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fr-FR"/>
        </w:rPr>
        <w:t xml:space="preserve">2.1 Core Intelligence Modules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333"/>
        <w:gridCol w:w="3333"/>
        <w:gridCol w:w="33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Module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Methodology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Primary Output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Regime Classifier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Hidden Markov Model + XGBoost ensemble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Probability vector for Bull, Bear, Sideways, or Stagflation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Factor Risk Model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Ledoit-Wolf shrinkage covariance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Factor exposures and idiosyncratic risk matrices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Return Forecaster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Black-Litterman + consensus views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Expected return vector with confidence intervals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Transaction Cost (TCM)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Almgren-Chriss market impact regression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Estimated execution cost and slippage in bps</w:t>
            </w:r>
          </w:p>
        </w:tc>
      </w:tr>
      <w:tr>
        <w:tblPrEx>
          <w:shd w:val="clear" w:color="auto" w:fill="auto"/>
        </w:tblPrEx>
        <w:trPr>
          <w:trHeight w:val="600" w:hRule="atLeast"/>
        </w:trPr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Drawdown Control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CPPI with volatility targeting overlay</w:t>
            </w:r>
          </w:p>
        </w:tc>
        <w:tc>
          <w:tcPr>
            <w:tcW w:type="dxa" w:w="33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Risky asset multiplier and floor signals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2.2 Task M7: Model Lifecycle &amp; Risk Management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Because a confident model acting on stale data is a major institutional risk, Layer 1 includes a formal lifecycle management framework.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it-IT"/>
        </w:rPr>
      </w:pPr>
      <w:r>
        <w:rPr>
          <w:b w:val="1"/>
          <w:bCs w:val="1"/>
          <w:sz w:val="26"/>
          <w:szCs w:val="26"/>
          <w:rtl w:val="0"/>
          <w:lang w:val="it-IT"/>
        </w:rPr>
        <w:t>Model Registry:</w:t>
      </w:r>
      <w:r>
        <w:rPr>
          <w:sz w:val="26"/>
          <w:szCs w:val="26"/>
          <w:rtl w:val="0"/>
          <w:lang w:val="en-US"/>
        </w:rPr>
        <w:t xml:space="preserve"> All models are stored in a registry (e.g., MLflow) to track every parameter, metric, and training artifact.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Champion/Challenger Framework:</w:t>
      </w:r>
      <w:r>
        <w:rPr>
          <w:sz w:val="26"/>
          <w:szCs w:val="26"/>
          <w:rtl w:val="0"/>
          <w:lang w:val="en-US"/>
        </w:rPr>
        <w:t xml:space="preserve"> New models must run in a "shadow mode" paper-trading window for 30 days before being promoted to production.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Drift Detection:</w:t>
      </w:r>
      <w:r>
        <w:rPr>
          <w:sz w:val="26"/>
          <w:szCs w:val="26"/>
          <w:rtl w:val="0"/>
          <w:lang w:val="en-US"/>
        </w:rPr>
        <w:t xml:space="preserve"> The system daily computes the Population Stability Index (PSI) and KL divergence on input features. If a threshold is breached, an alert is sent to the </w:t>
      </w:r>
      <w:r>
        <w:rPr>
          <w:b w:val="1"/>
          <w:bCs w:val="1"/>
          <w:sz w:val="26"/>
          <w:szCs w:val="26"/>
          <w:rtl w:val="0"/>
          <w:lang w:val="it-IT"/>
        </w:rPr>
        <w:t>Model Risk Agent (MORA)</w:t>
      </w:r>
      <w:r>
        <w:rPr>
          <w:sz w:val="26"/>
          <w:szCs w:val="26"/>
          <w:rtl w:val="0"/>
        </w:rPr>
        <w:t>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Uncertainty Propagation:</w:t>
      </w:r>
      <w:r>
        <w:rPr>
          <w:sz w:val="26"/>
          <w:szCs w:val="26"/>
          <w:rtl w:val="0"/>
          <w:lang w:val="en-US"/>
        </w:rPr>
        <w:t xml:space="preserve"> When model confidence drops, the system automatically widens the output confidence intervals. This forces downstream agents, like </w:t>
      </w:r>
      <w:r>
        <w:rPr>
          <w:b w:val="1"/>
          <w:bCs w:val="1"/>
          <w:sz w:val="26"/>
          <w:szCs w:val="26"/>
          <w:rtl w:val="0"/>
          <w:lang w:val="de-DE"/>
        </w:rPr>
        <w:t>GENPOA</w:t>
      </w:r>
      <w:r>
        <w:rPr>
          <w:sz w:val="26"/>
          <w:szCs w:val="26"/>
          <w:rtl w:val="0"/>
          <w:lang w:val="en-US"/>
        </w:rPr>
        <w:t>, to adopt more conservative allocation constraints.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fr-FR"/>
        </w:rPr>
      </w:pPr>
      <w:r>
        <w:rPr>
          <w:b w:val="1"/>
          <w:bCs w:val="1"/>
          <w:sz w:val="26"/>
          <w:szCs w:val="26"/>
          <w:rtl w:val="0"/>
          <w:lang w:val="fr-FR"/>
        </w:rPr>
        <w:t>Human Gate:</w:t>
      </w:r>
      <w:r>
        <w:rPr>
          <w:sz w:val="26"/>
          <w:szCs w:val="26"/>
          <w:rtl w:val="0"/>
          <w:lang w:val="en-US"/>
        </w:rPr>
        <w:t xml:space="preserve"> No model can be promoted to "Champion" status without explicit human sign-off.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Testing Strategy for Phase 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These tests ensure the intelligence layer isn't just "smart," but robust under pressure: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Regime Transition Test:</w:t>
      </w:r>
      <w:r>
        <w:rPr>
          <w:sz w:val="26"/>
          <w:szCs w:val="26"/>
          <w:rtl w:val="0"/>
          <w:lang w:val="en-US"/>
        </w:rPr>
        <w:t xml:space="preserve"> Simulate a sudden market crash (e.g., 2020 COVID crash) to verify the </w:t>
      </w:r>
      <w:r>
        <w:rPr>
          <w:b w:val="1"/>
          <w:bCs w:val="1"/>
          <w:sz w:val="26"/>
          <w:szCs w:val="26"/>
          <w:rtl w:val="0"/>
          <w:lang w:val="it-IT"/>
        </w:rPr>
        <w:t>Regime Classifier</w:t>
      </w:r>
      <w:r>
        <w:rPr>
          <w:sz w:val="26"/>
          <w:szCs w:val="26"/>
          <w:rtl w:val="0"/>
          <w:lang w:val="en-US"/>
        </w:rPr>
        <w:t xml:space="preserve"> correctly shifts its probability vector and triggers the 60% confidence hard gate.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TCM Impact Validation:</w:t>
      </w:r>
      <w:r>
        <w:rPr>
          <w:sz w:val="26"/>
          <w:szCs w:val="26"/>
          <w:rtl w:val="0"/>
          <w:lang w:val="en-US"/>
        </w:rPr>
        <w:t xml:space="preserve"> Compare estimated slippage from the </w:t>
      </w:r>
      <w:r>
        <w:rPr>
          <w:b w:val="1"/>
          <w:bCs w:val="1"/>
          <w:sz w:val="26"/>
          <w:szCs w:val="26"/>
          <w:rtl w:val="0"/>
          <w:lang w:val="de-DE"/>
        </w:rPr>
        <w:t>Almgren-Chriss model</w:t>
      </w:r>
      <w:r>
        <w:rPr>
          <w:sz w:val="26"/>
          <w:szCs w:val="26"/>
          <w:rtl w:val="0"/>
          <w:lang w:val="en-US"/>
        </w:rPr>
        <w:t xml:space="preserve"> against actual historical execution data to ensure the 1.5x net benefit threshold is grounded in reality.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Drift Response Audit:</w:t>
      </w:r>
      <w:r>
        <w:rPr>
          <w:sz w:val="26"/>
          <w:szCs w:val="26"/>
          <w:rtl w:val="0"/>
          <w:lang w:val="en-US"/>
        </w:rPr>
        <w:t xml:space="preserve"> Feed "garbage" or shifted data into the </w:t>
      </w:r>
      <w:r>
        <w:rPr>
          <w:b w:val="1"/>
          <w:bCs w:val="1"/>
          <w:sz w:val="26"/>
          <w:szCs w:val="26"/>
          <w:rtl w:val="0"/>
          <w:lang w:val="da-DK"/>
        </w:rPr>
        <w:t>Factor Risk Model</w:t>
      </w:r>
      <w:r>
        <w:rPr>
          <w:sz w:val="26"/>
          <w:szCs w:val="26"/>
          <w:rtl w:val="0"/>
          <w:lang w:val="en-US"/>
        </w:rPr>
        <w:t xml:space="preserve"> to confirm that PSI triggers an immediate alert and widens uncertainty bounds as required.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Movng into the "Investment Committee" logic, we transition from predictive models to actionable decisions. This phase defines how individual agents collaborate and how the </w:t>
      </w:r>
      <w:r>
        <w:rPr>
          <w:b w:val="1"/>
          <w:bCs w:val="1"/>
          <w:sz w:val="26"/>
          <w:szCs w:val="26"/>
          <w:rtl w:val="0"/>
          <w:lang w:val="it-IT"/>
        </w:rPr>
        <w:t>Super Agent</w:t>
      </w:r>
      <w:r>
        <w:rPr>
          <w:sz w:val="26"/>
          <w:szCs w:val="26"/>
          <w:rtl w:val="0"/>
          <w:lang w:val="en-US"/>
        </w:rPr>
        <w:t xml:space="preserve"> resolves the inevitable conflicts that arise in complex markets.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Phase 3: Layer 2 &amp; Layer 3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 xml:space="preserve">Agent Mesh &amp; Orchestration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This stage focuses on the communication protocol and the decision-making authority that governs the entire system.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3.1 Layer 2: The Agent Mesh &amp; Typed Communication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In v2.0, agents do not just pass informal data; they communicate through a strictly typed </w:t>
      </w:r>
      <w:r>
        <w:rPr>
          <w:b w:val="1"/>
          <w:bCs w:val="1"/>
          <w:sz w:val="26"/>
          <w:szCs w:val="26"/>
          <w:rtl w:val="0"/>
        </w:rPr>
        <w:t>AgentOutput</w:t>
      </w:r>
      <w:r>
        <w:rPr>
          <w:sz w:val="26"/>
          <w:szCs w:val="26"/>
          <w:rtl w:val="0"/>
          <w:lang w:val="en-US"/>
        </w:rPr>
        <w:t xml:space="preserve"> schema. This ensures the Super Agent can process outputs programmatically and maintain a full audit trail.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The AgentOutput Schema: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agent_id</w:t>
      </w:r>
      <w:r>
        <w:rPr>
          <w:sz w:val="26"/>
          <w:szCs w:val="26"/>
          <w:rtl w:val="0"/>
          <w:lang w:val="en-US"/>
        </w:rPr>
        <w:t>: A unique identifier (e.g., "EQRA" for Stock Picker, "RAA" for Risk Compliance).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signal</w:t>
      </w:r>
      <w:r>
        <w:rPr>
          <w:sz w:val="26"/>
          <w:szCs w:val="26"/>
          <w:rtl w:val="0"/>
          <w:lang w:val="en-US"/>
        </w:rPr>
        <w:t>: The specific payload, such as a ranked candidate list or a constraint check result.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confidence</w:t>
      </w:r>
      <w:r>
        <w:rPr>
          <w:sz w:val="26"/>
          <w:szCs w:val="26"/>
          <w:rtl w:val="0"/>
          <w:lang w:val="en-US"/>
        </w:rPr>
        <w:t>: A float (0.0</w:t>
      </w:r>
      <w:r>
        <w:rPr>
          <w:sz w:val="26"/>
          <w:szCs w:val="26"/>
          <w:rtl w:val="0"/>
        </w:rPr>
        <w:t>–</w:t>
      </w:r>
      <w:r>
        <w:rPr>
          <w:sz w:val="26"/>
          <w:szCs w:val="26"/>
          <w:rtl w:val="0"/>
          <w:lang w:val="en-US"/>
        </w:rPr>
        <w:t>1.0) representing the agent's self-assessed certainty, derived from the underlying Layer 1 model performance.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data_lineage</w:t>
      </w:r>
      <w:r>
        <w:rPr>
          <w:sz w:val="26"/>
          <w:szCs w:val="26"/>
          <w:rtl w:val="0"/>
          <w:lang w:val="en-US"/>
        </w:rPr>
        <w:t>: A list of data source IDs and timestamps consumed to produce the output, ensuring fiduciary-grade traceability.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fr-FR"/>
        </w:rPr>
      </w:pPr>
      <w:r>
        <w:rPr>
          <w:b w:val="1"/>
          <w:bCs w:val="1"/>
          <w:sz w:val="26"/>
          <w:szCs w:val="26"/>
          <w:rtl w:val="0"/>
          <w:lang w:val="fr-FR"/>
        </w:rPr>
        <w:t>rationale</w:t>
      </w:r>
      <w:r>
        <w:rPr>
          <w:sz w:val="26"/>
          <w:szCs w:val="26"/>
          <w:rtl w:val="0"/>
          <w:lang w:val="en-US"/>
        </w:rPr>
        <w:t>: A plain-English justification (</w:t>
      </w:r>
      <w:r>
        <w:rPr>
          <w:sz w:val="26"/>
          <w:szCs w:val="26"/>
          <w:rtl w:val="0"/>
        </w:rPr>
        <w:t xml:space="preserve">≤ </w:t>
      </w:r>
      <w:r>
        <w:rPr>
          <w:sz w:val="26"/>
          <w:szCs w:val="26"/>
          <w:rtl w:val="0"/>
          <w:lang w:val="en-US"/>
        </w:rPr>
        <w:t>500 characters) used by the Insights Agent (INSA) to explain decisions to the client.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3.2 Layer 3: Super Agent (SA) Orchestration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 Super Agent acts as the Chief Investment Officer and System Orchestrator. It is the single entry point for all workflows and uses a formal arbitration policy to resolve conflicting agent signals.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Formal Arbitration Policy: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Hard Constraint Veto</w:t>
      </w:r>
      <w:r>
        <w:rPr>
          <w:sz w:val="26"/>
          <w:szCs w:val="26"/>
          <w:rtl w:val="0"/>
          <w:lang w:val="en-US"/>
        </w:rPr>
        <w:t>: If the Risk Analysis Agent (RAA) flags a hard constraint breach (e.g., a single stock exceeding 8% of the equity sleeve), that signal overrides all others unconditionally.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Model Risk Gate</w:t>
      </w:r>
      <w:r>
        <w:rPr>
          <w:sz w:val="26"/>
          <w:szCs w:val="26"/>
          <w:rtl w:val="0"/>
          <w:lang w:val="en-US"/>
        </w:rPr>
        <w:t>: If the Model Risk Agent (MORA) flags a model as degraded, the associated agent's signal is automatically down-weighted by 50% in the SA's final calculation.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Confidence-Weighted Aggregation</w:t>
      </w:r>
      <w:r>
        <w:rPr>
          <w:sz w:val="26"/>
          <w:szCs w:val="26"/>
          <w:rtl w:val="0"/>
          <w:lang w:val="en-US"/>
        </w:rPr>
        <w:t>: For all non-vetoed signals, the SA computes a consensus weighted by each agent's reported confidence level.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Regime Conditioning</w:t>
      </w:r>
      <w:r>
        <w:rPr>
          <w:sz w:val="26"/>
          <w:szCs w:val="26"/>
          <w:rtl w:val="0"/>
          <w:lang w:val="en-US"/>
        </w:rPr>
        <w:t>: All signals are adjusted based on the current Market Regime Agent (MRA) probability vector; for example, equity signals are discounted during a "Bear" regime.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3.3 Four-Tier Autonomy Framework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To balance efficiency with human oversight, the system executes decisions based on their impact and risk.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639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Tier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Action Type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Examples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center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Governance Protocol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Tier 1: Automated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Routine drift correction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Trimming a 1.5% drift in a large-cap holding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Executed automatically with a post-hoc log.</w:t>
            </w:r>
          </w:p>
        </w:tc>
      </w:tr>
      <w:tr>
        <w:tblPrEx>
          <w:shd w:val="clear" w:color="auto" w:fill="auto"/>
        </w:tblPrEx>
        <w:trPr>
          <w:trHeight w:val="12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Tier 2: Notify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Regime-triggered shifts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Reducing equity from 65% to 58% on a Bear signal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Automated execution; client notified within 4 hours.</w:t>
            </w:r>
          </w:p>
        </w:tc>
      </w:tr>
      <w:tr>
        <w:tblPrEx>
          <w:shd w:val="clear" w:color="auto" w:fill="auto"/>
        </w:tblPrEx>
        <w:trPr>
          <w:trHeight w:val="9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Tier 3: Approve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Major allocation changes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Adding a new asset class (e.g., Gold) for the first time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Presented to client via UIA; requires explicit approval.</w:t>
            </w:r>
          </w:p>
        </w:tc>
      </w:tr>
      <w:tr>
        <w:tblPrEx>
          <w:shd w:val="clear" w:color="auto" w:fill="auto"/>
        </w:tblPrEx>
        <w:trPr>
          <w:trHeight w:val="1500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b w:val="1"/>
                <w:bCs w:val="1"/>
                <w:sz w:val="26"/>
                <w:szCs w:val="26"/>
                <w:rtl w:val="0"/>
              </w:rPr>
              <w:t>Tier 4: Committee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Hard risk limit breaches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Portfolio volatility exceeding the user's </w:t>
            </w: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σ</w:t>
            </w:r>
            <w:r>
              <w:rPr>
                <w:rFonts w:ascii="Helvetica Neue" w:hAnsi="Helvetica Neue"/>
                <w:sz w:val="26"/>
                <w:szCs w:val="26"/>
                <w:rtl w:val="0"/>
              </w:rPr>
              <w:t>max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Human Investment Committee review and full documentation required.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Testing Strategy for Phase 3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Veto Authority Test</w:t>
      </w:r>
      <w:r>
        <w:rPr>
          <w:sz w:val="26"/>
          <w:szCs w:val="26"/>
          <w:rtl w:val="0"/>
          <w:lang w:val="en-US"/>
        </w:rPr>
        <w:t>: Force the Equity Research Agent (EQRA) to recommend a 15% position in a single stock. Verify that the RAA successfully issues a veto and the Super Agent kills the trade.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Model Degradation Response</w:t>
      </w:r>
      <w:r>
        <w:rPr>
          <w:sz w:val="26"/>
          <w:szCs w:val="26"/>
          <w:rtl w:val="0"/>
          <w:lang w:val="en-US"/>
        </w:rPr>
        <w:t>: Simulate a "Low Confidence" signal from the Regime Classifier. Verify that the SA automatically down-weights the macro signal and shifts to a more conservative allocation.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Arbitration Tie-Breaking</w:t>
      </w:r>
      <w:r>
        <w:rPr>
          <w:sz w:val="26"/>
          <w:szCs w:val="26"/>
          <w:rtl w:val="0"/>
          <w:lang w:val="en-US"/>
        </w:rPr>
        <w:t>: Feed the SA two conflicting but equally confident signals. Verify that it applies the "do-nothing" bias and maintains the incumbent allocation.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This phase focuses on the institutional-grade feedback loops and India-specific optimizations that differentiate QA-1 from standard retail tools. These agents ensure the system learns from its performance while minimizing the "hidden" costs of taxation and model error.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Phase 4: Specialist Agents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it-IT"/>
        </w:rPr>
        <w:t>Tax, Attribution, &amp; Model Risk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de-DE"/>
        </w:rPr>
        <w:t xml:space="preserve">4.1 Tax Optimisation Agent (TOA)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The "Tax Accountant"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 TOA is designed to mitigate the 80</w:t>
      </w:r>
      <w:r>
        <w:rPr>
          <w:sz w:val="26"/>
          <w:szCs w:val="26"/>
          <w:rtl w:val="0"/>
        </w:rPr>
        <w:t>–</w:t>
      </w:r>
      <w:r>
        <w:rPr>
          <w:sz w:val="26"/>
          <w:szCs w:val="26"/>
          <w:rtl w:val="0"/>
          <w:lang w:val="en-US"/>
        </w:rPr>
        <w:t>150bps annual return drag typically caused by tax inefficiency in Indian portfolios.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Real-Time Tax Lot Ledger:</w:t>
      </w:r>
      <w:r>
        <w:rPr>
          <w:sz w:val="26"/>
          <w:szCs w:val="26"/>
          <w:rtl w:val="0"/>
          <w:lang w:val="en-US"/>
        </w:rPr>
        <w:t xml:space="preserve"> Maintains a detailed record of every holding's purchase date, cost basis, and holding period status.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India-Specific Tax Rules: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Equity LTCG Management:</w:t>
      </w:r>
      <w:r>
        <w:rPr>
          <w:sz w:val="26"/>
          <w:szCs w:val="26"/>
          <w:rtl w:val="0"/>
          <w:lang w:val="en-US"/>
        </w:rPr>
        <w:t xml:space="preserve"> Identifies holdings approaching the 12-month threshold to qualify for 10% Long-Term Capital Gains (LTCG) instead of 15% Short-Term Capital Gains (STCG).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Exemption Harvesting:</w:t>
      </w:r>
      <w:r>
        <w:rPr>
          <w:sz w:val="26"/>
          <w:szCs w:val="26"/>
          <w:rtl w:val="0"/>
          <w:lang w:val="en-US"/>
        </w:rPr>
        <w:t xml:space="preserve"> Targets realizing up to </w:t>
      </w:r>
      <w:r>
        <w:rPr>
          <w:sz w:val="26"/>
          <w:szCs w:val="26"/>
          <w:rtl w:val="0"/>
        </w:rPr>
        <w:t>₹</w:t>
      </w:r>
      <w:r>
        <w:rPr>
          <w:sz w:val="26"/>
          <w:szCs w:val="26"/>
          <w:rtl w:val="0"/>
          <w:lang w:val="en-US"/>
        </w:rPr>
        <w:t>1 lakh of equity LTCG annually at zero tax, immediately repurchasing to reset the cost basis.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Post-2023 Debt Fund Treatment:</w:t>
      </w:r>
      <w:r>
        <w:rPr>
          <w:sz w:val="26"/>
          <w:szCs w:val="26"/>
          <w:rtl w:val="0"/>
          <w:lang w:val="en-US"/>
        </w:rPr>
        <w:t xml:space="preserve"> Applies marginal income tax rates to debt mutual funds and international ETFs, influencing allocation weights relative to equity.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Lot Selection Coordination:</w:t>
      </w:r>
      <w:r>
        <w:rPr>
          <w:sz w:val="26"/>
          <w:szCs w:val="26"/>
          <w:rtl w:val="0"/>
          <w:lang w:val="en-US"/>
        </w:rPr>
        <w:t xml:space="preserve"> Works with the Rebalancing Agent (RBA) to specify exact lots for sale (specific identification) to minimize tax impact.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fr-FR"/>
        </w:rPr>
        <w:t xml:space="preserve">4.2 Attribution Agent (ATA)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The "Performance Auditor"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 ATA provides the critical feedback loop that enables the Intelligence Engine to learn which decisions actually added value.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BHB Decomposition:</w:t>
      </w:r>
      <w:r>
        <w:rPr>
          <w:sz w:val="26"/>
          <w:szCs w:val="26"/>
          <w:rtl w:val="0"/>
          <w:lang w:val="en-US"/>
        </w:rPr>
        <w:t xml:space="preserve"> Performs Brinson-Hood-Beebower (BHB) attribution to separate returns into Allocation Effect, Selection Effect, and Interaction Effect.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Factor Attribution:</w:t>
      </w:r>
      <w:r>
        <w:rPr>
          <w:sz w:val="26"/>
          <w:szCs w:val="26"/>
          <w:rtl w:val="0"/>
          <w:lang w:val="en-US"/>
        </w:rPr>
        <w:t xml:space="preserve"> Decomposes performance into specific factor contributions (momentum, quality, value, etc.) versus idiosyncratic stock picking.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pt-PT"/>
        </w:rPr>
      </w:pPr>
      <w:r>
        <w:rPr>
          <w:b w:val="1"/>
          <w:bCs w:val="1"/>
          <w:sz w:val="26"/>
          <w:szCs w:val="26"/>
          <w:rtl w:val="0"/>
          <w:lang w:val="pt-PT"/>
        </w:rPr>
        <w:t>GIPS Compliance:</w:t>
      </w:r>
      <w:r>
        <w:rPr>
          <w:sz w:val="26"/>
          <w:szCs w:val="26"/>
          <w:rtl w:val="0"/>
          <w:lang w:val="en-US"/>
        </w:rPr>
        <w:t xml:space="preserve"> Generates performance reports that adhere to Global Investment Performance Standards (GIPS).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Decision-Quality Ledger:</w:t>
      </w:r>
      <w:r>
        <w:rPr>
          <w:sz w:val="26"/>
          <w:szCs w:val="26"/>
          <w:rtl w:val="0"/>
          <w:lang w:val="en-US"/>
        </w:rPr>
        <w:t xml:space="preserve"> Tracks whether each Super Agent (SA) decision improved the probability of goal achievement over time.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it-IT"/>
        </w:rPr>
        <w:t xml:space="preserve">4.3 Model Risk Agent (MORA)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it-IT"/>
        </w:rPr>
        <w:t>The "Validator"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MORA acts as a safeguard against "confidently wrong" AI signals by monitoring every predictive model in Layer 1.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Daily Drift Monitoring:</w:t>
      </w:r>
      <w:r>
        <w:rPr>
          <w:sz w:val="26"/>
          <w:szCs w:val="26"/>
          <w:rtl w:val="0"/>
          <w:lang w:val="en-US"/>
        </w:rPr>
        <w:t xml:space="preserve"> Tracks out-of-sample accuracy, Population Stability Index (PSI) on features, and KL divergence on outputs.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Uncertainty Propagation:</w:t>
      </w:r>
      <w:r>
        <w:rPr>
          <w:sz w:val="26"/>
          <w:szCs w:val="26"/>
          <w:rtl w:val="0"/>
          <w:lang w:val="en-US"/>
        </w:rPr>
        <w:t xml:space="preserve"> When a model's performance degrades, MORA forces the agent to widen its output confidence intervals, alerting the Super Agent to act more conservatively.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The Hard Gate:</w:t>
      </w:r>
      <w:r>
        <w:rPr>
          <w:sz w:val="26"/>
          <w:szCs w:val="26"/>
          <w:rtl w:val="0"/>
          <w:lang w:val="en-US"/>
        </w:rPr>
        <w:t xml:space="preserve"> If the Regime Classifier's confidence drops below 60%, MORA triggers a mandatory shift into a conservative allocation overlay until confidence is restored.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4.4 Risk Engine Agent (REA)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The "Stress Tester"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The REA ensures the portfolio can survive extreme market events through rigorous simulation.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Historical &amp; Custom Scenarios:</w:t>
      </w:r>
      <w:r>
        <w:rPr>
          <w:sz w:val="26"/>
          <w:szCs w:val="26"/>
          <w:rtl w:val="0"/>
          <w:lang w:val="en-US"/>
        </w:rPr>
        <w:t xml:space="preserve"> Runs paths for the 2008 GFC, 2013 Taper Tantrum, and 2020 COVID crash.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Tail Dependency Analysis:</w:t>
      </w:r>
      <w:r>
        <w:rPr>
          <w:sz w:val="26"/>
          <w:szCs w:val="26"/>
          <w:rtl w:val="0"/>
          <w:lang w:val="en-US"/>
        </w:rPr>
        <w:t xml:space="preserve"> Uses copula methods to model how asset correlations spike during tail-risk regimes.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Mandatory Certification:</w:t>
      </w:r>
      <w:r>
        <w:rPr>
          <w:sz w:val="26"/>
          <w:szCs w:val="26"/>
          <w:rtl w:val="0"/>
          <w:lang w:val="en-US"/>
        </w:rPr>
        <w:t xml:space="preserve"> No portfolio can be submitted for execution without a passing REA stress certification, which expires every five trading days.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Testing Strategy for Phase 4</w:t>
      </w: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Tax Harvesting Accuracy:</w:t>
      </w:r>
      <w:r>
        <w:rPr>
          <w:sz w:val="26"/>
          <w:szCs w:val="26"/>
          <w:rtl w:val="0"/>
          <w:lang w:val="en-US"/>
        </w:rPr>
        <w:t xml:space="preserve"> Simulate an equity sell-off to verify that the TOA correctly prioritizes LTCG lots over STCG lots and maximizes the </w:t>
      </w:r>
      <w:r>
        <w:rPr>
          <w:sz w:val="26"/>
          <w:szCs w:val="26"/>
          <w:rtl w:val="0"/>
        </w:rPr>
        <w:t>₹</w:t>
      </w:r>
      <w:r>
        <w:rPr>
          <w:sz w:val="26"/>
          <w:szCs w:val="26"/>
          <w:rtl w:val="0"/>
          <w:lang w:val="en-US"/>
        </w:rPr>
        <w:t>1 lakh annual exemption.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Attribution Feedback Loop:</w:t>
      </w:r>
      <w:r>
        <w:rPr>
          <w:sz w:val="26"/>
          <w:szCs w:val="26"/>
          <w:rtl w:val="0"/>
          <w:lang w:val="en-US"/>
        </w:rPr>
        <w:t xml:space="preserve"> Verify that the "Selection Effect" calculated by the ATA is successfully passed back to Layer 1 to adjust the weights of the Equity Research Agent</w:t>
      </w:r>
      <w:r>
        <w:rPr>
          <w:sz w:val="26"/>
          <w:szCs w:val="26"/>
          <w:rtl w:val="1"/>
        </w:rPr>
        <w:t>’</w:t>
      </w:r>
      <w:r>
        <w:rPr>
          <w:sz w:val="26"/>
          <w:szCs w:val="26"/>
          <w:rtl w:val="0"/>
          <w:lang w:val="en-US"/>
        </w:rPr>
        <w:t>s (EQRA) signals.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Model Risk Trigger:</w:t>
      </w:r>
      <w:r>
        <w:rPr>
          <w:sz w:val="26"/>
          <w:szCs w:val="26"/>
          <w:rtl w:val="0"/>
          <w:lang w:val="en-US"/>
        </w:rPr>
        <w:t xml:space="preserve"> Manually inject "drifted" data into the return forecaster and confirm that MORA detects the shift, widens the confidence intervals, and records the event in the Model Risk Register.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Stress Certification Gate:</w:t>
      </w:r>
      <w:r>
        <w:rPr>
          <w:sz w:val="26"/>
          <w:szCs w:val="26"/>
          <w:rtl w:val="0"/>
          <w:lang w:val="en-US"/>
        </w:rPr>
        <w:t xml:space="preserve"> Attempt to finalize a portfolio allocation that fails the REA's 99th percentile CVaR limit and verify that the Super Agent blocks the execution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This stage turns the complex "math and machines" of the previous layers into a fiduciary-grade system that is transparent, compliant, and</w:t>
      </w:r>
      <w:r>
        <w:rPr>
          <w:sz w:val="26"/>
          <w:szCs w:val="26"/>
          <w:rtl w:val="0"/>
          <w:lang w:val="en-US"/>
        </w:rPr>
        <w:t>—</w:t>
      </w:r>
      <w:r>
        <w:rPr>
          <w:sz w:val="26"/>
          <w:szCs w:val="26"/>
          <w:rtl w:val="0"/>
          <w:lang w:val="en-US"/>
        </w:rPr>
        <w:t>most importantly</w:t>
      </w:r>
      <w:r>
        <w:rPr>
          <w:sz w:val="26"/>
          <w:szCs w:val="26"/>
          <w:rtl w:val="0"/>
          <w:lang w:val="en-US"/>
        </w:rPr>
        <w:t>—</w:t>
      </w:r>
      <w:r>
        <w:rPr>
          <w:sz w:val="26"/>
          <w:szCs w:val="26"/>
          <w:rtl w:val="0"/>
          <w:lang w:val="en-US"/>
        </w:rPr>
        <w:t>understandable to humans. We are moving from the engine room to the cockpit and the black box.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Phase 5: Layer 4 &amp; 5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Governance, Compliance, &amp; Output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it-IT"/>
        </w:rPr>
        <w:t>5.1 Layer 4: The Fiduciary Shield (Governance)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This layer ensures that every action is legal, ethical, and fully auditable. Because in the institutional world, if it isn't documented and signed, it didn't happen.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Immutable Audit Log (The Merkle Tree):</w:t>
      </w:r>
      <w:r>
        <w:rPr>
          <w:sz w:val="26"/>
          <w:szCs w:val="26"/>
          <w:rtl w:val="0"/>
          <w:lang w:val="en-US"/>
        </w:rPr>
        <w:t xml:space="preserve"> Every decision made by the Super Agent is recorded with its full context, including model versions and data snapshots. These entries are cryptographically hashed and chained in a Merkle tree structure to prevent any retroactive tampering.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Regulatory Compliance Engine: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SEBI Limit Enforcement:</w:t>
      </w:r>
      <w:r>
        <w:rPr>
          <w:sz w:val="26"/>
          <w:szCs w:val="26"/>
          <w:rtl w:val="0"/>
          <w:lang w:val="en-US"/>
        </w:rPr>
        <w:t xml:space="preserve"> Automatically validates all proposed allocations against current SEBI regulations for PMS and Mutual Fund structures.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Insider Trading Lookout:</w:t>
      </w:r>
      <w:r>
        <w:rPr>
          <w:sz w:val="26"/>
          <w:szCs w:val="26"/>
          <w:rtl w:val="0"/>
          <w:lang w:val="en-US"/>
        </w:rPr>
        <w:t xml:space="preserve"> Cross-references every trade list against a restricted securities list, blocking execution if a match is found.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Retention:</w:t>
      </w:r>
      <w:r>
        <w:rPr>
          <w:sz w:val="26"/>
          <w:szCs w:val="26"/>
          <w:rtl w:val="0"/>
          <w:lang w:val="en-US"/>
        </w:rPr>
        <w:t xml:space="preserve"> Maintains records for a minimum of 10 years, satisfying SEBI record-keeping mandates.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Explainability Framework (XAI):</w:t>
      </w:r>
      <w:r>
        <w:rPr>
          <w:sz w:val="26"/>
          <w:szCs w:val="26"/>
          <w:rtl w:val="0"/>
          <w:lang w:val="en-US"/>
        </w:rPr>
        <w:t xml:space="preserve"> Converts technical agent outputs into tiered narratives: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Retail:</w:t>
      </w:r>
      <w:r>
        <w:rPr>
          <w:sz w:val="26"/>
          <w:szCs w:val="26"/>
          <w:rtl w:val="0"/>
          <w:lang w:val="en-US"/>
        </w:rPr>
        <w:t xml:space="preserve"> Plain-English "why" behind trades.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pt-PT"/>
        </w:rPr>
      </w:pPr>
      <w:r>
        <w:rPr>
          <w:b w:val="1"/>
          <w:bCs w:val="1"/>
          <w:sz w:val="26"/>
          <w:szCs w:val="26"/>
          <w:rtl w:val="0"/>
          <w:lang w:val="pt-PT"/>
        </w:rPr>
        <w:t>Regulator:</w:t>
      </w:r>
      <w:r>
        <w:rPr>
          <w:sz w:val="26"/>
          <w:szCs w:val="26"/>
          <w:rtl w:val="0"/>
          <w:lang w:val="en-US"/>
        </w:rPr>
        <w:t xml:space="preserve"> Full rationale chain from data source to final decision.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Risk Committee:</w:t>
      </w:r>
      <w:r>
        <w:rPr>
          <w:sz w:val="26"/>
          <w:szCs w:val="26"/>
          <w:rtl w:val="0"/>
          <w:lang w:val="en-US"/>
        </w:rPr>
        <w:t xml:space="preserve"> Technical model health and drift reports.</w:t>
      </w:r>
      <w:r>
        <w:rPr>
          <w:sz w:val="26"/>
          <w:szCs w:val="26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5.2 Layer 5: The Client Narrator (Output &amp; Reporting)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This is where the system communicates its "thoughts" and results to the user.</w:t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Goal Probability Report: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Calculates the current P(Achievement) for each goal tier (Survival, Safety, Growth).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it-IT"/>
        </w:rPr>
      </w:pPr>
      <w:r>
        <w:rPr>
          <w:b w:val="1"/>
          <w:bCs w:val="1"/>
          <w:sz w:val="26"/>
          <w:szCs w:val="26"/>
          <w:rtl w:val="0"/>
          <w:lang w:val="it-IT"/>
        </w:rPr>
        <w:t>Monte Carlo Fan Charts:</w:t>
      </w:r>
      <w:r>
        <w:rPr>
          <w:sz w:val="26"/>
          <w:szCs w:val="26"/>
          <w:rtl w:val="0"/>
          <w:lang w:val="en-US"/>
        </w:rPr>
        <w:t xml:space="preserve"> Provides a visual representation of the 10th through 90th percentile wealth paths toward the goal horizon.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Insights &amp; Counterfactuals:</w:t>
      </w:r>
      <w:r>
        <w:rPr>
          <w:sz w:val="26"/>
          <w:szCs w:val="26"/>
          <w:rtl w:val="0"/>
          <w:lang w:val="en-US"/>
        </w:rPr>
        <w:t xml:space="preserve"> The system doesn't just say what it did; it uses the Insights Agent (INSA) to generate "what if" scenarios</w:t>
      </w:r>
      <w:r>
        <w:rPr>
          <w:sz w:val="26"/>
          <w:szCs w:val="26"/>
          <w:rtl w:val="0"/>
          <w:lang w:val="en-US"/>
        </w:rPr>
        <w:t>—</w:t>
      </w:r>
      <w:r>
        <w:rPr>
          <w:sz w:val="26"/>
          <w:szCs w:val="26"/>
          <w:rtl w:val="0"/>
          <w:lang w:val="en-US"/>
        </w:rPr>
        <w:t xml:space="preserve">explaining what would have happened to the goal probability if the system had </w:t>
      </w:r>
      <w:r>
        <w:rPr>
          <w:i w:val="1"/>
          <w:iCs w:val="1"/>
          <w:sz w:val="26"/>
          <w:szCs w:val="26"/>
          <w:rtl w:val="0"/>
          <w:lang w:val="en-US"/>
        </w:rPr>
        <w:t>not</w:t>
      </w:r>
      <w:r>
        <w:rPr>
          <w:sz w:val="26"/>
          <w:szCs w:val="26"/>
          <w:rtl w:val="0"/>
          <w:lang w:val="en-US"/>
        </w:rPr>
        <w:t xml:space="preserve"> acted.</w:t>
      </w:r>
      <w:r>
        <w:rPr>
          <w:sz w:val="26"/>
          <w:szCs w:val="26"/>
        </w:rPr>
        <w:br w:type="textWrapping"/>
      </w:r>
    </w:p>
    <w:p>
      <w:pPr>
        <w:pStyle w:val="Default"/>
        <w:numPr>
          <w:ilvl w:val="0"/>
          <w:numId w:val="9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Tax &amp; Performance Transparency:</w:t>
      </w:r>
      <w:r>
        <w:rPr>
          <w:sz w:val="26"/>
          <w:szCs w:val="26"/>
          <w:rtl w:val="0"/>
          <w:lang w:val="en-US"/>
        </w:rPr>
        <w:t xml:space="preserve"> Combines GIPS-compliant attribution with a tax efficiency report, showing exactly how much value was added via tax harvesting versus market alpha.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Testing Strategy for Phase 5</w:t>
      </w:r>
    </w:p>
    <w:p>
      <w:pPr>
        <w:pStyle w:val="Default"/>
        <w:numPr>
          <w:ilvl w:val="0"/>
          <w:numId w:val="11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Tamper-Resistance Test:</w:t>
      </w:r>
      <w:r>
        <w:rPr>
          <w:sz w:val="26"/>
          <w:szCs w:val="26"/>
          <w:rtl w:val="0"/>
          <w:lang w:val="en-US"/>
        </w:rPr>
        <w:t xml:space="preserve"> Attempt to manually alter a historical decision in the audit log and verify that the Merkle tree hash chain breaks, triggering a high-priority governance alert.</w:t>
      </w:r>
      <w:r>
        <w:rPr>
          <w:sz w:val="26"/>
          <w:szCs w:val="26"/>
        </w:rPr>
        <w:br w:type="textWrapping"/>
      </w:r>
      <w:r>
        <w:rPr>
          <w:b w:val="1"/>
          <w:bCs w:val="1"/>
          <w:sz w:val="26"/>
          <w:szCs w:val="26"/>
          <w:rtl w:val="0"/>
          <w:lang w:val="en-US"/>
        </w:rPr>
        <w:t>Regulatory Veto Test:</w:t>
      </w:r>
      <w:r>
        <w:rPr>
          <w:sz w:val="26"/>
          <w:szCs w:val="26"/>
          <w:rtl w:val="0"/>
          <w:lang w:val="en-US"/>
        </w:rPr>
        <w:t xml:space="preserve"> Feed the system a trade for a stock on the "Restricted List." Verify that the Compliance Engine blocks the trade before it ever reaches the execution layer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XAI Accuracy Audit:</w:t>
      </w:r>
      <w:r>
        <w:rPr>
          <w:sz w:val="26"/>
          <w:szCs w:val="26"/>
          <w:rtl w:val="0"/>
          <w:lang w:val="en-US"/>
        </w:rPr>
        <w:t xml:space="preserve"> Compare the technical "Rationale" field from the AgentOutput with the "Plain-English" narrative generated for the client to ensure no loss of critical meaning+1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Goal "Fan" Validation:</w:t>
      </w:r>
      <w:r>
        <w:rPr>
          <w:sz w:val="26"/>
          <w:szCs w:val="26"/>
          <w:rtl w:val="0"/>
          <w:lang w:val="en-US"/>
        </w:rPr>
        <w:t xml:space="preserve"> Stress test the Monte Carlo engine with extreme market inputs to ensure the "Growth" goal probability accurately reflects the current regime uncertainty.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The Final Step: The System "Always-On" Loop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We have now deep-dived through all the modular tasks. The final integration point is the </w:t>
      </w:r>
      <w:r>
        <w:rPr>
          <w:b w:val="1"/>
          <w:bCs w:val="1"/>
          <w:sz w:val="26"/>
          <w:szCs w:val="26"/>
          <w:rtl w:val="0"/>
          <w:lang w:val="en-US"/>
        </w:rPr>
        <w:t>Continuous Mandate</w:t>
      </w:r>
      <w:r>
        <w:rPr>
          <w:sz w:val="26"/>
          <w:szCs w:val="26"/>
          <w:rtl w:val="0"/>
          <w:lang w:val="en-US"/>
        </w:rPr>
        <w:t xml:space="preserve"> (Section 3.3). This is the "heartbeat" of QA-1 that monitors drift at every market update, detects regime changes, and initiates autonomous Tier 1 or Tier 2 actions without you having to lift a finger.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  <w:tab w:val="left" w:pos="9520"/>
          </w:tabs>
          <w:ind w:left="809" w:hanging="809"/>
        </w:pPr>
        <w:rPr>
          <w:rFonts w:ascii="Menlo Regular" w:cs="Menlo Regular" w:hAnsi="Menlo Regular" w:eastAsia="Menlo Regula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