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6.png" ContentType="image/png"/>
  <Override PartName="/word/media/rId104.png" ContentType="image/png"/>
  <Override PartName="/word/media/rId85.png" ContentType="image/png"/>
  <Override PartName="/word/media/rId10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t xml:space="preserve">AD Connect Identity Synchronisation</w:t>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3">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drawing>
          <wp:inline>
            <wp:extent cx="5791200" cy="1131613"/>
            <wp:effectExtent b="0" l="0" r="0" t="0"/>
            <wp:docPr descr="User Provisioning Workflow" title="" id="1" name="Picture"/>
            <a:graphic>
              <a:graphicData uri="http://schemas.openxmlformats.org/drawingml/2006/picture">
                <pic:pic>
                  <pic:nvPicPr>
                    <pic:cNvPr descr="./assets/images/platform-user-provisioning-workflow.png" id="0" name="Picture"/>
                    <pic:cNvPicPr>
                      <a:picLocks noChangeArrowheads="1" noChangeAspect="1"/>
                    </pic:cNvPicPr>
                  </pic:nvPicPr>
                  <pic:blipFill>
                    <a:blip r:embed="rId34"/>
                    <a:stretch>
                      <a:fillRect/>
                    </a:stretch>
                  </pic:blipFill>
                  <pic:spPr bwMode="auto">
                    <a:xfrm>
                      <a:off x="0" y="0"/>
                      <a:ext cx="5791200" cy="1131613"/>
                    </a:xfrm>
                    <a:prstGeom prst="rect">
                      <a:avLst/>
                    </a:prstGeom>
                    <a:noFill/>
                    <a:ln w="9525">
                      <a:noFill/>
                      <a:headEnd/>
                      <a:tailEnd/>
                    </a:ln>
                  </pic:spPr>
                </pic:pic>
              </a:graphicData>
            </a:graphic>
          </wp:inline>
        </w:drawing>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5" w:name="authentication-method"/>
      <w:r>
        <w:t xml:space="preserve">Authentication Method</w:t>
      </w:r>
      <w:bookmarkEnd w:id="35"/>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drawing>
          <wp:inline>
            <wp:extent cx="5791200" cy="2667575"/>
            <wp:effectExtent b="0" l="0" r="0" t="0"/>
            <wp:docPr descr="Authentication Architecture" title="" id="1" name="Picture"/>
            <a:graphic>
              <a:graphicData uri="http://schemas.openxmlformats.org/drawingml/2006/picture">
                <pic:pic>
                  <pic:nvPicPr>
                    <pic:cNvPr descr="./assets/images/platform-authentication-architecture.png" id="0" name="Picture"/>
                    <pic:cNvPicPr>
                      <a:picLocks noChangeArrowheads="1" noChangeAspect="1"/>
                    </pic:cNvPicPr>
                  </pic:nvPicPr>
                  <pic:blipFill>
                    <a:blip r:embed="rId36"/>
                    <a:stretch>
                      <a:fillRect/>
                    </a:stretch>
                  </pic:blipFill>
                  <pic:spPr bwMode="auto">
                    <a:xfrm>
                      <a:off x="0" y="0"/>
                      <a:ext cx="5791200" cy="2667575"/>
                    </a:xfrm>
                    <a:prstGeom prst="rect">
                      <a:avLst/>
                    </a:prstGeom>
                    <a:noFill/>
                    <a:ln w="9525">
                      <a:noFill/>
                      <a:headEnd/>
                      <a:tailEnd/>
                    </a:ln>
                  </pic:spPr>
                </pic:pic>
              </a:graphicData>
            </a:graphic>
          </wp:inline>
        </w:drawing>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7" w:name="security"/>
      <w:r>
        <w:t xml:space="preserve">Security</w:t>
      </w:r>
      <w:bookmarkEnd w:id="37"/>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Pr>
      <w:r>
        <w:t xml:space="preserve">Secure the Platform – Microsoft Azure and Office 365, through their features and products to enable security in depth.</w:t>
      </w:r>
    </w:p>
    <w:p>
      <w:pPr>
        <w:numPr>
          <w:ilvl w:val="0"/>
          <w:numId w:val="1015"/>
        </w:numPr>
      </w:pPr>
      <w:r>
        <w:t xml:space="preserve">Provide Risk Assessments – Azure Identity Protection, Azure ATP and Microsoft Defender ATP utilise analytics and machine learning to detect and flag unusual/risky behaviour.</w:t>
      </w:r>
    </w:p>
    <w:p>
      <w:pPr>
        <w:numPr>
          <w:ilvl w:val="0"/>
          <w:numId w:val="1015"/>
        </w:numPr>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Pr>
      <w:r>
        <w:t xml:space="preserve">Control Data Exfiltration –Data Loss Prevention policies and MCAS session policies control the flow and protection of information inside and outside of the environment.</w:t>
      </w:r>
    </w:p>
    <w:p>
      <w:pPr>
        <w:pStyle w:val="Heading3"/>
      </w:pPr>
      <w:bookmarkStart w:id="38" w:name="microsoft-cloud-app-security"/>
      <w:r>
        <w:t xml:space="preserve">Microsoft Cloud App Security</w:t>
      </w:r>
      <w:bookmarkEnd w:id="38"/>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39">
        <w:r>
          <w:rPr>
            <w:rStyle w:val="Hyperlink"/>
          </w:rPr>
          <w:t xml:space="preserve">cloud app security framework</w:t>
        </w:r>
      </w:hyperlink>
      <w:r>
        <w:t xml:space="preserve"> </w:t>
      </w:r>
      <w:r>
        <w:t xml:space="preserve">which MCAS implements:</w:t>
      </w:r>
    </w:p>
    <w:p>
      <w:pPr>
        <w:numPr>
          <w:ilvl w:val="0"/>
          <w:numId w:val="1016"/>
        </w:numPr>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40" w:name="product-architecture"/>
      <w:r>
        <w:t xml:space="preserve">Product Architecture</w:t>
      </w:r>
      <w:bookmarkEnd w:id="40"/>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41">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2" w:name="data-location"/>
      <w:r>
        <w:t xml:space="preserve">Data Location</w:t>
      </w:r>
      <w:bookmarkEnd w:id="42"/>
    </w:p>
    <w:p>
      <w:pPr>
        <w:pStyle w:val="FirstParagraph"/>
      </w:pPr>
      <w:r>
        <w:t xml:space="preserve">At the time of writing MCAS is hosted from Azure data centres in the United States (US) and Europe (</w:t>
      </w:r>
      <w:hyperlink r:id="rId43">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4" w:name="data-retention"/>
      <w:r>
        <w:t xml:space="preserve">Data Retention</w:t>
      </w:r>
      <w:bookmarkEnd w:id="44"/>
    </w:p>
    <w:p>
      <w:pPr>
        <w:pStyle w:val="FirstParagraph"/>
      </w:pPr>
      <w:r>
        <w:t xml:space="preserve">The data retention period for information stored within MCAS varies depending on the specific type of data. The</w:t>
      </w:r>
      <w:r>
        <w:t xml:space="preserve"> </w:t>
      </w:r>
      <w:hyperlink r:id="rId45">
        <w:r>
          <w:rPr>
            <w:rStyle w:val="Hyperlink"/>
          </w:rPr>
          <w:t xml:space="preserve">four data types</w:t>
        </w:r>
      </w:hyperlink>
      <w:r>
        <w:t xml:space="preserve"> </w:t>
      </w:r>
      <w:r>
        <w:t xml:space="preserve">and their respective periods are listed below:</w:t>
      </w:r>
    </w:p>
    <w:p>
      <w:pPr>
        <w:numPr>
          <w:ilvl w:val="0"/>
          <w:numId w:val="1017"/>
        </w:numPr>
      </w:pPr>
      <w:r>
        <w:t xml:space="preserve">Activity log – 180 days</w:t>
      </w:r>
    </w:p>
    <w:p>
      <w:pPr>
        <w:numPr>
          <w:ilvl w:val="0"/>
          <w:numId w:val="1017"/>
        </w:numPr>
      </w:pPr>
      <w:r>
        <w:t xml:space="preserve">Discovery data – 90 days</w:t>
      </w:r>
    </w:p>
    <w:p>
      <w:pPr>
        <w:numPr>
          <w:ilvl w:val="0"/>
          <w:numId w:val="1017"/>
        </w:numPr>
      </w:pPr>
      <w:r>
        <w:t xml:space="preserve">Alerts – 180 days</w:t>
      </w:r>
    </w:p>
    <w:p>
      <w:pPr>
        <w:numPr>
          <w:ilvl w:val="0"/>
          <w:numId w:val="1017"/>
        </w:numPr>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6" w:name="administration"/>
      <w:r>
        <w:t xml:space="preserve">Administration</w:t>
      </w:r>
      <w:bookmarkEnd w:id="46"/>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7">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8" w:name="mcas---cloud-discovery"/>
      <w:r>
        <w:t xml:space="preserve">MCAS - Cloud Discovery</w:t>
      </w:r>
      <w:bookmarkEnd w:id="48"/>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Pr>
      <w:r>
        <w:t xml:space="preserve">Snapshot reports – generated by manually uploading a log export from a proxy or firewall device, provides on demand analysis at the time the log is uploaded.</w:t>
      </w:r>
    </w:p>
    <w:p>
      <w:pPr>
        <w:numPr>
          <w:ilvl w:val="0"/>
          <w:numId w:val="1018"/>
        </w:numPr>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49">
        <w:r>
          <w:rPr>
            <w:rStyle w:val="Hyperlink"/>
          </w:rPr>
          <w:t xml:space="preserve">automated log upload capabilities</w:t>
        </w:r>
      </w:hyperlink>
      <w:r>
        <w:t xml:space="preserve">:</w:t>
      </w:r>
    </w:p>
    <w:p>
      <w:pPr>
        <w:numPr>
          <w:ilvl w:val="0"/>
          <w:numId w:val="1019"/>
        </w:numPr>
      </w:pPr>
      <w:r>
        <w:t xml:space="preserve">Log collector – centralisation of logs from one or more proxy or firewall devices to a Docker-powered collector using Syslog and/or File Transfer Protocol (FTP).</w:t>
      </w:r>
    </w:p>
    <w:p>
      <w:pPr>
        <w:numPr>
          <w:ilvl w:val="0"/>
          <w:numId w:val="1019"/>
        </w:numPr>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50">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51" w:name="mcas---log-collector"/>
      <w:r>
        <w:t xml:space="preserve">MCAS - Log Collector</w:t>
      </w:r>
      <w:bookmarkEnd w:id="51"/>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2">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Pr>
      <w:r>
        <w:t xml:space="preserve">Docker container – a Microsoft-provided Docker image for both Windows and Linux operating systems.</w:t>
      </w:r>
    </w:p>
    <w:p>
      <w:pPr>
        <w:numPr>
          <w:ilvl w:val="0"/>
          <w:numId w:val="1020"/>
        </w:numPr>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3" w:name="Xdbaed4e8c0af70f132bc7c6ea79784f8af3fe78"/>
      <w:r>
        <w:t xml:space="preserve">MCAS - Microsoft Defender ATP Integration</w:t>
      </w:r>
      <w:bookmarkEnd w:id="53"/>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4">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5" w:name="mcas---cloud-discovery-enrichment"/>
      <w:r>
        <w:t xml:space="preserve">MCAS - Cloud Discovery Enrichment</w:t>
      </w:r>
      <w:bookmarkEnd w:id="55"/>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6" w:name="mcas---user-data-anonymisation"/>
      <w:r>
        <w:t xml:space="preserve">MCAS - User Data Anonymisation</w:t>
      </w:r>
      <w:bookmarkEnd w:id="56"/>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7" w:name="mcas---custom-apps"/>
      <w:r>
        <w:t xml:space="preserve">MCAS - Custom Apps</w:t>
      </w:r>
      <w:bookmarkEnd w:id="57"/>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8" w:name="mcas---app-filters-and-queries"/>
      <w:r>
        <w:t xml:space="preserve">MCAS - App Filters and Queries</w:t>
      </w:r>
      <w:bookmarkEnd w:id="58"/>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59" w:name="mcas---app-connectors"/>
      <w:r>
        <w:t xml:space="preserve">MCAS - App Connectors</w:t>
      </w:r>
      <w:bookmarkEnd w:id="59"/>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60">
        <w:r>
          <w:rPr>
            <w:rStyle w:val="Hyperlink"/>
          </w:rPr>
          <w:t xml:space="preserve">available in MCAS</w:t>
        </w:r>
      </w:hyperlink>
      <w:r>
        <w:t xml:space="preserve">:</w:t>
      </w:r>
    </w:p>
    <w:p>
      <w:pPr>
        <w:numPr>
          <w:ilvl w:val="0"/>
          <w:numId w:val="1021"/>
        </w:numPr>
      </w:pPr>
      <w:r>
        <w:t xml:space="preserve">Azure</w:t>
      </w:r>
    </w:p>
    <w:p>
      <w:pPr>
        <w:numPr>
          <w:ilvl w:val="0"/>
          <w:numId w:val="1021"/>
        </w:numPr>
      </w:pPr>
      <w:r>
        <w:t xml:space="preserve">Amazon Web Services (AWS)</w:t>
      </w:r>
    </w:p>
    <w:p>
      <w:pPr>
        <w:numPr>
          <w:ilvl w:val="0"/>
          <w:numId w:val="1021"/>
        </w:numPr>
      </w:pPr>
      <w:r>
        <w:t xml:space="preserve">Box</w:t>
      </w:r>
    </w:p>
    <w:p>
      <w:pPr>
        <w:numPr>
          <w:ilvl w:val="0"/>
          <w:numId w:val="1021"/>
        </w:numPr>
      </w:pPr>
      <w:r>
        <w:t xml:space="preserve">Dropbox</w:t>
      </w:r>
    </w:p>
    <w:p>
      <w:pPr>
        <w:numPr>
          <w:ilvl w:val="0"/>
          <w:numId w:val="1021"/>
        </w:numPr>
      </w:pPr>
      <w:r>
        <w:t xml:space="preserve">G Suite</w:t>
      </w:r>
    </w:p>
    <w:p>
      <w:pPr>
        <w:numPr>
          <w:ilvl w:val="0"/>
          <w:numId w:val="1021"/>
        </w:numPr>
      </w:pPr>
      <w:r>
        <w:t xml:space="preserve">Google Cloud Platform (GCP)</w:t>
      </w:r>
    </w:p>
    <w:p>
      <w:pPr>
        <w:numPr>
          <w:ilvl w:val="0"/>
          <w:numId w:val="1021"/>
        </w:numPr>
      </w:pPr>
      <w:r>
        <w:t xml:space="preserve">Office 365</w:t>
      </w:r>
    </w:p>
    <w:p>
      <w:pPr>
        <w:numPr>
          <w:ilvl w:val="0"/>
          <w:numId w:val="1021"/>
        </w:numPr>
      </w:pPr>
      <w:r>
        <w:t xml:space="preserve">Okta</w:t>
      </w:r>
    </w:p>
    <w:p>
      <w:pPr>
        <w:numPr>
          <w:ilvl w:val="0"/>
          <w:numId w:val="1021"/>
        </w:numPr>
      </w:pPr>
      <w:r>
        <w:t xml:space="preserve">Salesforce</w:t>
      </w:r>
    </w:p>
    <w:p>
      <w:pPr>
        <w:numPr>
          <w:ilvl w:val="0"/>
          <w:numId w:val="1021"/>
        </w:numPr>
      </w:pPr>
      <w:r>
        <w:t xml:space="preserve">ServiceNow</w:t>
      </w:r>
    </w:p>
    <w:p>
      <w:pPr>
        <w:numPr>
          <w:ilvl w:val="0"/>
          <w:numId w:val="1021"/>
        </w:numPr>
      </w:pPr>
      <w:r>
        <w:t xml:space="preserve">WebEx</w:t>
      </w:r>
    </w:p>
    <w:p>
      <w:pPr>
        <w:numPr>
          <w:ilvl w:val="0"/>
          <w:numId w:val="1021"/>
        </w:numPr>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61" w:name="mcas---office-365"/>
      <w:r>
        <w:t xml:space="preserve">MCAS - Office 365</w:t>
      </w:r>
      <w:bookmarkEnd w:id="61"/>
    </w:p>
    <w:p>
      <w:pPr>
        <w:pStyle w:val="FirstParagraph"/>
      </w:pPr>
      <w:r>
        <w:t xml:space="preserve">At the time of writing, the Office 365 app connector supports the following</w:t>
      </w:r>
      <w:r>
        <w:t xml:space="preserve"> </w:t>
      </w:r>
      <w:hyperlink r:id="rId62">
        <w:r>
          <w:rPr>
            <w:rStyle w:val="Hyperlink"/>
          </w:rPr>
          <w:t xml:space="preserve">Office 365 apps</w:t>
        </w:r>
      </w:hyperlink>
      <w:r>
        <w:t xml:space="preserve">:</w:t>
      </w:r>
    </w:p>
    <w:p>
      <w:pPr>
        <w:numPr>
          <w:ilvl w:val="0"/>
          <w:numId w:val="1022"/>
        </w:numPr>
      </w:pPr>
      <w:r>
        <w:t xml:space="preserve">Office 365</w:t>
      </w:r>
    </w:p>
    <w:p>
      <w:pPr>
        <w:numPr>
          <w:ilvl w:val="0"/>
          <w:numId w:val="1022"/>
        </w:numPr>
      </w:pPr>
      <w:r>
        <w:t xml:space="preserve">Dynamics 365 CRM</w:t>
      </w:r>
    </w:p>
    <w:p>
      <w:pPr>
        <w:numPr>
          <w:ilvl w:val="0"/>
          <w:numId w:val="1022"/>
        </w:numPr>
      </w:pPr>
      <w:r>
        <w:t xml:space="preserve">Exchange</w:t>
      </w:r>
    </w:p>
    <w:p>
      <w:pPr>
        <w:numPr>
          <w:ilvl w:val="0"/>
          <w:numId w:val="1022"/>
        </w:numPr>
      </w:pPr>
      <w:r>
        <w:t xml:space="preserve">OneDrive</w:t>
      </w:r>
    </w:p>
    <w:p>
      <w:pPr>
        <w:numPr>
          <w:ilvl w:val="0"/>
          <w:numId w:val="1022"/>
        </w:numPr>
      </w:pPr>
      <w:r>
        <w:t xml:space="preserve">Power BI</w:t>
      </w:r>
    </w:p>
    <w:p>
      <w:pPr>
        <w:numPr>
          <w:ilvl w:val="0"/>
          <w:numId w:val="1022"/>
        </w:numPr>
      </w:pPr>
      <w:r>
        <w:t xml:space="preserve">SharePoint</w:t>
      </w:r>
    </w:p>
    <w:p>
      <w:pPr>
        <w:numPr>
          <w:ilvl w:val="0"/>
          <w:numId w:val="1022"/>
        </w:numPr>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3" w:name="mcas---policies"/>
      <w:r>
        <w:t xml:space="preserve">MCAS - Policies</w:t>
      </w:r>
      <w:bookmarkEnd w:id="63"/>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Pr>
      <w:r>
        <w:t xml:space="preserve">Access policies – providing real-time monitoring and control of user logins to identified cloud apps.</w:t>
      </w:r>
    </w:p>
    <w:p>
      <w:pPr>
        <w:numPr>
          <w:ilvl w:val="0"/>
          <w:numId w:val="1023"/>
        </w:numPr>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Pr>
      <w:r>
        <w:t xml:space="preserve">Anomaly detection policy – detecting anomalous activities within connected cloud apps based on specific risk factors compared with a pre-determined baseline.</w:t>
      </w:r>
    </w:p>
    <w:p>
      <w:pPr>
        <w:numPr>
          <w:ilvl w:val="0"/>
          <w:numId w:val="1023"/>
        </w:numPr>
      </w:pPr>
      <w:r>
        <w:t xml:space="preserve">App discovery policy – detecting new (unsanctioned) cloud apps and provides associated alerts.</w:t>
      </w:r>
    </w:p>
    <w:p>
      <w:pPr>
        <w:numPr>
          <w:ilvl w:val="0"/>
          <w:numId w:val="1023"/>
        </w:numPr>
      </w:pPr>
      <w:r>
        <w:t xml:space="preserve">Cloud Discovery anomaly detection policy – reviewing the logs provided to Cloud Discovery specifically (as previously described) to detect anomalous behaviour.</w:t>
      </w:r>
    </w:p>
    <w:p>
      <w:pPr>
        <w:numPr>
          <w:ilvl w:val="0"/>
          <w:numId w:val="1023"/>
        </w:numPr>
      </w:pPr>
      <w:r>
        <w:t xml:space="preserve">File policy – enabling scanning of connected cloud apps to detect and apply restrictions to specific sensitive files and content.</w:t>
      </w:r>
    </w:p>
    <w:p>
      <w:pPr>
        <w:numPr>
          <w:ilvl w:val="0"/>
          <w:numId w:val="1023"/>
        </w:numPr>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4" w:name="mcas---threat-protection"/>
      <w:r>
        <w:t xml:space="preserve">MCAS - Threat Protection</w:t>
      </w:r>
      <w:bookmarkEnd w:id="64"/>
    </w:p>
    <w:p>
      <w:pPr>
        <w:pStyle w:val="FirstParagraph"/>
      </w:pPr>
      <w:r>
        <w:t xml:space="preserve">The MCAS Threat Protection design decisions can be found below. Threat Protection components include Azure Advanced Threat Protection.</w:t>
      </w:r>
    </w:p>
    <w:p>
      <w:pPr>
        <w:pStyle w:val="Heading3"/>
      </w:pPr>
      <w:bookmarkStart w:id="65" w:name="Xc6a877efcd2ee4fb125eb098006e0703697ca70"/>
      <w:r>
        <w:t xml:space="preserve">MCAS – Azure Advanced Threat Protection Integration</w:t>
      </w:r>
      <w:bookmarkEnd w:id="65"/>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6" w:name="mcas---information-protection"/>
      <w:r>
        <w:t xml:space="preserve">MCAS - Information Protection</w:t>
      </w:r>
      <w:bookmarkEnd w:id="66"/>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7" w:name="mcas---admin-quarantine"/>
      <w:r>
        <w:t xml:space="preserve">MCAS - Admin Quarantine</w:t>
      </w:r>
      <w:bookmarkEnd w:id="67"/>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8" w:name="mcas---azure-information-protection"/>
      <w:r>
        <w:t xml:space="preserve">MCAS - Azure Information Protection</w:t>
      </w:r>
      <w:bookmarkEnd w:id="68"/>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69" w:name="mcas---azure-security"/>
      <w:r>
        <w:t xml:space="preserve">MCAS - Azure Security</w:t>
      </w:r>
      <w:bookmarkEnd w:id="69"/>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70" w:name="mcas---files"/>
      <w:r>
        <w:t xml:space="preserve">MCAS - Files</w:t>
      </w:r>
      <w:bookmarkEnd w:id="70"/>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71" w:name="X484d0c65727f2fc68253b6f3618e612c95150d4"/>
      <w:r>
        <w:t xml:space="preserve">MCAS - Conditional Access App Control Protection</w:t>
      </w:r>
      <w:bookmarkEnd w:id="71"/>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Pr>
      <w:r>
        <w:t xml:space="preserve">Prevent data exfiltration – block copy and cut clipboard actions, printing and downloading of sensitive information and documents.</w:t>
      </w:r>
    </w:p>
    <w:p>
      <w:pPr>
        <w:numPr>
          <w:ilvl w:val="0"/>
          <w:numId w:val="1024"/>
        </w:numPr>
      </w:pPr>
      <w:r>
        <w:t xml:space="preserve">Protect on download – allows sensitive documents to be downloaded by leveraging AIP applies a classification label and protection to it.</w:t>
      </w:r>
    </w:p>
    <w:p>
      <w:pPr>
        <w:numPr>
          <w:ilvl w:val="0"/>
          <w:numId w:val="1024"/>
        </w:numPr>
      </w:pPr>
      <w:r>
        <w:t xml:space="preserve">Prevent upload of unlabelled files – blocks documents from being uploaded until a user applies an AIP label to them based on the sensitivity of the information they contain.</w:t>
      </w:r>
    </w:p>
    <w:p>
      <w:pPr>
        <w:numPr>
          <w:ilvl w:val="0"/>
          <w:numId w:val="1024"/>
        </w:numPr>
      </w:pPr>
      <w:r>
        <w:t xml:space="preserve">Monitor user sessions for compliance – identify risky users based on their behaviour during a session.</w:t>
      </w:r>
    </w:p>
    <w:p>
      <w:pPr>
        <w:numPr>
          <w:ilvl w:val="0"/>
          <w:numId w:val="1024"/>
        </w:numPr>
      </w:pPr>
      <w:r>
        <w:t xml:space="preserve">Block access – based on specific risk factors can prevent users and/or devices from accessing specific resources across one or all connected apps.</w:t>
      </w:r>
    </w:p>
    <w:p>
      <w:pPr>
        <w:numPr>
          <w:ilvl w:val="0"/>
          <w:numId w:val="1024"/>
        </w:numPr>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2" w:name="mcas---default-behaviour"/>
      <w:r>
        <w:t xml:space="preserve">MCAS - Default Behaviour</w:t>
      </w:r>
      <w:bookmarkEnd w:id="72"/>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3" w:name="mcas---user-monitoring"/>
      <w:r>
        <w:t xml:space="preserve">MCAS - User Monitoring</w:t>
      </w:r>
      <w:bookmarkEnd w:id="73"/>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4" w:name="mcas---device-identification"/>
      <w:r>
        <w:t xml:space="preserve">MCAS - Device Identification</w:t>
      </w:r>
      <w:bookmarkEnd w:id="74"/>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Pr>
      <w:r>
        <w:t xml:space="preserve">Microsoft Intune (specifically devices that are identified as Compliant).</w:t>
      </w:r>
    </w:p>
    <w:p>
      <w:pPr>
        <w:numPr>
          <w:ilvl w:val="0"/>
          <w:numId w:val="1025"/>
        </w:numPr>
      </w:pPr>
      <w:r>
        <w:t xml:space="preserve">Hybrid Azure AD joined devices.</w:t>
      </w:r>
    </w:p>
    <w:p>
      <w:pPr>
        <w:numPr>
          <w:ilvl w:val="0"/>
          <w:numId w:val="1025"/>
        </w:numPr>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5" w:name="mcas---app-onboardingmaintenance"/>
      <w:r>
        <w:t xml:space="preserve">MCAS - App Onboarding/Maintenance</w:t>
      </w:r>
      <w:bookmarkEnd w:id="75"/>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6" w:name="mcas---security-extensions"/>
      <w:r>
        <w:t xml:space="preserve">MCAS - Security Extensions</w:t>
      </w:r>
      <w:bookmarkEnd w:id="76"/>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Pr>
      <w:r>
        <w:t xml:space="preserve">API tokens – to provide access to MCAS Representational State Transfer (REST) API endpoints for read and update operations.</w:t>
      </w:r>
    </w:p>
    <w:p>
      <w:pPr>
        <w:numPr>
          <w:ilvl w:val="0"/>
          <w:numId w:val="1026"/>
        </w:numPr>
      </w:pPr>
      <w:r>
        <w:t xml:space="preserve">SIEM agents – to centralise alerts and activities from MCAS to a SIEM.</w:t>
      </w:r>
    </w:p>
    <w:p>
      <w:pPr>
        <w:numPr>
          <w:ilvl w:val="0"/>
          <w:numId w:val="1026"/>
        </w:numPr>
      </w:pPr>
      <w:r>
        <w:t xml:space="preserve">External Data Loss Prevention (DLP) – to connect MCAS to external DLP solutions.</w:t>
      </w:r>
    </w:p>
    <w:p>
      <w:pPr>
        <w:numPr>
          <w:ilvl w:val="0"/>
          <w:numId w:val="1026"/>
        </w:numPr>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7" w:name="mcas---api-tokens"/>
      <w:r>
        <w:t xml:space="preserve">MCAS - API Tokens</w:t>
      </w:r>
      <w:bookmarkEnd w:id="77"/>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8" w:name="mcas---siem-agents"/>
      <w:r>
        <w:t xml:space="preserve">MCAS - SIEM Agents</w:t>
      </w:r>
      <w:bookmarkEnd w:id="78"/>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79">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80" w:name="mcas---external-data-loss-prevention-dlp"/>
      <w:r>
        <w:t xml:space="preserve">MCAS - External Data Loss Prevention (DLP)</w:t>
      </w:r>
      <w:bookmarkEnd w:id="80"/>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81" w:name="mcas---playbooks"/>
      <w:r>
        <w:t xml:space="preserve">MCAS - Playbooks</w:t>
      </w:r>
      <w:bookmarkEnd w:id="81"/>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2" w:name="mcas---firewall"/>
      <w:r>
        <w:t xml:space="preserve">MCAS - Firewall</w:t>
      </w:r>
      <w:bookmarkEnd w:id="82"/>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3" w:name="azure-advanced-threat-protection"/>
      <w:r>
        <w:t xml:space="preserve">Azure Advanced Threat Protection</w:t>
      </w:r>
      <w:bookmarkEnd w:id="83"/>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Pr>
      <w:r>
        <w:t xml:space="preserve">Azure ATP cloud service – Is hosted on Azure infrastructure and at time of writing Azure ATP cloud service is deployed in the US, Europe, and Asia data centres.</w:t>
      </w:r>
    </w:p>
    <w:p>
      <w:pPr>
        <w:numPr>
          <w:ilvl w:val="0"/>
          <w:numId w:val="1027"/>
        </w:numPr>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4">
        <w:r>
          <w:rPr>
            <w:rStyle w:val="Hyperlink"/>
          </w:rPr>
          <w:t xml:space="preserve">https://docs.microsoft.com/en-us/azure-advanced-threat-protection/atp-prerequisites</w:t>
        </w:r>
      </w:hyperlink>
    </w:p>
    <w:p>
      <w:pPr>
        <w:pStyle w:val="CaptionedFigure"/>
      </w:pPr>
      <w:r>
        <w:drawing>
          <wp:inline>
            <wp:extent cx="5791200" cy="3362026"/>
            <wp:effectExtent b="0" l="0" r="0" t="0"/>
            <wp:docPr descr="Figure 7 - Azure ATP Architecture" title="" id="1" name="Picture"/>
            <a:graphic>
              <a:graphicData uri="http://schemas.openxmlformats.org/drawingml/2006/picture">
                <pic:pic>
                  <pic:nvPicPr>
                    <pic:cNvPr descr="./assets/images/platform-azure-atp.png" id="0" name="Picture"/>
                    <pic:cNvPicPr>
                      <a:picLocks noChangeArrowheads="1" noChangeAspect="1"/>
                    </pic:cNvPicPr>
                  </pic:nvPicPr>
                  <pic:blipFill>
                    <a:blip r:embed="rId85"/>
                    <a:stretch>
                      <a:fillRect/>
                    </a:stretch>
                  </pic:blipFill>
                  <pic:spPr bwMode="auto">
                    <a:xfrm>
                      <a:off x="0" y="0"/>
                      <a:ext cx="5791200" cy="3362026"/>
                    </a:xfrm>
                    <a:prstGeom prst="rect">
                      <a:avLst/>
                    </a:prstGeom>
                    <a:noFill/>
                    <a:ln w="9525">
                      <a:noFill/>
                      <a:headEnd/>
                      <a:tailEnd/>
                    </a:ln>
                  </pic:spPr>
                </pic:pic>
              </a:graphicData>
            </a:graphic>
          </wp:inline>
        </w:drawing>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Pr>
      <w:r>
        <w:t xml:space="preserve">NTLM over RPC (TCP Port 135).</w:t>
      </w:r>
    </w:p>
    <w:p>
      <w:pPr>
        <w:numPr>
          <w:ilvl w:val="0"/>
          <w:numId w:val="1028"/>
        </w:numPr>
      </w:pPr>
      <w:r>
        <w:t xml:space="preserve">NetBIOS (UDP port 137).</w:t>
      </w:r>
    </w:p>
    <w:p>
      <w:pPr>
        <w:numPr>
          <w:ilvl w:val="0"/>
          <w:numId w:val="1028"/>
        </w:numPr>
      </w:pPr>
      <w:r>
        <w:t xml:space="preserve">RDP (TCP port 3389) – only the first packet of Client hello.</w:t>
      </w:r>
    </w:p>
    <w:p>
      <w:pPr>
        <w:numPr>
          <w:ilvl w:val="0"/>
          <w:numId w:val="1028"/>
        </w:numPr>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6">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4">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7">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8" w:name="azure-atp-role-groups"/>
      <w:r>
        <w:t xml:space="preserve">Azure ATP – Role Groups</w:t>
      </w:r>
      <w:bookmarkEnd w:id="88"/>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Pr>
      <w:r>
        <w:t xml:space="preserve">Azure ATP {Instance Name} Administrators – Provides full administrative access to the specific Azure ATP instance including all configuration settings.</w:t>
      </w:r>
    </w:p>
    <w:p>
      <w:pPr>
        <w:numPr>
          <w:ilvl w:val="0"/>
          <w:numId w:val="1029"/>
        </w:numPr>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89" w:name="azure-atp-notifications"/>
      <w:r>
        <w:t xml:space="preserve">Azure ATP – Notifications</w:t>
      </w:r>
      <w:bookmarkEnd w:id="89"/>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Pr>
      <w:r>
        <w:t xml:space="preserve">Fully Qualified Domain Name (FQDN) / Internet Protocol (IP) address.</w:t>
      </w:r>
    </w:p>
    <w:p>
      <w:pPr>
        <w:numPr>
          <w:ilvl w:val="0"/>
          <w:numId w:val="1030"/>
        </w:numPr>
      </w:pPr>
      <w:r>
        <w:t xml:space="preserve">Port that that SIEM is listening on for syslog alerts.</w:t>
      </w:r>
    </w:p>
    <w:p>
      <w:pPr>
        <w:numPr>
          <w:ilvl w:val="0"/>
          <w:numId w:val="1030"/>
        </w:numPr>
      </w:pPr>
      <w:r>
        <w:t xml:space="preserve">Transport protocol, either Transport Control Protocol (TCP), User Datagram Protocol (UDP) or Transport Layer Security (TLS) / Secured Syslog.</w:t>
      </w:r>
    </w:p>
    <w:p>
      <w:pPr>
        <w:numPr>
          <w:ilvl w:val="0"/>
          <w:numId w:val="1030"/>
        </w:numPr>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90" w:name="azure-atp-integration-with-defender-atp"/>
      <w:r>
        <w:t xml:space="preserve">Azure ATP – Integration with Defender ATP</w:t>
      </w:r>
      <w:bookmarkEnd w:id="90"/>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1" w:name="azure-atp-firewall"/>
      <w:r>
        <w:t xml:space="preserve">Azure ATP – Firewall</w:t>
      </w:r>
      <w:bookmarkEnd w:id="91"/>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92">
        <w:r>
          <w:rPr>
            <w:rStyle w:val="Hyperlink"/>
          </w:rPr>
          <w:t xml:space="preserve">Azure ATP Configure Proxy</w:t>
        </w:r>
      </w:hyperlink>
      <w:r>
        <w:t xml:space="preserve">,</w:t>
      </w:r>
      <w:r>
        <w:t xml:space="preserve"> </w:t>
      </w:r>
      <w:hyperlink r:id="rId84">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3" w:name="azure-atp-integration-with-mcas"/>
      <w:r>
        <w:t xml:space="preserve">Azure ATP – Integration with MCAS</w:t>
      </w:r>
      <w:bookmarkEnd w:id="93"/>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Pr>
      <w:r>
        <w:t xml:space="preserve">Alerts – MCAS can display Azure ATP alerts within the Alerts queue. MCAS also provides additional alert filtering not available within Azure ATP.</w:t>
      </w:r>
    </w:p>
    <w:p>
      <w:pPr>
        <w:numPr>
          <w:ilvl w:val="0"/>
          <w:numId w:val="1032"/>
        </w:numPr>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4" w:name="Xc4a54b8842e0efc7d6264d523dbbd56f147c05d"/>
      <w:r>
        <w:t xml:space="preserve">Microsoft Defender Advanced Threat Protection</w:t>
      </w:r>
      <w:bookmarkEnd w:id="94"/>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Pr>
      <w:r>
        <w:t xml:space="preserve">Data Retention Period - Data Retention Period defines how long gathered telemetry data is stored and available for use in online reporting.</w:t>
      </w:r>
    </w:p>
    <w:p>
      <w:pPr>
        <w:numPr>
          <w:ilvl w:val="0"/>
          <w:numId w:val="1033"/>
        </w:numPr>
      </w:pPr>
      <w:r>
        <w:t xml:space="preserve">Alert Notifications - Alert Notifications are configurable rulesets that allow a person or group of people to receive a notification on the occurrence of a pre-set event.</w:t>
      </w:r>
    </w:p>
    <w:p>
      <w:pPr>
        <w:numPr>
          <w:ilvl w:val="0"/>
          <w:numId w:val="1033"/>
        </w:numPr>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5" w:name="log-analytics"/>
      <w:r>
        <w:t xml:space="preserve">Log Analytics</w:t>
      </w:r>
      <w:bookmarkEnd w:id="95"/>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Pr>
      <w:r>
        <w:t xml:space="preserve">Azure Portal – Azure Portal allows you to create Log queries and analyse the results.</w:t>
      </w:r>
    </w:p>
    <w:p>
      <w:pPr>
        <w:numPr>
          <w:ilvl w:val="0"/>
          <w:numId w:val="1034"/>
        </w:numPr>
      </w:pPr>
      <w:r>
        <w:t xml:space="preserve">Azure Monitor Alert rules – An alert rule is a search that is automatically run at regular intervals. The results are inspected to determine if an alert in Azure Monitor should be generated.</w:t>
      </w:r>
    </w:p>
    <w:p>
      <w:pPr>
        <w:numPr>
          <w:ilvl w:val="0"/>
          <w:numId w:val="1034"/>
        </w:numPr>
      </w:pPr>
      <w:r>
        <w:t xml:space="preserve">Azure Dashboards – Dashboards can be used per Azure user to visualise data gathered from Log Analytics, these dashboards can be shared amongst Azure administrators.</w:t>
      </w:r>
    </w:p>
    <w:p>
      <w:pPr>
        <w:numPr>
          <w:ilvl w:val="0"/>
          <w:numId w:val="1034"/>
        </w:numPr>
      </w:pPr>
      <w:r>
        <w:t xml:space="preserve">Export – Data from Azure Monitor can be imported into Excel or Power BI for further visualisation.</w:t>
      </w:r>
    </w:p>
    <w:p>
      <w:pPr>
        <w:numPr>
          <w:ilvl w:val="0"/>
          <w:numId w:val="1034"/>
        </w:numPr>
      </w:pPr>
      <w:r>
        <w:t xml:space="preserve">PowerShell – PowerShell from a command line or using Azure Automation, can programmatically retrieve data for various use-cases.</w:t>
      </w:r>
    </w:p>
    <w:p>
      <w:pPr>
        <w:numPr>
          <w:ilvl w:val="0"/>
          <w:numId w:val="1034"/>
        </w:numPr>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6" w:name="Xe70260c73b079243e00ad0166da6dabcb80ca9c"/>
      <w:r>
        <w:t xml:space="preserve">Security Information and Event Management</w:t>
      </w:r>
      <w:bookmarkEnd w:id="96"/>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Pr>
      <w:r>
        <w:t xml:space="preserve">Real-time visibility for the Agency’s systems.</w:t>
      </w:r>
    </w:p>
    <w:p>
      <w:pPr>
        <w:numPr>
          <w:ilvl w:val="0"/>
          <w:numId w:val="1035"/>
        </w:numPr>
      </w:pPr>
      <w:r>
        <w:t xml:space="preserve">Centralised event log management meaning data is consolidated from multiple sources across the network.</w:t>
      </w:r>
    </w:p>
    <w:p>
      <w:pPr>
        <w:numPr>
          <w:ilvl w:val="0"/>
          <w:numId w:val="1035"/>
        </w:numPr>
      </w:pPr>
      <w:r>
        <w:t xml:space="preserve">Correlation of events gathered from different logs and security sources.</w:t>
      </w:r>
    </w:p>
    <w:p>
      <w:pPr>
        <w:numPr>
          <w:ilvl w:val="0"/>
          <w:numId w:val="1035"/>
        </w:numPr>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p>
      <w:pPr>
        <w:pStyle w:val="Heading2"/>
      </w:pPr>
      <w:bookmarkStart w:id="97" w:name="client-configuration"/>
      <w:r>
        <w:t xml:space="preserve">Client Configuration</w:t>
      </w:r>
      <w:bookmarkEnd w:id="97"/>
    </w:p>
    <w:p>
      <w:pPr>
        <w:pStyle w:val="Heading3"/>
      </w:pPr>
      <w:bookmarkStart w:id="98" w:name="intune"/>
      <w:r>
        <w:t xml:space="preserve">Intune</w:t>
      </w:r>
      <w:bookmarkEnd w:id="98"/>
    </w:p>
    <w:p>
      <w:pPr>
        <w:pStyle w:val="FirstParagraph"/>
      </w:pPr>
      <w:r>
        <w:t xml:space="preserve">Microsoft Intune is an Azure service that provides Mobile Device Management (MDM) and Mobile Application Management (MAM) capabilities for Apple iOS, Google Android and Microsoft Windows devices to enhance security and protection.</w:t>
      </w:r>
    </w:p>
    <w:p>
      <w:pPr>
        <w:pStyle w:val="BodyText"/>
      </w:pPr>
      <w:r>
        <w:t xml:space="preserve">Intune manages which devices can access corporate data, protects company information by controlling the way data is shared, and enforces device configuration to ensure security requirements are met. It does this via:</w:t>
      </w:r>
    </w:p>
    <w:p>
      <w:pPr>
        <w:numPr>
          <w:ilvl w:val="0"/>
          <w:numId w:val="1036"/>
        </w:numPr>
      </w:pPr>
      <w:r>
        <w:t xml:space="preserve">Device Enrolment Profiles – Prior to managing devices in Intune they must be enrolled as either Personal or Corporate devices. These can either be self-enrolled or automatically enrolled.</w:t>
      </w:r>
    </w:p>
    <w:p>
      <w:pPr>
        <w:numPr>
          <w:ilvl w:val="0"/>
          <w:numId w:val="1036"/>
        </w:numPr>
      </w:pPr>
      <w:r>
        <w:t xml:space="preserve">Device Compliance Policies – Device Compliance Policies are rules, such as device PIN length or encryption requirements, that can be applied to devices. These rules must be met before a device is considered compliant. Device Compliance can then be used by services such as Conditional Access.</w:t>
      </w:r>
    </w:p>
    <w:p>
      <w:pPr>
        <w:numPr>
          <w:ilvl w:val="0"/>
          <w:numId w:val="1036"/>
        </w:numPr>
      </w:pPr>
      <w:r>
        <w:t xml:space="preserve">Device Configuration Profiles - Device Configuration Profiles provide the ability to control settings and features on supported endpoints. These include, device and user settings, browser settings and hardware settings. Device Configuration Profiles can be deployed to specific users or devices in Azure AD groups.</w:t>
      </w:r>
    </w:p>
    <w:p>
      <w:pPr>
        <w:numPr>
          <w:ilvl w:val="0"/>
          <w:numId w:val="1036"/>
        </w:numPr>
      </w:pPr>
      <w:r>
        <w:t xml:space="preserve">Device Security Baselines – Security baselines are pre-configured groups of Windows settings that are recommended by Microsoft security teams. The security baselines are templates and are used to create a profile that is specific to the environment for deployment.</w:t>
      </w:r>
    </w:p>
    <w:p>
      <w:pPr>
        <w:numPr>
          <w:ilvl w:val="0"/>
          <w:numId w:val="1036"/>
        </w:numPr>
      </w:pPr>
      <w:r>
        <w:t xml:space="preserve">Client Applications – Client applications can be delivered to devices registered in Intune based on device type and group membership. Application types that can be distributed include store apps, MS Office suite, MS Edge browser, web links, line of business and Win32 applications. Monitoring of application distribution is provided.</w:t>
      </w:r>
    </w:p>
    <w:p>
      <w:pPr>
        <w:numPr>
          <w:ilvl w:val="0"/>
          <w:numId w:val="1036"/>
        </w:numPr>
      </w:pPr>
      <w:r>
        <w:t xml:space="preserve">Software Updates – Software update policies store the configuration of updates without the updates themselves. This prevents the need to approve individual updates allowing for a faster turnaround time. Individual policies can be created and targeted to different groups of devices.</w:t>
      </w:r>
    </w:p>
    <w:p>
      <w:pPr>
        <w:pStyle w:val="FirstParagraph"/>
      </w:pPr>
      <w:r>
        <w:t xml:space="preserve">When devices are enrolled into Intune, authorised administrators are able to view hardware details, how the device is used, and what compliance levels currently are for the device’s software, hardware, and operating system.</w:t>
      </w:r>
    </w:p>
    <w:p>
      <w:pPr>
        <w:pStyle w:val="BodyText"/>
      </w:pPr>
      <w:r>
        <w:t xml:space="preserve">Additionally, Intune can present a customised Company Portal to end users which can be used to install and launch applications or websites via single sign-on (SSO) authentication.</w:t>
      </w:r>
    </w:p>
    <w:p>
      <w:pPr>
        <w:pStyle w:val="BodyText"/>
      </w:pPr>
      <w:r>
        <w:t xml:space="preserve">Intune is a component of EMS and integrates with other EMS components such as Azure AD and Azure Information Protection (AIP) natively. This allows for total granular visibility of all endpoints within the Enterprise Mobility Management sphere and simplifies the approach for management.</w:t>
      </w:r>
    </w:p>
    <w:p>
      <w:pPr>
        <w:pStyle w:val="BodyText"/>
      </w:pPr>
      <w:r>
        <w:t xml:space="preserve">To complement this visibility, an Intune Data Warehouse can be deployed to capture and create custom reports from Intune data using a reporting service. This can assist in gaining insight into which users are using Intune, what licences are being used, operating system and device breakdowns, and compliance trends. The Data Warehouse also has the capability to export directly to Power BI and create interactive &amp; dynamic reports.</w:t>
      </w:r>
    </w:p>
    <w:p>
      <w:pPr>
        <w:pStyle w:val="BodyText"/>
      </w:pPr>
      <w:r>
        <w:t xml:space="preserve">Intune can also configure Windows Information Protection (WIP) polices. WIP can be deployed to:</w:t>
      </w:r>
    </w:p>
    <w:p>
      <w:pPr>
        <w:numPr>
          <w:ilvl w:val="0"/>
          <w:numId w:val="1037"/>
        </w:numPr>
      </w:pPr>
      <w:r>
        <w:t xml:space="preserve">Protect against potential data leakage – WIP protects against potential data leakage without any impact to user functionality.</w:t>
      </w:r>
    </w:p>
    <w:p>
      <w:pPr>
        <w:numPr>
          <w:ilvl w:val="0"/>
          <w:numId w:val="1037"/>
        </w:numPr>
      </w:pPr>
      <w:r>
        <w:t xml:space="preserve">Protect enterprise applications and data - WIP protects against accidental data leakage on enterprise-owned and personal devices. This can occur without changes to the corporate environment or applications.</w:t>
      </w:r>
    </w:p>
    <w:p>
      <w:pPr>
        <w:pStyle w:val="FirstParagraph"/>
      </w:pPr>
      <w:r>
        <w:t xml:space="preserve">Within WIP, Network boundaries are created as a network perimeter that controls what applications can be accessed on the network.</w:t>
      </w:r>
    </w:p>
    <w:p>
      <w:pPr>
        <w:pStyle w:val="BodyText"/>
      </w:pPr>
      <w:r>
        <w:t xml:space="preserve">Intune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Disabled</w:t>
            </w:r>
          </w:p>
        </w:tc>
        <w:tc>
          <w:p>
            <w:pPr>
              <w:pStyle w:val="Compact"/>
              <w:jc w:val="left"/>
            </w:pPr>
            <w:r>
              <w:t xml:space="preserve">Co-Management is disabled as this is not a function that is used in a cloud only solution.</w:t>
            </w:r>
          </w:p>
        </w:tc>
      </w:tr>
      <w:tr>
        <w:tc>
          <w:p>
            <w:pPr>
              <w:pStyle w:val="Compact"/>
              <w:jc w:val="left"/>
            </w:pPr>
            <w:r>
              <w:t xml:space="preserve">Enrolled Device Types</w:t>
            </w:r>
          </w:p>
        </w:tc>
        <w:tc>
          <w:p>
            <w:pPr>
              <w:pStyle w:val="Compact"/>
              <w:jc w:val="left"/>
            </w:pPr>
            <w:r>
              <w:t xml:space="preserve">Windows 10: 10.0.17134 (minimum)</w:t>
            </w:r>
            <w:r>
              <w:t xml:space="preserve">iOS</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Device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MDM will be used to control what a user can and cannot do on their mobile device defined by policies set by administrators.</w:t>
            </w:r>
          </w:p>
        </w:tc>
      </w:tr>
      <w:tr>
        <w:tc>
          <w:p>
            <w:pPr>
              <w:pStyle w:val="Compact"/>
              <w:jc w:val="left"/>
            </w:pPr>
            <w:r>
              <w:t xml:space="preserve">Mobile Application Management (MAM)</w:t>
            </w:r>
          </w:p>
        </w:tc>
        <w:tc>
          <w:p>
            <w:pPr>
              <w:pStyle w:val="Compact"/>
              <w:jc w:val="left"/>
            </w:pPr>
            <w:r>
              <w:t xml:space="preserve">Enabled</w:t>
            </w:r>
          </w:p>
        </w:tc>
        <w:tc>
          <w:p>
            <w:pPr>
              <w:pStyle w:val="Compact"/>
              <w:jc w:val="left"/>
            </w:pPr>
            <w:r>
              <w:t xml:space="preserve">MAM will be used to ensure that users have access to the apps they need to do their work.</w:t>
            </w:r>
          </w:p>
        </w:tc>
      </w:tr>
      <w:tr>
        <w:tc>
          <w:p>
            <w:pPr>
              <w:pStyle w:val="Compact"/>
              <w:jc w:val="left"/>
            </w:pPr>
            <w:r>
              <w:t xml:space="preserve">Windows Information Protection mode</w:t>
            </w:r>
          </w:p>
        </w:tc>
        <w:tc>
          <w:p>
            <w:pPr>
              <w:pStyle w:val="Compact"/>
              <w:jc w:val="left"/>
            </w:pPr>
            <w:r>
              <w:t xml:space="preserve">Configured</w:t>
            </w:r>
          </w:p>
        </w:tc>
        <w:tc>
          <w:p>
            <w:pPr>
              <w:pStyle w:val="Compact"/>
              <w:jc w:val="left"/>
            </w:pPr>
            <w:r>
              <w:t xml:space="preserve">Default settings prevent copying and pasting of data between</w:t>
            </w:r>
            <w:r>
              <w:t xml:space="preserve"> </w:t>
            </w:r>
            <w:r>
              <w:t xml:space="preserve">‘</w:t>
            </w:r>
            <w:r>
              <w:t xml:space="preserve">work</w:t>
            </w:r>
            <w:r>
              <w:t xml:space="preserve">’</w:t>
            </w:r>
            <w:r>
              <w:t xml:space="preserve"> </w:t>
            </w:r>
            <w:r>
              <w:t xml:space="preserve">locations and other</w:t>
            </w:r>
            <w:r>
              <w:t xml:space="preserve"> </w:t>
            </w:r>
            <w:r>
              <w:t xml:space="preserve">‘</w:t>
            </w:r>
            <w:r>
              <w:t xml:space="preserve">personal</w:t>
            </w:r>
            <w:r>
              <w:t xml:space="preserve">’</w:t>
            </w:r>
            <w:r>
              <w:t xml:space="preserve"> </w:t>
            </w:r>
            <w:r>
              <w:t xml:space="preserve">locations.</w:t>
            </w:r>
          </w:p>
        </w:tc>
      </w:tr>
      <w:tr>
        <w:tc>
          <w:p>
            <w:pPr>
              <w:pStyle w:val="Compact"/>
              <w:jc w:val="left"/>
            </w:pPr>
            <w:r>
              <w:t xml:space="preserve">Network Boundaries</w:t>
            </w:r>
          </w:p>
        </w:tc>
        <w:tc>
          <w:p>
            <w:pPr>
              <w:pStyle w:val="Compact"/>
              <w:jc w:val="left"/>
            </w:pPr>
            <w:r>
              <w:t xml:space="preserve">Cloud resources</w:t>
            </w:r>
          </w:p>
        </w:tc>
        <w:tc>
          <w:p>
            <w:pPr>
              <w:pStyle w:val="Compact"/>
              <w:jc w:val="left"/>
            </w:pPr>
            <w:r>
              <w:t xml:space="preserve">Network boundaries create a list of resources that are considered to be on the enterprise network. These boundaries are used to apply policies that reside in these locations.</w:t>
            </w:r>
          </w:p>
        </w:tc>
      </w:tr>
      <w:tr>
        <w:tc>
          <w:p>
            <w:pPr>
              <w:pStyle w:val="Compact"/>
              <w:jc w:val="left"/>
            </w:pPr>
            <w:r>
              <w:t xml:space="preserve">Cloud Resources Protected via Network Boundaries</w:t>
            </w:r>
          </w:p>
        </w:tc>
        <w:tc>
          <w:p>
            <w:pPr>
              <w:pStyle w:val="Compact"/>
              <w:jc w:val="left"/>
            </w:pPr>
            <w:r>
              <w:t xml:space="preserve">SharePoint</w:t>
            </w:r>
            <w:r>
              <w:t xml:space="preserve">Office 365</w:t>
            </w:r>
          </w:p>
        </w:tc>
        <w:tc>
          <w:p>
            <w:pPr>
              <w:pStyle w:val="Compact"/>
              <w:jc w:val="left"/>
            </w:pPr>
            <w:r>
              <w:t xml:space="preserve">Different policies will be created depending on the network location of the client.</w:t>
            </w:r>
          </w:p>
        </w:tc>
      </w:tr>
      <w:tr>
        <w:tc>
          <w:p>
            <w:pPr>
              <w:pStyle w:val="Compact"/>
              <w:jc w:val="left"/>
            </w:pPr>
            <w:r>
              <w:t xml:space="preserve">Intune Data Warehouse</w:t>
            </w:r>
          </w:p>
        </w:tc>
        <w:tc>
          <w:p>
            <w:pPr>
              <w:pStyle w:val="Compact"/>
              <w:jc w:val="left"/>
            </w:pPr>
            <w:r>
              <w:t xml:space="preserve">Not enabled</w:t>
            </w:r>
          </w:p>
        </w:tc>
        <w:tc>
          <w:p>
            <w:pPr>
              <w:pStyle w:val="Compact"/>
              <w:jc w:val="left"/>
            </w:pPr>
            <w:r>
              <w:t xml:space="preserve">While this feature is available, it will not be deployed for the solution.</w:t>
            </w:r>
          </w:p>
        </w:tc>
      </w:tr>
      <w:tr>
        <w:tc>
          <w:p>
            <w:pPr>
              <w:pStyle w:val="Compact"/>
              <w:jc w:val="left"/>
            </w:pPr>
            <w:r>
              <w:rPr>
                <w:b/>
              </w:rPr>
              <w:t xml:space="preserve">Self Service Group Management</w:t>
            </w:r>
          </w:p>
        </w:tc>
        <w:tc>
          <w:p/>
        </w:tc>
        <w:tc>
          <w:p/>
        </w:tc>
      </w:tr>
      <w:tr>
        <w:tc>
          <w:p>
            <w:pPr>
              <w:pStyle w:val="Compact"/>
              <w:jc w:val="left"/>
            </w:pPr>
            <w:r>
              <w:t xml:space="preserve">Owners can manage group membership requests in the Access Panel</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t xml:space="preserve">Restrict access to Groups in the Access Panel</w:t>
            </w:r>
          </w:p>
        </w:tc>
        <w:tc>
          <w:p>
            <w:pPr>
              <w:pStyle w:val="Compact"/>
              <w:jc w:val="left"/>
            </w:pPr>
            <w:r>
              <w:t xml:space="preserve">No</w:t>
            </w:r>
          </w:p>
        </w:tc>
        <w:tc>
          <w:p>
            <w:pPr>
              <w:pStyle w:val="Compact"/>
              <w:jc w:val="left"/>
            </w:pPr>
            <w:r>
              <w:t xml:space="preserve">Accessing groups is an Administrative function and has been locked down to Administrators.</w:t>
            </w:r>
          </w:p>
        </w:tc>
      </w:tr>
      <w:tr>
        <w:tc>
          <w:p>
            <w:pPr>
              <w:pStyle w:val="Compact"/>
              <w:jc w:val="left"/>
            </w:pPr>
            <w:r>
              <w:rPr>
                <w:b/>
              </w:rPr>
              <w:t xml:space="preserve">Security Groups</w:t>
            </w:r>
          </w:p>
        </w:tc>
        <w:tc>
          <w:p/>
        </w:tc>
        <w:tc>
          <w:p/>
        </w:tc>
      </w:tr>
      <w:tr>
        <w:tc>
          <w:p>
            <w:pPr>
              <w:pStyle w:val="Compact"/>
              <w:jc w:val="left"/>
            </w:pPr>
            <w:r>
              <w:t xml:space="preserve">Users can create security groups in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Office 365 Groups</w:t>
            </w:r>
          </w:p>
        </w:tc>
        <w:tc>
          <w:p/>
        </w:tc>
        <w:tc>
          <w:p/>
        </w:tc>
      </w:tr>
      <w:tr>
        <w:tc>
          <w:p>
            <w:pPr>
              <w:pStyle w:val="Compact"/>
              <w:jc w:val="left"/>
            </w:pPr>
            <w:r>
              <w:t xml:space="preserve">Users can create Office 365 groups in the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Directory-wide Groups</w:t>
            </w:r>
          </w:p>
        </w:tc>
        <w:tc>
          <w:p/>
        </w:tc>
        <w:tc>
          <w:p/>
        </w:tc>
      </w:tr>
      <w:tr>
        <w:tc>
          <w:p>
            <w:pPr>
              <w:pStyle w:val="Compact"/>
              <w:jc w:val="left"/>
            </w:pPr>
            <w:r>
              <w:t xml:space="preserve">Enable an</w:t>
            </w:r>
            <w:r>
              <w:t xml:space="preserve"> </w:t>
            </w:r>
            <w:r>
              <w:t xml:space="preserve">“</w:t>
            </w:r>
            <w:r>
              <w:t xml:space="preserve">All Users</w:t>
            </w:r>
            <w:r>
              <w:t xml:space="preserve">”</w:t>
            </w:r>
            <w:r>
              <w:t xml:space="preserve"> </w:t>
            </w:r>
            <w:r>
              <w:t xml:space="preserve">group in the directory</w:t>
            </w:r>
          </w:p>
        </w:tc>
        <w:tc>
          <w:p>
            <w:pPr>
              <w:pStyle w:val="Compact"/>
              <w:jc w:val="left"/>
            </w:pPr>
            <w:r>
              <w:t xml:space="preserve">No</w:t>
            </w:r>
          </w:p>
        </w:tc>
        <w:tc>
          <w:p>
            <w:pPr>
              <w:pStyle w:val="Compact"/>
              <w:jc w:val="left"/>
            </w:pPr>
            <w:r>
              <w:t xml:space="preserve">This group is not required. All users to be a member of a controlled group.</w:t>
            </w:r>
          </w:p>
        </w:tc>
      </w:tr>
    </w:tbl>
    <w:p>
      <w:pPr>
        <w:pStyle w:val="Heading3"/>
      </w:pPr>
      <w:bookmarkStart w:id="99" w:name="intune---mobile-application-management"/>
      <w:r>
        <w:t xml:space="preserve">Intune - Mobile Application Management</w:t>
      </w:r>
      <w:bookmarkEnd w:id="99"/>
    </w:p>
    <w:p>
      <w:pPr>
        <w:pStyle w:val="FirstParagraph"/>
      </w:pPr>
      <w:r>
        <w:t xml:space="preserve">Mobile Application Management (MAM) allows the management and protection of an Agency’s data within an application. It controls data flows into and out of the application container which houses corporate data.</w:t>
      </w:r>
    </w:p>
    <w:p>
      <w:pPr>
        <w:pStyle w:val="BodyText"/>
      </w:pPr>
      <w:r>
        <w:t xml:space="preserve">Using MAM, a corporate app that contains sensitive data can be managed on a wide variety of devices. Many productivity apps, such as the Microsoft Office apps, can be managed by Intune MAM. MAM can protect data within the application container using authentication methods and copy/paste controls, but these controls must be balanced with any MDM controls of the device to maintain usability of the solution.</w:t>
      </w:r>
    </w:p>
    <w:p>
      <w:pPr>
        <w:pStyle w:val="BodyText"/>
      </w:pPr>
      <w:r>
        <w:t xml:space="preserve">When deploying a hybrid solution, the management of Windows devices should be considered when choosing to implement MAM for clients. Management solutions such as Group Policy and SCCM can provide functionality to control applications which negates the use of MAM on Windows machines.</w:t>
      </w:r>
    </w:p>
    <w:p>
      <w:pPr>
        <w:pStyle w:val="BodyText"/>
      </w:pPr>
      <w:r>
        <w:t xml:space="preserve">Mobile Application Management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Intune</w:t>
            </w:r>
            <w:r>
              <w:t xml:space="preserve">iOS - Intune</w:t>
            </w:r>
          </w:p>
        </w:tc>
        <w:tc>
          <w:p>
            <w:pPr>
              <w:pStyle w:val="Compact"/>
              <w:jc w:val="left"/>
            </w:pPr>
            <w:r>
              <w:t xml:space="preserve">Mobile applications (Windows 10 and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These core Microsoft business applications will be managed via Intune as they will be deployed to all Windows 10 and iOS users.</w:t>
            </w:r>
          </w:p>
        </w:tc>
      </w:tr>
    </w:tbl>
    <w:p>
      <w:pPr>
        <w:pStyle w:val="BodyText"/>
      </w:pPr>
      <w:r>
        <w:t xml:space="preserve">Mobile Application Management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Not Configured</w:t>
            </w:r>
            <w:r>
              <w:t xml:space="preserve">iOS - Intune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bl>
    <w:p>
      <w:pPr>
        <w:pStyle w:val="Heading3"/>
      </w:pPr>
      <w:bookmarkStart w:id="100" w:name="intune---enrolment"/>
      <w:r>
        <w:t xml:space="preserve">Intune - Enrolment</w:t>
      </w:r>
      <w:bookmarkEnd w:id="100"/>
    </w:p>
    <w:p>
      <w:pPr>
        <w:pStyle w:val="FirstParagraph"/>
      </w:pPr>
      <w:r>
        <w:t xml:space="preserve">Device enrolment registers the Windows 10 and iOS devices into the corporate device management solution and ensures the device is then able to be managed by administrators.</w:t>
      </w:r>
    </w:p>
    <w:p>
      <w:pPr>
        <w:pStyle w:val="BodyText"/>
      </w:pPr>
      <w:r>
        <w:t xml:space="preserve">Microsoft Intune provides a mechanism for enrolling devices into Azure AD. Once registered the device is populated into Intune policy groups using dynamic membership. This ensures that the device meets the compliance policy, monitored, and secured to the Agency’s security requirements.</w:t>
      </w:r>
    </w:p>
    <w:p>
      <w:pPr>
        <w:pStyle w:val="BodyText"/>
      </w:pPr>
      <w:r>
        <w:t xml:space="preserve">Microsoft Intune provides three separate experience in enrolling the iOS devices into the Agency’s Azure Active directory. The enrolment experiences are:</w:t>
      </w:r>
    </w:p>
    <w:p>
      <w:pPr>
        <w:numPr>
          <w:ilvl w:val="0"/>
          <w:numId w:val="1038"/>
        </w:numPr>
      </w:pPr>
      <w:r>
        <w:t xml:space="preserve">Device Enrolment Program (DEP) – Device Enrolment Program is a managed device enrolment process. The devices serial number is registered with Apple Business Manager allows Intune to bypass Assisted Setup by preconfigure device settings. The user’s account will be assigned to the device. The device will be marked as a Supervised device.</w:t>
      </w:r>
    </w:p>
    <w:p>
      <w:pPr>
        <w:numPr>
          <w:ilvl w:val="0"/>
          <w:numId w:val="1038"/>
        </w:numPr>
      </w:pPr>
      <w:r>
        <w:t xml:space="preserve">Device Enrolment Manager (DEM) – Device Enrolment Manager assigns a single Azure Active Directory account as the owner of the device. The end users cannot administer or purchase any apps on the device.</w:t>
      </w:r>
    </w:p>
    <w:p>
      <w:pPr>
        <w:numPr>
          <w:ilvl w:val="0"/>
          <w:numId w:val="1038"/>
        </w:numPr>
      </w:pPr>
      <w:r>
        <w:t xml:space="preserve">User Enrolment – User enrolment process requires users set up the iOS device and manually install Company Portal to register the device as Intune enrolled device. The device will be marked as a BYOD device.</w:t>
      </w:r>
    </w:p>
    <w:p>
      <w:pPr>
        <w:pStyle w:val="FirstParagraph"/>
      </w:pPr>
      <w:r>
        <w:t xml:space="preserve">Intune Enrolment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Enrolment</w:t>
            </w:r>
          </w:p>
        </w:tc>
        <w:tc>
          <w:p>
            <w:pPr>
              <w:pStyle w:val="Compact"/>
              <w:jc w:val="left"/>
            </w:pPr>
            <w:r>
              <w:t xml:space="preserve">Configured</w:t>
            </w:r>
          </w:p>
        </w:tc>
        <w:tc>
          <w:p>
            <w:pPr>
              <w:pStyle w:val="Compact"/>
              <w:jc w:val="left"/>
            </w:pPr>
            <w:r>
              <w:t xml:space="preserve">Windows 10 devices must be enrolled in Intune prior to management of the device.</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devices must be enrolled in Intune prior to management of the device.</w:t>
            </w:r>
          </w:p>
        </w:tc>
      </w:tr>
    </w:tbl>
    <w:p>
      <w:pPr>
        <w:pStyle w:val="Heading3"/>
      </w:pPr>
      <w:bookmarkStart w:id="101" w:name="intune---co-management"/>
      <w:r>
        <w:t xml:space="preserve">Intune - Co-Management</w:t>
      </w:r>
      <w:bookmarkEnd w:id="101"/>
    </w:p>
    <w:p>
      <w:pPr>
        <w:pStyle w:val="FirstParagraph"/>
      </w:pPr>
      <w:r>
        <w:t xml:space="preserve">Co-management provides the ability to manage devices via SCCM and Intune.</w:t>
      </w:r>
    </w:p>
    <w:p>
      <w:pPr>
        <w:pStyle w:val="BodyText"/>
      </w:pPr>
      <w:r>
        <w:t xml:space="preserve">For a deployment to be enabled for co-management, devices must be Azure AD joined, be enrolled in Intune and have the SCCM client installed.</w:t>
      </w:r>
    </w:p>
    <w:p>
      <w:pPr>
        <w:pStyle w:val="BodyText"/>
      </w:pPr>
      <w:r>
        <w:t xml:space="preserve">Once co-management is enabled, management tasks such as compliance policies, Windows Update policies, resource access policies, and endpoint protection, can be moved from SCCM management over to Intune as required.</w:t>
      </w:r>
    </w:p>
    <w:p>
      <w:pPr>
        <w:pStyle w:val="BodyText"/>
      </w:pPr>
      <w:r>
        <w:t xml:space="preserve">Microsoft cloud-hosted services offer the benefit of maintaining cadence with the latest technology updates from Microsoft with reduced effort required by IT BAU teams. Microsoft Intune and Microsoft’s co-management strategy is constantly evolving with additional services published regularly.</w:t>
      </w:r>
    </w:p>
    <w:p>
      <w:pPr>
        <w:pStyle w:val="BodyText"/>
      </w:pPr>
      <w:r>
        <w:t xml:space="preserve">Intune deploys and manages first-party Microsoft applications in a simple manner but does not allow for a large amount of customisation of update schedule, granular application deployment or application add-ons. Intune does not provide the ability to deploy and update third-party applications in a simple manner at time of writing.</w:t>
      </w:r>
    </w:p>
    <w:p>
      <w:pPr>
        <w:pStyle w:val="BodyText"/>
      </w:pPr>
      <w:r>
        <w:t xml:space="preserve">Intune also provides a patching mechanism which simplifies the deployment of Microsoft first-party updates for applications and Windows 10 but does not allow granular control over patches.</w:t>
      </w:r>
    </w:p>
    <w:p>
      <w:pPr>
        <w:pStyle w:val="BodyText"/>
      </w:pPr>
      <w:r>
        <w:t xml:space="preserve">The following figure provides an overview of co-management. Figure reproduced from https://docs.microsoft.com/en-us/mem/configmgr/comanage/overview</w:t>
      </w:r>
    </w:p>
    <w:p>
      <w:pPr>
        <w:pStyle w:val="CaptionedFigure"/>
      </w:pPr>
      <w:r>
        <w:drawing>
          <wp:inline>
            <wp:extent cx="5791200" cy="5087841"/>
            <wp:effectExtent b="0" l="0" r="0" t="0"/>
            <wp:docPr descr="Co-management overview" title="" id="1" name="Picture"/>
            <a:graphic>
              <a:graphicData uri="http://schemas.openxmlformats.org/drawingml/2006/picture">
                <pic:pic>
                  <pic:nvPicPr>
                    <pic:cNvPr descr="./assets/images/platform-intune-comgmt.png" id="0" name="Picture"/>
                    <pic:cNvPicPr>
                      <a:picLocks noChangeArrowheads="1" noChangeAspect="1"/>
                    </pic:cNvPicPr>
                  </pic:nvPicPr>
                  <pic:blipFill>
                    <a:blip r:embed="rId102"/>
                    <a:stretch>
                      <a:fillRect/>
                    </a:stretch>
                  </pic:blipFill>
                  <pic:spPr bwMode="auto">
                    <a:xfrm>
                      <a:off x="0" y="0"/>
                      <a:ext cx="5791200" cy="5087841"/>
                    </a:xfrm>
                    <a:prstGeom prst="rect">
                      <a:avLst/>
                    </a:prstGeom>
                    <a:noFill/>
                    <a:ln w="9525">
                      <a:noFill/>
                      <a:headEnd/>
                      <a:tailEnd/>
                    </a:ln>
                  </pic:spPr>
                </pic:pic>
              </a:graphicData>
            </a:graphic>
          </wp:inline>
        </w:drawing>
      </w:r>
    </w:p>
    <w:p>
      <w:pPr>
        <w:pStyle w:val="ImageCaption"/>
      </w:pPr>
      <w:r>
        <w:t xml:space="preserve">Co-management overview</w:t>
      </w:r>
    </w:p>
    <w:p>
      <w:pPr>
        <w:pStyle w:val="BodyText"/>
      </w:pPr>
      <w:r>
        <w:t xml:space="preserve">Intune Co-Management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Enabled</w:t>
            </w:r>
          </w:p>
        </w:tc>
        <w:tc>
          <w:p>
            <w:pPr>
              <w:pStyle w:val="Compact"/>
              <w:jc w:val="left"/>
            </w:pPr>
            <w:r>
              <w:t xml:space="preserve">The Microsoft co-management approach will enable Agency to strategically move device management from on-premises to the cloud in a staged manner.</w:t>
            </w:r>
          </w:p>
        </w:tc>
      </w:tr>
      <w:tr>
        <w:tc>
          <w:p>
            <w:pPr>
              <w:pStyle w:val="Compact"/>
              <w:jc w:val="left"/>
            </w:pPr>
            <w:r>
              <w:t xml:space="preserve">Compliance policies controlled by</w:t>
            </w:r>
          </w:p>
        </w:tc>
        <w:tc>
          <w:p>
            <w:pPr>
              <w:pStyle w:val="Compact"/>
              <w:jc w:val="left"/>
            </w:pPr>
            <w:r>
              <w:t xml:space="preserve">Intune preferred</w:t>
            </w:r>
          </w:p>
        </w:tc>
        <w:tc>
          <w:p>
            <w:pPr>
              <w:pStyle w:val="Compact"/>
              <w:jc w:val="left"/>
            </w:pPr>
            <w:r>
              <w:t xml:space="preserve">Compliance and remediation policies to controlled via Intune. Staged migration to be completed from SCCM if previously in use.</w:t>
            </w:r>
          </w:p>
        </w:tc>
      </w:tr>
      <w:tr>
        <w:tc>
          <w:p>
            <w:pPr>
              <w:pStyle w:val="Compact"/>
              <w:jc w:val="left"/>
            </w:pPr>
            <w:r>
              <w:t xml:space="preserve">Device Configuration policies controlled by</w:t>
            </w:r>
          </w:p>
        </w:tc>
        <w:tc>
          <w:p>
            <w:pPr>
              <w:pStyle w:val="Compact"/>
              <w:jc w:val="left"/>
            </w:pPr>
            <w:r>
              <w:t xml:space="preserve">Intune preferred</w:t>
            </w:r>
          </w:p>
        </w:tc>
        <w:tc>
          <w:p>
            <w:pPr>
              <w:pStyle w:val="Compact"/>
              <w:jc w:val="left"/>
            </w:pPr>
            <w:r>
              <w:t xml:space="preserve">Device configuration policies to be controlled via Intune. Staged migration to be completed from SCCM if previously in use.</w:t>
            </w:r>
          </w:p>
        </w:tc>
      </w:tr>
      <w:tr>
        <w:tc>
          <w:p>
            <w:pPr>
              <w:pStyle w:val="Compact"/>
              <w:jc w:val="left"/>
            </w:pPr>
            <w:r>
              <w:t xml:space="preserve">Endpoint Protection policies controlled by</w:t>
            </w:r>
          </w:p>
        </w:tc>
        <w:tc>
          <w:p>
            <w:pPr>
              <w:pStyle w:val="Compact"/>
              <w:jc w:val="left"/>
            </w:pPr>
            <w:r>
              <w:t xml:space="preserve">Intune preferred</w:t>
            </w:r>
          </w:p>
        </w:tc>
        <w:tc>
          <w:p>
            <w:pPr>
              <w:pStyle w:val="Compact"/>
              <w:jc w:val="left"/>
            </w:pPr>
            <w:r>
              <w:t xml:space="preserve">Endpoint protection, including the Windows Defender products and features are controlled via Intune policies. Staged migration to be completed from SCCM if previously in use.</w:t>
            </w:r>
          </w:p>
        </w:tc>
      </w:tr>
      <w:tr>
        <w:tc>
          <w:p>
            <w:pPr>
              <w:pStyle w:val="Compact"/>
              <w:jc w:val="left"/>
            </w:pPr>
            <w:r>
              <w:t xml:space="preserve">Resource Access policies controlled by</w:t>
            </w:r>
          </w:p>
        </w:tc>
        <w:tc>
          <w:p>
            <w:pPr>
              <w:pStyle w:val="Compact"/>
              <w:jc w:val="left"/>
            </w:pPr>
            <w:r>
              <w:t xml:space="preserve">Intune preferred</w:t>
            </w:r>
          </w:p>
        </w:tc>
        <w:tc>
          <w:p>
            <w:pPr>
              <w:pStyle w:val="Compact"/>
              <w:jc w:val="left"/>
            </w:pPr>
            <w:r>
              <w:t xml:space="preserve">Resources in this instance refers to VPN profiles, Wi-Fi profiles, certificate profiles, etc. are controlled via Intune policies. Staged migration to be completed from SCCM if previously in use.</w:t>
            </w:r>
          </w:p>
        </w:tc>
      </w:tr>
      <w:tr>
        <w:tc>
          <w:p>
            <w:pPr>
              <w:pStyle w:val="Compact"/>
              <w:jc w:val="left"/>
            </w:pPr>
            <w:r>
              <w:t xml:space="preserve">Office Click-to-Run policies controlled by</w:t>
            </w:r>
          </w:p>
        </w:tc>
        <w:tc>
          <w:p>
            <w:pPr>
              <w:pStyle w:val="Compact"/>
              <w:jc w:val="left"/>
            </w:pPr>
            <w:r>
              <w:t xml:space="preserve">Intune preferred</w:t>
            </w:r>
          </w:p>
        </w:tc>
        <w:tc>
          <w:p>
            <w:pPr>
              <w:pStyle w:val="Compact"/>
              <w:jc w:val="left"/>
            </w:pPr>
            <w:r>
              <w:t xml:space="preserve">Office Click-to-Run application deployment and updates to be managed through Intune. Staged migration to be completed from SCCM if previously in use.</w:t>
            </w:r>
          </w:p>
        </w:tc>
      </w:tr>
      <w:tr>
        <w:tc>
          <w:p>
            <w:pPr>
              <w:pStyle w:val="Compact"/>
              <w:jc w:val="left"/>
            </w:pPr>
            <w:r>
              <w:t xml:space="preserve">Windows Update policies controlled by</w:t>
            </w:r>
          </w:p>
        </w:tc>
        <w:tc>
          <w:p>
            <w:pPr>
              <w:pStyle w:val="Compact"/>
              <w:jc w:val="left"/>
            </w:pPr>
            <w:r>
              <w:t xml:space="preserve">Intune preferred</w:t>
            </w:r>
          </w:p>
        </w:tc>
        <w:tc>
          <w:p>
            <w:pPr>
              <w:pStyle w:val="Compact"/>
              <w:jc w:val="left"/>
            </w:pPr>
            <w:r>
              <w:t xml:space="preserve">Windows 10 updates will be managed via Intune update rings. Staged migration to be completed from SCCM if previously in use.</w:t>
            </w:r>
          </w:p>
        </w:tc>
      </w:tr>
      <w:tr>
        <w:tc>
          <w:p>
            <w:pPr>
              <w:pStyle w:val="Compact"/>
              <w:jc w:val="left"/>
            </w:pPr>
            <w:r>
              <w:t xml:space="preserve">SCCM minimum version</w:t>
            </w:r>
          </w:p>
        </w:tc>
        <w:tc>
          <w:p>
            <w:pPr>
              <w:pStyle w:val="Compact"/>
              <w:jc w:val="left"/>
            </w:pPr>
            <w:r>
              <w:t xml:space="preserve">At least SCCM update 1802</w:t>
            </w:r>
          </w:p>
        </w:tc>
        <w:tc>
          <w:p>
            <w:pPr>
              <w:pStyle w:val="Compact"/>
              <w:jc w:val="left"/>
            </w:pPr>
            <w:r>
              <w:t xml:space="preserve">Compatible with co-management and determined by the Agency.</w:t>
            </w:r>
          </w:p>
        </w:tc>
      </w:tr>
      <w:tr>
        <w:tc>
          <w:p>
            <w:pPr>
              <w:pStyle w:val="Compact"/>
              <w:jc w:val="left"/>
            </w:pPr>
            <w:r>
              <w:t xml:space="preserve">Enrolled Device Types</w:t>
            </w:r>
          </w:p>
        </w:tc>
        <w:tc>
          <w:p>
            <w:pPr>
              <w:pStyle w:val="Compact"/>
              <w:jc w:val="left"/>
            </w:pPr>
            <w:r>
              <w:t xml:space="preserve">Windows 10: 10.0.17134 (minimum)</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r>
              <w:t xml:space="preserve">iOS</w:t>
            </w:r>
            <w:r>
              <w:t xml:space="preserve">Note: iOS is permitted but controlled by Intune only</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User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Agency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SCCM will be the MDM authority for the solution, with Intune inspecting compliance.</w:t>
            </w:r>
          </w:p>
        </w:tc>
      </w:tr>
      <w:tr>
        <w:tc>
          <w:p>
            <w:pPr>
              <w:pStyle w:val="Compact"/>
              <w:jc w:val="left"/>
            </w:pPr>
            <w:r>
              <w:t xml:space="preserve">Mobile Application Management (MAM)</w:t>
            </w:r>
          </w:p>
        </w:tc>
        <w:tc>
          <w:p>
            <w:pPr>
              <w:pStyle w:val="Compact"/>
              <w:jc w:val="left"/>
            </w:pPr>
            <w:r>
              <w:t xml:space="preserve">Disabled</w:t>
            </w:r>
          </w:p>
        </w:tc>
        <w:tc>
          <w:p>
            <w:pPr>
              <w:pStyle w:val="Compact"/>
              <w:jc w:val="left"/>
            </w:pPr>
            <w:r>
              <w:t xml:space="preserve">Not required as Group Policy will configure application controls.</w:t>
            </w:r>
          </w:p>
        </w:tc>
      </w:tr>
    </w:tbl>
    <w:p>
      <w:pPr>
        <w:pStyle w:val="Heading3"/>
      </w:pPr>
      <w:bookmarkStart w:id="103" w:name="intune---windows-autopilot"/>
      <w:r>
        <w:t xml:space="preserve">Intune - Windows AutoPilot</w:t>
      </w:r>
      <w:bookmarkEnd w:id="103"/>
    </w:p>
    <w:p>
      <w:pPr>
        <w:pStyle w:val="FirstParagraph"/>
      </w:pPr>
      <w:r>
        <w:t xml:space="preserve">Windows Autopilot provides the ability to set up and pre-configure new devices without the need for on premises infrastructure. It is also possible to use Windows Autopilot to reset, repurpose and recover devices.</w:t>
      </w:r>
    </w:p>
    <w:p>
      <w:pPr>
        <w:pStyle w:val="BodyText"/>
      </w:pPr>
      <w:r>
        <w:t xml:space="preserve">Windows Autopilot provides the ability to:</w:t>
      </w:r>
    </w:p>
    <w:p>
      <w:pPr>
        <w:numPr>
          <w:ilvl w:val="0"/>
          <w:numId w:val="1039"/>
        </w:numPr>
      </w:pPr>
      <w:r>
        <w:t xml:space="preserve">Automatically join devices – Azure Active Directory (Azure AD).</w:t>
      </w:r>
    </w:p>
    <w:p>
      <w:pPr>
        <w:numPr>
          <w:ilvl w:val="0"/>
          <w:numId w:val="1039"/>
        </w:numPr>
      </w:pPr>
      <w:r>
        <w:t xml:space="preserve">Auto-enrol devices – Auto-enrol MDM services, such as Microsoft Intune.</w:t>
      </w:r>
    </w:p>
    <w:p>
      <w:pPr>
        <w:numPr>
          <w:ilvl w:val="0"/>
          <w:numId w:val="1039"/>
        </w:numPr>
      </w:pPr>
      <w:r>
        <w:t xml:space="preserve">Restrict the Administrator – Restrict administrator account creation.</w:t>
      </w:r>
    </w:p>
    <w:p>
      <w:pPr>
        <w:numPr>
          <w:ilvl w:val="0"/>
          <w:numId w:val="1039"/>
        </w:numPr>
      </w:pPr>
      <w:r>
        <w:t xml:space="preserve">Create and auto-assign devices – Auto assign to configuration groups based on a device’s profile.</w:t>
      </w:r>
    </w:p>
    <w:p>
      <w:pPr>
        <w:pStyle w:val="CaptionedFigure"/>
      </w:pPr>
      <w:r>
        <w:drawing>
          <wp:inline>
            <wp:extent cx="5791200" cy="3069211"/>
            <wp:effectExtent b="0" l="0" r="0" t="0"/>
            <wp:docPr descr="Autopilot Deployment" title="" id="1" name="Picture"/>
            <a:graphic>
              <a:graphicData uri="http://schemas.openxmlformats.org/drawingml/2006/picture">
                <pic:pic>
                  <pic:nvPicPr>
                    <pic:cNvPr descr="./assets/images/platform-autopilot.png" id="0" name="Picture"/>
                    <pic:cNvPicPr>
                      <a:picLocks noChangeArrowheads="1" noChangeAspect="1"/>
                    </pic:cNvPicPr>
                  </pic:nvPicPr>
                  <pic:blipFill>
                    <a:blip r:embed="rId104"/>
                    <a:stretch>
                      <a:fillRect/>
                    </a:stretch>
                  </pic:blipFill>
                  <pic:spPr bwMode="auto">
                    <a:xfrm>
                      <a:off x="0" y="0"/>
                      <a:ext cx="5791200" cy="3069211"/>
                    </a:xfrm>
                    <a:prstGeom prst="rect">
                      <a:avLst/>
                    </a:prstGeom>
                    <a:noFill/>
                    <a:ln w="9525">
                      <a:noFill/>
                      <a:headEnd/>
                      <a:tailEnd/>
                    </a:ln>
                  </pic:spPr>
                </pic:pic>
              </a:graphicData>
            </a:graphic>
          </wp:inline>
        </w:drawing>
      </w:r>
    </w:p>
    <w:p>
      <w:pPr>
        <w:pStyle w:val="ImageCaption"/>
      </w:pPr>
      <w:r>
        <w:t xml:space="preserve">Autopilot Deployment</w:t>
      </w:r>
    </w:p>
    <w:p>
      <w:pPr>
        <w:pStyle w:val="BodyText"/>
      </w:pPr>
      <w:r>
        <w:t xml:space="preserve">Intune Windows AutoPilot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Join Devices</w:t>
            </w:r>
          </w:p>
        </w:tc>
        <w:tc>
          <w:p>
            <w:pPr>
              <w:pStyle w:val="Compact"/>
              <w:jc w:val="left"/>
            </w:pPr>
            <w:r>
              <w:t xml:space="preserve">Azure Active Directory (Azure AD)</w:t>
            </w:r>
          </w:p>
        </w:tc>
        <w:tc>
          <w:p>
            <w:pPr>
              <w:pStyle w:val="Compact"/>
              <w:jc w:val="left"/>
            </w:pPr>
            <w:r>
              <w:t xml:space="preserve">Devices will automatically joint the Azure Active Directory.</w:t>
            </w:r>
          </w:p>
        </w:tc>
      </w:tr>
      <w:tr>
        <w:tc>
          <w:p>
            <w:pPr>
              <w:pStyle w:val="Compact"/>
              <w:jc w:val="left"/>
            </w:pPr>
            <w:r>
              <w:t xml:space="preserve">Auto-enrol devices</w:t>
            </w:r>
          </w:p>
        </w:tc>
        <w:tc>
          <w:p>
            <w:pPr>
              <w:pStyle w:val="Compact"/>
              <w:jc w:val="left"/>
            </w:pPr>
            <w:r>
              <w:t xml:space="preserve">Configured</w:t>
            </w:r>
          </w:p>
        </w:tc>
        <w:tc>
          <w:p>
            <w:pPr>
              <w:pStyle w:val="Compact"/>
              <w:jc w:val="left"/>
            </w:pPr>
            <w:r>
              <w:t xml:space="preserve">Enrolled automatically into Intune MDM.</w:t>
            </w:r>
          </w:p>
        </w:tc>
      </w:tr>
      <w:tr>
        <w:tc>
          <w:p>
            <w:pPr>
              <w:pStyle w:val="Compact"/>
              <w:jc w:val="left"/>
            </w:pPr>
            <w:r>
              <w:t xml:space="preserve">Restrict the Local Administrator Account</w:t>
            </w:r>
          </w:p>
        </w:tc>
        <w:tc>
          <w:p>
            <w:pPr>
              <w:pStyle w:val="Compact"/>
              <w:jc w:val="left"/>
            </w:pPr>
            <w:r>
              <w:t xml:space="preserve">Configured</w:t>
            </w:r>
          </w:p>
        </w:tc>
        <w:tc>
          <w:p>
            <w:pPr>
              <w:pStyle w:val="Compact"/>
              <w:jc w:val="left"/>
            </w:pPr>
            <w:r>
              <w:t xml:space="preserve">Aligns with the ACSC Hardening Microsoft Windows 10 1709 Workstations.</w:t>
            </w:r>
          </w:p>
        </w:tc>
      </w:tr>
      <w:tr>
        <w:tc>
          <w:p>
            <w:pPr>
              <w:pStyle w:val="Compact"/>
              <w:jc w:val="left"/>
            </w:pPr>
            <w:r>
              <w:t xml:space="preserve">Create and auto-assign devices</w:t>
            </w:r>
          </w:p>
        </w:tc>
        <w:tc>
          <w:p>
            <w:pPr>
              <w:pStyle w:val="Compact"/>
              <w:jc w:val="left"/>
            </w:pPr>
            <w:r>
              <w:t xml:space="preserve">Configured</w:t>
            </w:r>
          </w:p>
        </w:tc>
        <w:tc>
          <w:p>
            <w:pPr>
              <w:pStyle w:val="Compact"/>
              <w:jc w:val="left"/>
            </w:pPr>
            <w:r>
              <w:t xml:space="preserve">For ease of management and enrolment for devices within Agency.</w:t>
            </w:r>
          </w:p>
        </w:tc>
      </w:tr>
      <w:tr>
        <w:tc>
          <w:p>
            <w:pPr>
              <w:pStyle w:val="Compact"/>
              <w:jc w:val="left"/>
            </w:pPr>
            <w:r>
              <w:t xml:space="preserve">Deployment profile</w:t>
            </w:r>
          </w:p>
        </w:tc>
        <w:tc>
          <w:p>
            <w:pPr>
              <w:pStyle w:val="Compact"/>
              <w:jc w:val="left"/>
            </w:pPr>
            <w:r>
              <w:t xml:space="preserve">Refer to DTA – Intune Enrolment -ABAC document</w:t>
            </w:r>
          </w:p>
        </w:tc>
        <w:tc>
          <w:p>
            <w:pPr>
              <w:pStyle w:val="Compact"/>
              <w:jc w:val="left"/>
            </w:pPr>
            <w:r>
              <w:t xml:space="preserve">Deployment profile will ensure that all workstations are configured in accordance with the Agency standards with no user intervention.</w:t>
            </w:r>
          </w:p>
        </w:tc>
      </w:tr>
    </w:tbl>
    <w:p>
      <w:pPr>
        <w:pStyle w:val="Heading3"/>
      </w:pPr>
      <w:bookmarkStart w:id="105" w:name="intune---device-compliance"/>
      <w:r>
        <w:t xml:space="preserve">Intune - Device Compliance</w:t>
      </w:r>
      <w:bookmarkEnd w:id="105"/>
    </w:p>
    <w:p>
      <w:pPr>
        <w:pStyle w:val="FirstParagraph"/>
      </w:pPr>
      <w:r>
        <w:t xml:space="preserve">Device Compliance Policies are rules, such as device PIN length or encryption requirements, that are applied to devices. These policies must be met before a device is considered compliant, the device compliance status can then be used by services such as Conditional Access to grant or disallow access to applications or services.</w:t>
      </w:r>
    </w:p>
    <w:p>
      <w:pPr>
        <w:pStyle w:val="BodyText"/>
      </w:pPr>
      <w:r>
        <w:t xml:space="preserve">Microsoft Intune can control access to resources by interrogating endpoints and determining whether they meet a minimum list of features and are judged as</w:t>
      </w:r>
      <w:r>
        <w:t xml:space="preserve"> </w:t>
      </w:r>
      <w:r>
        <w:t xml:space="preserve">“</w:t>
      </w:r>
      <w:r>
        <w:t xml:space="preserve">compliant</w:t>
      </w:r>
      <w:r>
        <w:t xml:space="preserve">”</w:t>
      </w:r>
      <w:r>
        <w:t xml:space="preserve">. Compliance can be assigned a grace period where a device which is not judged as compliant can still access resources for a period or be blocked immediately.</w:t>
      </w:r>
    </w:p>
    <w:p>
      <w:pPr>
        <w:pStyle w:val="BodyText"/>
      </w:pPr>
      <w:r>
        <w:t xml:space="preserve">Each compliance policy can be edited to ensure that devices are tested before being allowed access to corporate resources.</w:t>
      </w:r>
    </w:p>
    <w:p>
      <w:pPr>
        <w:pStyle w:val="BodyText"/>
      </w:pPr>
      <w:r>
        <w:t xml:space="preserve">Device Compliance Profiles deployed ensure a strong security posture for the entire Windows 10 and iOS fleet. Compliance Policies allow the Agency to ensure that baselines are met prior to access being granted to any corporate applications or data. The Windows 10 compliance policy settings include:</w:t>
      </w:r>
    </w:p>
    <w:p>
      <w:pPr>
        <w:numPr>
          <w:ilvl w:val="0"/>
          <w:numId w:val="1040"/>
        </w:numPr>
      </w:pPr>
      <w:r>
        <w:t xml:space="preserve">Device Health – This includes BitLocker status and whether code integrity is enabled.</w:t>
      </w:r>
    </w:p>
    <w:p>
      <w:pPr>
        <w:numPr>
          <w:ilvl w:val="0"/>
          <w:numId w:val="1040"/>
        </w:numPr>
      </w:pPr>
      <w:r>
        <w:t xml:space="preserve">Device Properties – Including a minimum and maximum Operating System version.</w:t>
      </w:r>
    </w:p>
    <w:p>
      <w:pPr>
        <w:numPr>
          <w:ilvl w:val="0"/>
          <w:numId w:val="1040"/>
        </w:numPr>
      </w:pPr>
      <w:r>
        <w:t xml:space="preserve">Configuration Manager Compliance – Whether the endpoint is compliance will all Configuration Manager evaluations. This is especially applicable in a co-managed scenario such as this deployment.</w:t>
      </w:r>
    </w:p>
    <w:p>
      <w:pPr>
        <w:numPr>
          <w:ilvl w:val="0"/>
          <w:numId w:val="1040"/>
        </w:numPr>
      </w:pPr>
      <w:r>
        <w:t xml:space="preserve">System Security – Password compliance, standards, length, and complexity. This also includes device level firewall, TPM, Antivirus, Antispyware, and Microsoft Defender Antimalware settings.</w:t>
      </w:r>
    </w:p>
    <w:p>
      <w:pPr>
        <w:numPr>
          <w:ilvl w:val="0"/>
          <w:numId w:val="1040"/>
        </w:numPr>
      </w:pPr>
      <w:r>
        <w:t xml:space="preserve">Microsoft Defender ATP – Configures the maximum allowed machine risk score, if exceeded the device is marked as noncompliant.</w:t>
      </w:r>
    </w:p>
    <w:p>
      <w:pPr>
        <w:pStyle w:val="FirstParagraph"/>
      </w:pPr>
      <w:r>
        <w:t xml:space="preserve">Device Compliance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Compliance Assessment</w:t>
            </w:r>
          </w:p>
        </w:tc>
        <w:tc>
          <w:p>
            <w:pPr>
              <w:pStyle w:val="Compact"/>
              <w:jc w:val="left"/>
            </w:pPr>
            <w:r>
              <w:t xml:space="preserve">Configured</w:t>
            </w:r>
          </w:p>
        </w:tc>
        <w:tc>
          <w:p>
            <w:pPr>
              <w:pStyle w:val="Compact"/>
              <w:jc w:val="left"/>
            </w:pPr>
            <w:r>
              <w:t xml:space="preserve">Since mobile devices routinely leave the office environment, and the protection it affords, it is important that organisations develop a mobile device usage policy governing their use.</w:t>
            </w:r>
          </w:p>
        </w:tc>
      </w:tr>
    </w:tbl>
    <w:p>
      <w:pPr>
        <w:pStyle w:val="Heading3"/>
      </w:pPr>
      <w:bookmarkStart w:id="106" w:name="intune---device-configuration"/>
      <w:r>
        <w:t xml:space="preserve">Intune - Device Configuration</w:t>
      </w:r>
      <w:bookmarkEnd w:id="106"/>
    </w:p>
    <w:p>
      <w:pPr>
        <w:pStyle w:val="FirstParagraph"/>
      </w:pPr>
      <w:r>
        <w:t xml:space="preserve">Device Configuration Profiles provide the ability to control settings and features on supported endpoints. These include, device and user settings, browser settings, and hardware settings. Device Configuration Profiles can be deployed to specific users or devices by using Azure AD groups.</w:t>
      </w:r>
    </w:p>
    <w:p>
      <w:pPr>
        <w:pStyle w:val="BodyText"/>
      </w:pPr>
      <w:r>
        <w:t xml:space="preserve">There are many supported platforms, each of which have several profile sub-types that they offer configuration for, at the time of writing, the following platforms are supported:</w:t>
      </w:r>
    </w:p>
    <w:p>
      <w:pPr>
        <w:numPr>
          <w:ilvl w:val="0"/>
          <w:numId w:val="1041"/>
        </w:numPr>
      </w:pPr>
      <w:r>
        <w:t xml:space="preserve">Android device administrator</w:t>
      </w:r>
    </w:p>
    <w:p>
      <w:pPr>
        <w:numPr>
          <w:ilvl w:val="0"/>
          <w:numId w:val="1041"/>
        </w:numPr>
      </w:pPr>
      <w:r>
        <w:t xml:space="preserve">Android Enterprise</w:t>
      </w:r>
    </w:p>
    <w:p>
      <w:pPr>
        <w:numPr>
          <w:ilvl w:val="0"/>
          <w:numId w:val="1041"/>
        </w:numPr>
      </w:pPr>
      <w:r>
        <w:t xml:space="preserve">iOS/iPadOS</w:t>
      </w:r>
    </w:p>
    <w:p>
      <w:pPr>
        <w:numPr>
          <w:ilvl w:val="0"/>
          <w:numId w:val="1041"/>
        </w:numPr>
      </w:pPr>
      <w:r>
        <w:t xml:space="preserve">macOS</w:t>
      </w:r>
    </w:p>
    <w:p>
      <w:pPr>
        <w:numPr>
          <w:ilvl w:val="0"/>
          <w:numId w:val="1041"/>
        </w:numPr>
      </w:pPr>
      <w:r>
        <w:t xml:space="preserve">Windows Phone 8.1</w:t>
      </w:r>
    </w:p>
    <w:p>
      <w:pPr>
        <w:numPr>
          <w:ilvl w:val="0"/>
          <w:numId w:val="1041"/>
        </w:numPr>
      </w:pPr>
      <w:r>
        <w:t xml:space="preserve">Windows 8.1 and later</w:t>
      </w:r>
    </w:p>
    <w:p>
      <w:pPr>
        <w:numPr>
          <w:ilvl w:val="0"/>
          <w:numId w:val="1041"/>
        </w:numPr>
      </w:pPr>
      <w:r>
        <w:t xml:space="preserve">Windows 10 and later</w:t>
      </w:r>
    </w:p>
    <w:p>
      <w:pPr>
        <w:pStyle w:val="FirstParagraph"/>
      </w:pPr>
      <w:r>
        <w:t xml:space="preserve">Within each platform there are number of profile types allowing many settings to be configured. The profile types and settings that are configurable vary depending on the platform.</w:t>
      </w:r>
    </w:p>
    <w:p>
      <w:pPr>
        <w:pStyle w:val="BodyText"/>
      </w:pPr>
      <w:r>
        <w:t xml:space="preserve">In general terms, configuration profiles either configure the device for use by the user or secure the device.</w:t>
      </w:r>
    </w:p>
    <w:p>
      <w:pPr>
        <w:pStyle w:val="BodyText"/>
      </w:pPr>
      <w:r>
        <w:t xml:space="preserve">Custom profiles can be created for a platform although this should be considered a last resort if the settings are not available in any other way.</w:t>
      </w:r>
    </w:p>
    <w:p>
      <w:pPr>
        <w:pStyle w:val="BodyText"/>
      </w:pPr>
      <w:r>
        <w:t xml:space="preserve">In a co-managed state, these settings may be superfluous to existing Group Policies and SOE settings.</w:t>
      </w:r>
    </w:p>
    <w:p>
      <w:pPr>
        <w:pStyle w:val="BodyText"/>
      </w:pPr>
      <w:r>
        <w:t xml:space="preserve">Device Configuration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policies</w:t>
            </w:r>
          </w:p>
        </w:tc>
        <w:tc>
          <w:p>
            <w:pPr>
              <w:pStyle w:val="Compact"/>
              <w:jc w:val="left"/>
            </w:pPr>
            <w:r>
              <w:t xml:space="preserve">Configured</w:t>
            </w:r>
          </w:p>
        </w:tc>
        <w:tc>
          <w:p>
            <w:pPr>
              <w:pStyle w:val="Compact"/>
              <w:jc w:val="left"/>
            </w:pPr>
            <w:r>
              <w:t xml:space="preserve">Intune policies are applied easing management.</w:t>
            </w:r>
          </w:p>
        </w:tc>
      </w:tr>
      <w:tr>
        <w:tc>
          <w:p>
            <w:pPr>
              <w:pStyle w:val="Compact"/>
              <w:jc w:val="left"/>
            </w:pPr>
            <w:r>
              <w:t xml:space="preserve">Device security policies</w:t>
            </w:r>
          </w:p>
        </w:tc>
        <w:tc>
          <w:p>
            <w:pPr>
              <w:pStyle w:val="Compact"/>
              <w:jc w:val="left"/>
            </w:pPr>
            <w:r>
              <w:t xml:space="preserve">Configured by exception</w:t>
            </w:r>
          </w:p>
        </w:tc>
        <w:tc>
          <w:p>
            <w:pPr>
              <w:pStyle w:val="Compact"/>
              <w:jc w:val="left"/>
            </w:pPr>
            <w:r>
              <w:t xml:space="preserve">Security baselines as discussed below provide a better option when the settings are available.</w:t>
            </w:r>
          </w:p>
        </w:tc>
      </w:tr>
    </w:tbl>
    <w:p>
      <w:pPr>
        <w:pStyle w:val="BodyText"/>
      </w:pPr>
      <w:r>
        <w:t xml:space="preserve">Additional Device Configuration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Configured</w:t>
            </w:r>
          </w:p>
        </w:tc>
        <w:tc>
          <w:p>
            <w:pPr>
              <w:pStyle w:val="Compact"/>
              <w:jc w:val="left"/>
            </w:pPr>
            <w:r>
              <w:t xml:space="preserve">Intune policies are applied easing management.</w:t>
            </w:r>
          </w:p>
        </w:tc>
      </w:tr>
    </w:tbl>
    <w:p>
      <w:pPr>
        <w:pStyle w:val="BodyText"/>
      </w:pPr>
      <w:r>
        <w:t xml:space="preserve">Additional Device Configuration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Not Configured</w:t>
            </w:r>
          </w:p>
        </w:tc>
        <w:tc>
          <w:p>
            <w:pPr>
              <w:pStyle w:val="Compact"/>
              <w:jc w:val="left"/>
            </w:pPr>
            <w:r>
              <w:t xml:space="preserve">Management solution such as SCCM and Group Policy are applied to manage settings.</w:t>
            </w:r>
          </w:p>
        </w:tc>
      </w:tr>
    </w:tbl>
    <w:p>
      <w:pPr>
        <w:pStyle w:val="Heading3"/>
      </w:pPr>
      <w:bookmarkStart w:id="107" w:name="intune---security-baselines"/>
      <w:r>
        <w:t xml:space="preserve">Intune - Security Baselines</w:t>
      </w:r>
      <w:bookmarkEnd w:id="107"/>
    </w:p>
    <w:p>
      <w:pPr>
        <w:pStyle w:val="FirstParagraph"/>
      </w:pPr>
      <w:r>
        <w:t xml:space="preserve">Security Baselines are pre-configured groups of Windows settings that are recommended by Microsoft. The security baselines are templates and are used to create a profile that is specific to the environment for deployment and applied to enrolled devices.</w:t>
      </w:r>
    </w:p>
    <w:p>
      <w:pPr>
        <w:pStyle w:val="BodyText"/>
      </w:pPr>
      <w:r>
        <w:t xml:space="preserve">Within Intune, pre-configured Security Baselines profiles can be associated to devices to align them with Microsoft security best practices. These profiles contain multiple device specific configuration profiles and control several security related settings such as, but not limited to:</w:t>
      </w:r>
    </w:p>
    <w:p>
      <w:pPr>
        <w:numPr>
          <w:ilvl w:val="0"/>
          <w:numId w:val="1042"/>
        </w:numPr>
      </w:pPr>
      <w:r>
        <w:t xml:space="preserve">App Runtime</w:t>
      </w:r>
    </w:p>
    <w:p>
      <w:pPr>
        <w:numPr>
          <w:ilvl w:val="0"/>
          <w:numId w:val="1042"/>
        </w:numPr>
      </w:pPr>
      <w:r>
        <w:t xml:space="preserve">Autoplay</w:t>
      </w:r>
    </w:p>
    <w:p>
      <w:pPr>
        <w:numPr>
          <w:ilvl w:val="0"/>
          <w:numId w:val="1042"/>
        </w:numPr>
      </w:pPr>
      <w:r>
        <w:t xml:space="preserve">BitLocker</w:t>
      </w:r>
    </w:p>
    <w:p>
      <w:pPr>
        <w:pStyle w:val="FirstParagraph"/>
      </w:pPr>
      <w:r>
        <w:t xml:space="preserve">These baselines provide robust security guidelines and are generated by Microsoft.</w:t>
      </w:r>
    </w:p>
    <w:p>
      <w:pPr>
        <w:pStyle w:val="BodyText"/>
      </w:pPr>
      <w:r>
        <w:t xml:space="preserve">In the case of a co-managed / hybrid scenario, security baselines should only be used when they do not conflict with settings deployed through SCCM and Group Policy.</w:t>
      </w:r>
    </w:p>
    <w:p>
      <w:pPr>
        <w:pStyle w:val="BodyText"/>
      </w:pPr>
      <w:r>
        <w:t xml:space="preserve">Security Baselines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System configuration is managed via Intune.</w:t>
            </w:r>
          </w:p>
        </w:tc>
      </w:tr>
    </w:tbl>
    <w:p>
      <w:pPr>
        <w:pStyle w:val="BodyText"/>
      </w:pPr>
      <w:r>
        <w:t xml:space="preserve">Security Baselines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bl>
    <w:p>
      <w:pPr>
        <w:pStyle w:val="Heading3"/>
      </w:pPr>
      <w:bookmarkStart w:id="108" w:name="intune---information-protection"/>
      <w:r>
        <w:t xml:space="preserve">Intune - Information Protection</w:t>
      </w:r>
      <w:bookmarkEnd w:id="108"/>
    </w:p>
    <w:p>
      <w:pPr>
        <w:pStyle w:val="FirstParagraph"/>
      </w:pPr>
      <w:r>
        <w:t xml:space="preserve">Application protection policies are rules that ensure an Agency’s data remains safe or contained in a managed application.</w:t>
      </w:r>
    </w:p>
    <w:p>
      <w:pPr>
        <w:pStyle w:val="BodyText"/>
      </w:pPr>
      <w:r>
        <w:t xml:space="preserve">An application protection policy can be a rule that is enforced when the user attempts to access or move</w:t>
      </w:r>
      <w:r>
        <w:t xml:space="preserve"> </w:t>
      </w:r>
      <w:r>
        <w:t xml:space="preserve">“</w:t>
      </w:r>
      <w:r>
        <w:t xml:space="preserve">corporate</w:t>
      </w:r>
      <w:r>
        <w:t xml:space="preserve">”</w:t>
      </w:r>
      <w:r>
        <w:t xml:space="preserve"> </w:t>
      </w:r>
      <w:r>
        <w:t xml:space="preserve">data, or a set of actions that are prohibited or monitored when the user is inside the app.</w:t>
      </w:r>
    </w:p>
    <w:p>
      <w:pPr>
        <w:pStyle w:val="BodyText"/>
      </w:pPr>
      <w:r>
        <w:t xml:space="preserve">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MAM or MDM policies</w:t>
            </w:r>
          </w:p>
        </w:tc>
        <w:tc>
          <w:p>
            <w:pPr>
              <w:pStyle w:val="Compact"/>
              <w:jc w:val="left"/>
            </w:pPr>
            <w:r>
              <w:t xml:space="preserve">MDM will be used to apply application protection policies.</w:t>
            </w:r>
          </w:p>
        </w:tc>
        <w:tc>
          <w:p>
            <w:pPr>
              <w:pStyle w:val="Compact"/>
              <w:jc w:val="left"/>
            </w:pPr>
            <w:r>
              <w:t xml:space="preserve">MAM based policy is not able to manage non-enlightened line of business applications. (Non-Microsoft Office apps).</w:t>
            </w:r>
          </w:p>
        </w:tc>
      </w:tr>
      <w:tr>
        <w:tc>
          <w:p>
            <w:pPr>
              <w:pStyle w:val="Compact"/>
              <w:jc w:val="left"/>
            </w:pPr>
            <w:r>
              <w:t xml:space="preserve">Desktop Protected Apps</w:t>
            </w:r>
          </w:p>
        </w:tc>
        <w:tc>
          <w:p>
            <w:pPr>
              <w:pStyle w:val="Compact"/>
              <w:jc w:val="left"/>
            </w:pPr>
            <w:r>
              <w:t xml:space="preserve">All Microsoft Office desktop applications will be protected. Detailed settings are in the DTA – Platform – ABAC document.</w:t>
            </w:r>
          </w:p>
        </w:tc>
        <w:tc>
          <w:p>
            <w:pPr>
              <w:pStyle w:val="Compact"/>
              <w:jc w:val="left"/>
            </w:pPr>
            <w:r>
              <w:t xml:space="preserve">No additional desktop applications are included in this Blueprint.</w:t>
            </w:r>
          </w:p>
        </w:tc>
      </w:tr>
      <w:tr>
        <w:tc>
          <w:p>
            <w:pPr>
              <w:pStyle w:val="Compact"/>
              <w:jc w:val="left"/>
            </w:pPr>
            <w:r>
              <w:t xml:space="preserve">Mobile Apps</w:t>
            </w:r>
          </w:p>
        </w:tc>
        <w:tc>
          <w:p>
            <w:pPr>
              <w:pStyle w:val="Compact"/>
              <w:jc w:val="left"/>
            </w:pPr>
            <w:r>
              <w:t xml:space="preserve">Default set will be protected on mobile devices. Detailed settings are in the DTA – Platform – ABAC document.</w:t>
            </w:r>
          </w:p>
        </w:tc>
        <w:tc>
          <w:p>
            <w:pPr>
              <w:pStyle w:val="Compact"/>
              <w:jc w:val="left"/>
            </w:pPr>
            <w:r>
              <w:t xml:space="preserve">Default set of mobile apps covers all of the apps in this Blueprint.</w:t>
            </w:r>
          </w:p>
        </w:tc>
      </w:tr>
      <w:tr>
        <w:tc>
          <w:p>
            <w:pPr>
              <w:pStyle w:val="Compact"/>
              <w:jc w:val="left"/>
            </w:pPr>
            <w:r>
              <w:t xml:space="preserve">Network Boundary – Cloud Resources</w:t>
            </w:r>
          </w:p>
        </w:tc>
        <w:tc>
          <w:p>
            <w:pPr>
              <w:pStyle w:val="Compact"/>
              <w:jc w:val="left"/>
            </w:pPr>
            <w:r>
              <w:t xml:space="preserve">Default SharePoint URLs will be protected. Detailed settings are in the DTA – Platform – ABAC document.</w:t>
            </w:r>
          </w:p>
        </w:tc>
        <w:tc>
          <w:p>
            <w:pPr>
              <w:pStyle w:val="Compact"/>
              <w:jc w:val="left"/>
            </w:pPr>
            <w:r>
              <w:t xml:space="preserve">If additional URLs are identified these can also be added to the Cloud Resources scope.</w:t>
            </w:r>
          </w:p>
        </w:tc>
      </w:tr>
      <w:tr>
        <w:tc>
          <w:p>
            <w:pPr>
              <w:pStyle w:val="Compact"/>
              <w:jc w:val="left"/>
            </w:pPr>
            <w:r>
              <w:t xml:space="preserve">Network Boundary – Network Domain</w:t>
            </w:r>
          </w:p>
        </w:tc>
        <w:tc>
          <w:p>
            <w:pPr>
              <w:pStyle w:val="Compact"/>
              <w:jc w:val="left"/>
            </w:pPr>
            <w:r>
              <w:t xml:space="preserve">Production domain will be protected. Detailed settings are in the DTA – Platform – ABAC document.</w:t>
            </w:r>
          </w:p>
        </w:tc>
        <w:tc>
          <w:p>
            <w:pPr>
              <w:pStyle w:val="Compact"/>
              <w:jc w:val="left"/>
            </w:pPr>
            <w:r>
              <w:t xml:space="preserve">If additional network subnets are identified these can also be added to the Network Domain scope.</w:t>
            </w:r>
          </w:p>
        </w:tc>
      </w:tr>
    </w:tbl>
    <w:p>
      <w:pPr>
        <w:pStyle w:val="Heading3"/>
      </w:pPr>
      <w:bookmarkStart w:id="109" w:name="intune---software-updates"/>
      <w:r>
        <w:t xml:space="preserve">Intune - Software Updates</w:t>
      </w:r>
      <w:bookmarkEnd w:id="109"/>
    </w:p>
    <w:p>
      <w:pPr>
        <w:pStyle w:val="FirstParagraph"/>
      </w:pPr>
      <w:r>
        <w:t xml:space="preserve">Windows Update for Business uses Intune to manage the installation of updates and features from Microsoft Windows Update servers. There is no requirement for on-premises servers or storage of update files.</w:t>
      </w:r>
    </w:p>
    <w:p>
      <w:pPr>
        <w:pStyle w:val="BodyText"/>
      </w:pPr>
      <w:r>
        <w:t xml:space="preserve">Intune stores the update policy assignments not the updates themselves. No requirement for on-premises infrastructure.</w:t>
      </w:r>
    </w:p>
    <w:p>
      <w:pPr>
        <w:pStyle w:val="BodyText"/>
      </w:pPr>
      <w:r>
        <w:t xml:space="preserve">There is no requirement or ability to selectively enable or disable a particular update.</w:t>
      </w:r>
    </w:p>
    <w:p>
      <w:pPr>
        <w:pStyle w:val="BodyText"/>
      </w:pPr>
      <w:r>
        <w:t xml:space="preserve">Fast and slow update rings can be configured and assigned to different groups or users or devices allow early adopters to provide a level of validation before all users are provided with updates.</w:t>
      </w:r>
    </w:p>
    <w:p>
      <w:pPr>
        <w:pStyle w:val="BodyText"/>
      </w:pPr>
      <w:r>
        <w:t xml:space="preserve">When deploying a hybrid solution, the software and patch updates of Windows devices should be considered. Other management solutions such as SCCM and Windows Server Update Service (WSUS) may be servicing the Windows devices for the updates hence duplicating processes.</w:t>
      </w:r>
    </w:p>
    <w:p>
      <w:pPr>
        <w:pStyle w:val="BodyText"/>
      </w:pPr>
      <w:r>
        <w:t xml:space="preserve">Software Updates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Servicing Channel</w:t>
            </w:r>
          </w:p>
        </w:tc>
        <w:tc>
          <w:p>
            <w:pPr>
              <w:pStyle w:val="Compact"/>
              <w:jc w:val="left"/>
            </w:pPr>
            <w:r>
              <w:t xml:space="preserve">Semi-Annual Channel</w:t>
            </w:r>
          </w:p>
        </w:tc>
        <w:tc>
          <w:p>
            <w:pPr>
              <w:pStyle w:val="Compact"/>
              <w:jc w:val="left"/>
            </w:pPr>
            <w:r>
              <w:t xml:space="preserve">Aligns with ACSC guidance for Operating System updates.</w:t>
            </w:r>
          </w:p>
        </w:tc>
      </w:tr>
      <w:tr>
        <w:tc>
          <w:p>
            <w:pPr>
              <w:pStyle w:val="Compact"/>
              <w:jc w:val="left"/>
            </w:pPr>
            <w:r>
              <w:t xml:space="preserve">Microsoft Product updates</w:t>
            </w:r>
          </w:p>
        </w:tc>
        <w:tc>
          <w:p>
            <w:pPr>
              <w:pStyle w:val="Compact"/>
              <w:jc w:val="left"/>
            </w:pPr>
            <w:r>
              <w:t xml:space="preserve">Allow</w:t>
            </w:r>
          </w:p>
        </w:tc>
        <w:tc>
          <w:p>
            <w:pPr>
              <w:pStyle w:val="Compact"/>
              <w:jc w:val="left"/>
            </w:pPr>
            <w:r>
              <w:t xml:space="preserve">Aligns with ACSC guidance for product updates.</w:t>
            </w:r>
          </w:p>
        </w:tc>
      </w:tr>
      <w:tr>
        <w:tc>
          <w:p>
            <w:pPr>
              <w:pStyle w:val="Compact"/>
              <w:jc w:val="left"/>
            </w:pPr>
            <w:r>
              <w:t xml:space="preserve">Windows Drivers</w:t>
            </w:r>
          </w:p>
        </w:tc>
        <w:tc>
          <w:p>
            <w:pPr>
              <w:pStyle w:val="Compact"/>
              <w:jc w:val="left"/>
            </w:pPr>
            <w:r>
              <w:t xml:space="preserve">Allow</w:t>
            </w:r>
          </w:p>
        </w:tc>
        <w:tc>
          <w:p>
            <w:pPr>
              <w:pStyle w:val="Compact"/>
              <w:jc w:val="left"/>
            </w:pPr>
            <w:r>
              <w:t xml:space="preserve">Aligns with ACSC guidance for driver updates.</w:t>
            </w:r>
          </w:p>
        </w:tc>
      </w:tr>
      <w:tr>
        <w:tc>
          <w:p>
            <w:pPr>
              <w:pStyle w:val="Compact"/>
              <w:jc w:val="left"/>
            </w:pPr>
            <w:r>
              <w:t xml:space="preserve">Quality Deferral period</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Deferral</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Update uninstall period</w:t>
            </w:r>
          </w:p>
        </w:tc>
        <w:tc>
          <w:p>
            <w:pPr>
              <w:pStyle w:val="Compact"/>
              <w:jc w:val="left"/>
            </w:pPr>
            <w:r>
              <w:t xml:space="preserve">10 days</w:t>
            </w:r>
          </w:p>
        </w:tc>
        <w:tc>
          <w:p>
            <w:pPr>
              <w:pStyle w:val="Compact"/>
              <w:jc w:val="left"/>
            </w:pPr>
            <w:r>
              <w:t xml:space="preserve">Allows reversal for a short period of time in the event of breaking change updates.</w:t>
            </w:r>
          </w:p>
        </w:tc>
      </w:tr>
    </w:tbl>
    <w:p>
      <w:pPr>
        <w:pStyle w:val="Heading3"/>
      </w:pPr>
      <w:bookmarkStart w:id="110" w:name="intune---ios"/>
      <w:r>
        <w:t xml:space="preserve">Intune - iOS</w:t>
      </w:r>
      <w:bookmarkEnd w:id="110"/>
    </w:p>
    <w:p>
      <w:pPr>
        <w:pStyle w:val="FirstParagraph"/>
      </w:pPr>
      <w:r>
        <w:t xml:space="preserve">iOS devices will be enrolled with the Intune Agency Portal to gain secure access to Agency data.</w:t>
      </w:r>
    </w:p>
    <w:p>
      <w:pPr>
        <w:pStyle w:val="BodyText"/>
      </w:pPr>
      <w:r>
        <w:t xml:space="preserve">After devices are enrolled, they become managed. Agencies can assign policies and apps to the device through a mobile device management (MDM) provider, such as Intune.</w:t>
      </w:r>
    </w:p>
    <w:p>
      <w:pPr>
        <w:pStyle w:val="BodyText"/>
      </w:pPr>
      <w:r>
        <w:t xml:space="preserve">Intune iOS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is commonly deployed across the Commonwealth and can be hardened in line with the ACSC hardening guide for iOS devices</w:t>
            </w:r>
          </w:p>
        </w:tc>
      </w:tr>
      <w:tr>
        <w:tc>
          <w:p>
            <w:pPr>
              <w:pStyle w:val="Compact"/>
              <w:jc w:val="left"/>
            </w:pPr>
            <w:r>
              <w:t xml:space="preserve">iOS Configuration</w:t>
            </w:r>
          </w:p>
        </w:tc>
        <w:tc>
          <w:p>
            <w:pPr>
              <w:pStyle w:val="Compact"/>
              <w:jc w:val="left"/>
            </w:pPr>
            <w:r>
              <w:t xml:space="preserve">Configurations will follow the ACSC hardening guide for iOS devices as much as possible using Intune. Refer to DTA – Intune Configuration - ABAC document.</w:t>
            </w:r>
          </w:p>
        </w:tc>
        <w:tc>
          <w:p>
            <w:pPr>
              <w:pStyle w:val="Compact"/>
              <w:jc w:val="left"/>
            </w:pPr>
            <w:r>
              <w:t xml:space="preserve">Aligns with the ACSC Security Configuration Guide Apple iOS 12 Devices ..</w:t>
            </w:r>
          </w:p>
        </w:tc>
      </w:tr>
    </w:tbl>
    <w:p>
      <w:pPr>
        <w:pStyle w:val="Heading3"/>
      </w:pPr>
      <w:bookmarkStart w:id="111" w:name="registry-settings"/>
      <w:r>
        <w:t xml:space="preserve">Registry Settings</w:t>
      </w:r>
      <w:bookmarkEnd w:id="111"/>
    </w:p>
    <w:p>
      <w:pPr>
        <w:pStyle w:val="FirstParagraph"/>
      </w:pPr>
      <w:r>
        <w:t xml:space="preserve">Registry settings are applied to the Windows registry to modify the underlying operating system. Registry settings are typically changed in a client operating system to configure the system or increase the security of system.</w:t>
      </w:r>
    </w:p>
    <w:p>
      <w:pPr>
        <w:pStyle w:val="BodyText"/>
      </w:pPr>
      <w:r>
        <w:t xml:space="preserve">There are several tools available to apply registry settings such as:</w:t>
      </w:r>
    </w:p>
    <w:p>
      <w:pPr>
        <w:numPr>
          <w:ilvl w:val="0"/>
          <w:numId w:val="1043"/>
        </w:numPr>
      </w:pPr>
      <w:r>
        <w:t xml:space="preserve">Group Policy</w:t>
      </w:r>
    </w:p>
    <w:p>
      <w:pPr>
        <w:numPr>
          <w:ilvl w:val="0"/>
          <w:numId w:val="1043"/>
        </w:numPr>
      </w:pPr>
      <w:r>
        <w:t xml:space="preserve">Intune</w:t>
      </w:r>
    </w:p>
    <w:p>
      <w:pPr>
        <w:numPr>
          <w:ilvl w:val="0"/>
          <w:numId w:val="1043"/>
        </w:numPr>
      </w:pPr>
      <w:r>
        <w:t xml:space="preserve">Configuration Manager (SCCM)</w:t>
      </w:r>
    </w:p>
    <w:p>
      <w:pPr>
        <w:pStyle w:val="FirstParagraph"/>
      </w:pPr>
      <w:r>
        <w:t xml:space="preserve">The ACSC provides the Microsoft Windows and Office 365 hardening guides that defines group policy settings along with other recommendations to significantly reduce the attack surface available to malicious attacks.</w:t>
      </w:r>
    </w:p>
    <w:p>
      <w:pPr>
        <w:pStyle w:val="BodyText"/>
      </w:pPr>
      <w:r>
        <w:t xml:space="preserve">Registry settings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Intune</w:t>
            </w:r>
          </w:p>
        </w:tc>
        <w:tc>
          <w:p>
            <w:pPr>
              <w:pStyle w:val="Compact"/>
              <w:jc w:val="left"/>
            </w:pPr>
            <w:r>
              <w:t xml:space="preserve">The Agency will use Intune to implement and modify user and computer registry settings to comply with ACSC Windows and Office 365 Pro Plus hardening guides.</w:t>
            </w:r>
          </w:p>
        </w:tc>
      </w:tr>
    </w:tbl>
    <w:p>
      <w:pPr>
        <w:pStyle w:val="BodyText"/>
      </w:pPr>
      <w:r>
        <w:t xml:space="preserve">Registry settings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Group Policy Objects &amp; SCCM</w:t>
            </w:r>
          </w:p>
        </w:tc>
        <w:tc>
          <w:p>
            <w:pPr>
              <w:pStyle w:val="Compact"/>
              <w:jc w:val="left"/>
            </w:pPr>
            <w:r>
              <w:t xml:space="preserve">The Agency may utilise management solutions such as Group Policy Objects and SCCM to implement and modify user and computer registry settings to comply with ACSC Windows and Office 365 Pro Plus hardening guides.</w:t>
            </w:r>
          </w:p>
        </w:tc>
      </w:tr>
    </w:tbl>
    <w:p>
      <w:pPr>
        <w:pStyle w:val="Heading3"/>
      </w:pPr>
      <w:bookmarkStart w:id="112" w:name="applications"/>
      <w:r>
        <w:t xml:space="preserve">Applications</w:t>
      </w:r>
      <w:bookmarkEnd w:id="112"/>
    </w:p>
    <w:p>
      <w:pPr>
        <w:pStyle w:val="FirstParagraph"/>
      </w:pPr>
      <w:r>
        <w:t xml:space="preserve">The lifecycle of applications can be managed using Intune. Applications can be deployed, configured, protected and removed.</w:t>
      </w:r>
    </w:p>
    <w:p>
      <w:pPr>
        <w:pStyle w:val="BodyText"/>
      </w:pPr>
      <w:r>
        <w:t xml:space="preserve">Managed applications can be provisioned to the following platforms:</w:t>
      </w:r>
    </w:p>
    <w:p>
      <w:pPr>
        <w:numPr>
          <w:ilvl w:val="0"/>
          <w:numId w:val="1044"/>
        </w:numPr>
      </w:pPr>
      <w:r>
        <w:t xml:space="preserve">Android</w:t>
      </w:r>
    </w:p>
    <w:p>
      <w:pPr>
        <w:numPr>
          <w:ilvl w:val="0"/>
          <w:numId w:val="1044"/>
        </w:numPr>
      </w:pPr>
      <w:r>
        <w:t xml:space="preserve">iOS</w:t>
      </w:r>
    </w:p>
    <w:p>
      <w:pPr>
        <w:numPr>
          <w:ilvl w:val="0"/>
          <w:numId w:val="1044"/>
        </w:numPr>
      </w:pPr>
      <w:r>
        <w:t xml:space="preserve">Windows Phone</w:t>
      </w:r>
    </w:p>
    <w:p>
      <w:pPr>
        <w:numPr>
          <w:ilvl w:val="0"/>
          <w:numId w:val="1044"/>
        </w:numPr>
      </w:pPr>
      <w:r>
        <w:t xml:space="preserve">Windows 8.1</w:t>
      </w:r>
    </w:p>
    <w:p>
      <w:pPr>
        <w:numPr>
          <w:ilvl w:val="0"/>
          <w:numId w:val="1044"/>
        </w:numPr>
      </w:pPr>
      <w:r>
        <w:t xml:space="preserve">Windows 10 and later</w:t>
      </w:r>
    </w:p>
    <w:p>
      <w:pPr>
        <w:pStyle w:val="FirstParagraph"/>
      </w:pPr>
      <w:r>
        <w:t xml:space="preserve">Applications types that can be managed include:</w:t>
      </w:r>
    </w:p>
    <w:p>
      <w:pPr>
        <w:numPr>
          <w:ilvl w:val="0"/>
          <w:numId w:val="1045"/>
        </w:numPr>
      </w:pPr>
      <w:r>
        <w:t xml:space="preserve">Store Apps (Android, iOS, Windows Phone, Microsoft Store and Google Play)</w:t>
      </w:r>
    </w:p>
    <w:p>
      <w:pPr>
        <w:numPr>
          <w:ilvl w:val="0"/>
          <w:numId w:val="1045"/>
        </w:numPr>
      </w:pPr>
      <w:r>
        <w:t xml:space="preserve">The Microsoft Office suite</w:t>
      </w:r>
    </w:p>
    <w:p>
      <w:pPr>
        <w:numPr>
          <w:ilvl w:val="0"/>
          <w:numId w:val="1045"/>
        </w:numPr>
      </w:pPr>
      <w:r>
        <w:t xml:space="preserve">Microsoft Edge</w:t>
      </w:r>
    </w:p>
    <w:p>
      <w:pPr>
        <w:numPr>
          <w:ilvl w:val="0"/>
          <w:numId w:val="1045"/>
        </w:numPr>
      </w:pPr>
      <w:r>
        <w:t xml:space="preserve">Microsoft Defender ATP</w:t>
      </w:r>
    </w:p>
    <w:p>
      <w:pPr>
        <w:numPr>
          <w:ilvl w:val="0"/>
          <w:numId w:val="1045"/>
        </w:numPr>
      </w:pPr>
      <w:r>
        <w:t xml:space="preserve">Web links</w:t>
      </w:r>
    </w:p>
    <w:p>
      <w:pPr>
        <w:numPr>
          <w:ilvl w:val="0"/>
          <w:numId w:val="1045"/>
        </w:numPr>
      </w:pPr>
      <w:r>
        <w:t xml:space="preserve">Built-In applications</w:t>
      </w:r>
    </w:p>
    <w:p>
      <w:pPr>
        <w:numPr>
          <w:ilvl w:val="0"/>
          <w:numId w:val="1045"/>
        </w:numPr>
      </w:pPr>
      <w:r>
        <w:t xml:space="preserve">Line of Business applications</w:t>
      </w:r>
    </w:p>
    <w:p>
      <w:pPr>
        <w:numPr>
          <w:ilvl w:val="0"/>
          <w:numId w:val="1045"/>
        </w:numPr>
      </w:pPr>
      <w:r>
        <w:t xml:space="preserve">Win32 applications</w:t>
      </w:r>
    </w:p>
    <w:p>
      <w:pPr>
        <w:numPr>
          <w:ilvl w:val="0"/>
          <w:numId w:val="1045"/>
        </w:numPr>
      </w:pPr>
      <w:r>
        <w:t xml:space="preserve">Android Enterprise system applications</w:t>
      </w:r>
    </w:p>
    <w:p>
      <w:pPr>
        <w:pStyle w:val="FirstParagraph"/>
      </w:pPr>
      <w:r>
        <w:t xml:space="preserve">When deploying a hybrid solution, the application lifecycle method should be considered as other management solutions such as SCCM may be performing the same service.</w:t>
      </w:r>
    </w:p>
    <w:p>
      <w:pPr>
        <w:pStyle w:val="BodyText"/>
      </w:pPr>
      <w:r>
        <w:t xml:space="preserve">Applications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Application Deployment</w:t>
            </w:r>
          </w:p>
        </w:tc>
        <w:tc>
          <w:p>
            <w:pPr>
              <w:pStyle w:val="Compact"/>
              <w:jc w:val="left"/>
            </w:pPr>
            <w:r>
              <w:t xml:space="preserve">Configured</w:t>
            </w:r>
          </w:p>
        </w:tc>
        <w:tc>
          <w:p>
            <w:pPr>
              <w:pStyle w:val="Compact"/>
              <w:jc w:val="left"/>
            </w:pPr>
            <w:r>
              <w:t xml:space="preserve">Deployment and monitoring of the deployment can be assigned to users or devices.</w:t>
            </w:r>
          </w:p>
        </w:tc>
      </w:tr>
      <w:tr>
        <w:tc>
          <w:p>
            <w:pPr>
              <w:pStyle w:val="Compact"/>
              <w:jc w:val="left"/>
            </w:pPr>
            <w:r>
              <w:t xml:space="preserve">Application Configuration</w:t>
            </w:r>
          </w:p>
        </w:tc>
        <w:tc>
          <w:p>
            <w:pPr>
              <w:pStyle w:val="Compact"/>
              <w:jc w:val="left"/>
            </w:pPr>
            <w:r>
              <w:t xml:space="preserve">Configured</w:t>
            </w:r>
          </w:p>
        </w:tc>
        <w:tc>
          <w:p>
            <w:pPr>
              <w:pStyle w:val="Compact"/>
              <w:jc w:val="left"/>
            </w:pPr>
            <w:r>
              <w:t xml:space="preserve">Store applications are easily updated while Win32 applications will need some packaging.</w:t>
            </w:r>
          </w:p>
        </w:tc>
      </w:tr>
      <w:tr>
        <w:tc>
          <w:p>
            <w:pPr>
              <w:pStyle w:val="Compact"/>
              <w:jc w:val="left"/>
            </w:pPr>
            <w:r>
              <w:t xml:space="preserve">Application Protection</w:t>
            </w:r>
          </w:p>
        </w:tc>
        <w:tc>
          <w:p>
            <w:pPr>
              <w:pStyle w:val="Compact"/>
              <w:jc w:val="left"/>
            </w:pPr>
            <w:r>
              <w:t xml:space="preserve">Configured</w:t>
            </w:r>
          </w:p>
        </w:tc>
        <w:tc>
          <w:p>
            <w:pPr>
              <w:pStyle w:val="Compact"/>
              <w:jc w:val="left"/>
            </w:pPr>
            <w:r>
              <w:t xml:space="preserve">In combination with conditional access and network boundaries, applications are limited with respect to the copy, paste, forwarding, printing capabilities.</w:t>
            </w:r>
          </w:p>
        </w:tc>
      </w:tr>
      <w:tr>
        <w:tc>
          <w:p>
            <w:pPr>
              <w:pStyle w:val="Compact"/>
              <w:jc w:val="left"/>
            </w:pPr>
            <w:r>
              <w:t xml:space="preserve">Application Removal</w:t>
            </w:r>
          </w:p>
        </w:tc>
        <w:tc>
          <w:p>
            <w:pPr>
              <w:pStyle w:val="Compact"/>
              <w:jc w:val="left"/>
            </w:pPr>
            <w:r>
              <w:t xml:space="preserve">Configured</w:t>
            </w:r>
          </w:p>
        </w:tc>
        <w:tc>
          <w:p>
            <w:pPr>
              <w:pStyle w:val="Compact"/>
              <w:jc w:val="left"/>
            </w:pPr>
            <w:r>
              <w:t xml:space="preserve">When applications (or versions of applications) are no longer required they are removed via Agency’s nominated management solution.</w:t>
            </w:r>
          </w:p>
        </w:tc>
      </w:tr>
    </w:tbl>
    <w:p>
      <w:pPr>
        <w:pStyle w:val="Heading3"/>
      </w:pPr>
      <w:bookmarkStart w:id="113" w:name="printing"/>
      <w:r>
        <w:t xml:space="preserve">Printing</w:t>
      </w:r>
      <w:bookmarkEnd w:id="113"/>
    </w:p>
    <w:p>
      <w:pPr>
        <w:pStyle w:val="FirstParagraph"/>
      </w:pPr>
      <w:r>
        <w:t xml:space="preserve">Printing is a legitimate method of data transfer out of an environment. Printing allows users to physically export data from a network and hence also it can be leveraged by malicious actors for data exfiltration. To minimize the risks associated with printing, the location where printing is allowed should be controlled.</w:t>
      </w:r>
    </w:p>
    <w:p>
      <w:pPr>
        <w:pStyle w:val="BodyText"/>
      </w:pPr>
      <w:r>
        <w:t xml:space="preserve">Intune can be leveraged to control what printers are available within a device and whether a user is able to add additional local printers.</w:t>
      </w:r>
    </w:p>
    <w:p>
      <w:pPr>
        <w:pStyle w:val="BodyText"/>
      </w:pPr>
      <w:r>
        <w:t xml:space="preserve">For a user to leverage an available printer, connectivity and a device driver is often required. The drivers can be delivered and updated using Intune and/or SCCM. Connectivity depends on the connected network(s) of the client. The options include:</w:t>
      </w:r>
    </w:p>
    <w:p>
      <w:pPr>
        <w:numPr>
          <w:ilvl w:val="0"/>
          <w:numId w:val="1046"/>
        </w:numPr>
      </w:pPr>
      <w:r>
        <w:t xml:space="preserve">Corporate Network printing – In the workplace, the domain joined computers can connect to the print servers and send jobs to the queue.</w:t>
      </w:r>
    </w:p>
    <w:p>
      <w:pPr>
        <w:numPr>
          <w:ilvl w:val="0"/>
          <w:numId w:val="1046"/>
        </w:numPr>
      </w:pPr>
      <w:r>
        <w:t xml:space="preserve">External Network printing via Hybrid Cloud Print – Without network connectivity via Citrix, a VPN, or Microsoft Hybrid Cloud Print, direct print server connectivity is not available. Microsoft Hybrid Cloud Print utilises a reverse proxy to communicate with the print servers located within the work network.</w:t>
      </w:r>
    </w:p>
    <w:p>
      <w:pPr>
        <w:numPr>
          <w:ilvl w:val="0"/>
          <w:numId w:val="1046"/>
        </w:numPr>
      </w:pPr>
      <w:r>
        <w:t xml:space="preserve">External Network printing via VPN – When direct printer connectivity is not available from external networks, a VPN such as Windows 10 Always-On VPN can allow clients to function as if they were part of the corporate network.</w:t>
      </w:r>
    </w:p>
    <w:p>
      <w:pPr>
        <w:pStyle w:val="FirstParagraph"/>
      </w:pPr>
      <w:r>
        <w:t xml:space="preserve">When deploying a hybrid solution, the allocation of printers to users should be considered. Other management solutions such as Group Policy and SCCM may be servicing the allocation of printers to devices.</w:t>
      </w:r>
    </w:p>
    <w:p>
      <w:pPr>
        <w:pStyle w:val="BodyText"/>
      </w:pPr>
      <w:r>
        <w:t xml:space="preserve">Printing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Configured using scripts deployed via Intune. Printers must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to be restricted as adequate controls for the creation, storage and destruction of classified content cannot be implemented</w:t>
            </w:r>
          </w:p>
        </w:tc>
      </w:tr>
    </w:tbl>
    <w:p>
      <w:pPr>
        <w:pStyle w:val="BodyText"/>
      </w:pPr>
      <w:r>
        <w:t xml:space="preserve">Printing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Management tools such as Group Policy can be used to configure printer configurations. Printers will need to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restricted as adequate controls cannot be implemented to prevent the creation of classified content on untrusted print device.</w:t>
            </w:r>
          </w:p>
        </w:tc>
      </w:tr>
    </w:tbl>
    <w:p>
      <w:pPr>
        <w:pStyle w:val="Heading2"/>
      </w:pPr>
      <w:bookmarkStart w:id="114" w:name="backup-and-operational-management"/>
      <w:r>
        <w:t xml:space="preserve">Backup and Operational Management</w:t>
      </w:r>
      <w:bookmarkEnd w:id="114"/>
    </w:p>
    <w:p>
      <w:pPr>
        <w:pStyle w:val="Heading3"/>
      </w:pPr>
      <w:bookmarkStart w:id="115" w:name="rpo-rto-and-retention-periods"/>
      <w:r>
        <w:t xml:space="preserve">RPO, RTO and Retention Periods</w:t>
      </w:r>
      <w:bookmarkEnd w:id="115"/>
    </w:p>
    <w:p>
      <w:pPr>
        <w:pStyle w:val="FirstParagraph"/>
      </w:pPr>
      <w:r>
        <w:t xml:space="preserve">As with an on-premises environment, backups play an important part of an overall cloud solution capability. It is important that critical information is backed up to enable recovery for scenarios such as accidental deletion or corruption.</w:t>
      </w:r>
    </w:p>
    <w:p>
      <w:pPr>
        <w:pStyle w:val="BodyText"/>
      </w:pPr>
      <w:r>
        <w:t xml:space="preserve">To ensure a successful backup, configuration of the following items should be taken into consideration:</w:t>
      </w:r>
    </w:p>
    <w:p>
      <w:pPr>
        <w:numPr>
          <w:ilvl w:val="0"/>
          <w:numId w:val="1047"/>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7"/>
        </w:numPr>
      </w:pPr>
      <w:r>
        <w:t xml:space="preserve">Recovery Point Objective (RPO) - RPO defines an acceptable loss of data (in time) for a data type in a data-loss event. RPOs are expressed in hours / days and directly influence the backup approach used, and how backups are performed with sufficient frequency to meet the defined RPO. For example, if an RPO of 12 hours was defined for a given data type, backups of this data type could not be scheduled further than 12 hours apart.</w:t>
      </w:r>
    </w:p>
    <w:p>
      <w:pPr>
        <w:numPr>
          <w:ilvl w:val="0"/>
          <w:numId w:val="1047"/>
        </w:numPr>
      </w:pPr>
      <w:r>
        <w:t xml:space="preserve">Recovery Time Objective (RTO) - RTO is used to define the acceptable level of service interruption (in time) between a data loss event and the recovery of the data to a point at which normal service is resumed. When determining RTOs for a given data type, consideration must also be given to any additional recovery process that are undertaken after the restoration of data. The RTO directly influences the type of backups performed and may dictate additional protection mechanisms outside of the backup platform for data types where a very short RTO is defined.</w:t>
      </w:r>
    </w:p>
    <w:p>
      <w:pPr>
        <w:numPr>
          <w:ilvl w:val="0"/>
          <w:numId w:val="1047"/>
        </w:numPr>
      </w:pPr>
      <w:r>
        <w:t xml:space="preserve">Legislative Requirements – The essential 8 details that backups of important information, software and configuration settings are performed. More detail on these controls are listed in the</w:t>
      </w:r>
      <w:r>
        <w:t xml:space="preserve"> </w:t>
      </w:r>
      <w:hyperlink r:id="rId116">
        <w:r>
          <w:rPr>
            <w:rStyle w:val="Hyperlink"/>
          </w:rPr>
          <w:t xml:space="preserve">Protective Security Policy Framework</w:t>
        </w:r>
      </w:hyperlink>
      <w:r>
        <w:t xml:space="preserve"> </w:t>
      </w:r>
      <w:r>
        <w:t xml:space="preserve">and the</w:t>
      </w:r>
      <w:r>
        <w:t xml:space="preserve"> </w:t>
      </w:r>
      <w:hyperlink r:id="rId117">
        <w:r>
          <w:rPr>
            <w:rStyle w:val="Hyperlink"/>
          </w:rPr>
          <w:t xml:space="preserve">Essentail Eight Matruity Model</w:t>
        </w:r>
      </w:hyperlink>
      <w:r>
        <w:t xml:space="preserve">.</w:t>
      </w:r>
    </w:p>
    <w:p>
      <w:pPr>
        <w:pStyle w:val="FirstParagraph"/>
      </w:pPr>
      <w:r>
        <w:t xml:space="preserve">It is important that prior to defining the backup and restore policies, RTO and RPO objectives for each data type hosted the environment are defined in line with business requirements and Service Level Agreements (SLA).</w:t>
      </w:r>
    </w:p>
    <w:p>
      <w:pPr>
        <w:pStyle w:val="BodyText"/>
      </w:pPr>
      <w:r>
        <w:t xml:space="preserve">There are several enterprise Backup software solutions which can backup data on-premises or in the cloud. Depending on the requirements, a backup solution can cover the following scenarios:</w:t>
      </w:r>
    </w:p>
    <w:p>
      <w:pPr>
        <w:numPr>
          <w:ilvl w:val="0"/>
          <w:numId w:val="1048"/>
        </w:numPr>
      </w:pPr>
      <w:r>
        <w:t xml:space="preserve">Backup local data directly to on-premises infrastructure from on-premises.</w:t>
      </w:r>
    </w:p>
    <w:p>
      <w:pPr>
        <w:numPr>
          <w:ilvl w:val="0"/>
          <w:numId w:val="1048"/>
        </w:numPr>
      </w:pPr>
      <w:r>
        <w:t xml:space="preserve">Backup local data to on-premises infrastructure and to the Azure storage blob from on-premises.</w:t>
      </w:r>
    </w:p>
    <w:p>
      <w:pPr>
        <w:numPr>
          <w:ilvl w:val="0"/>
          <w:numId w:val="1048"/>
        </w:numPr>
      </w:pPr>
      <w:r>
        <w:t xml:space="preserve">Backup cloud data directly from the cloud.</w:t>
      </w:r>
    </w:p>
    <w:p>
      <w:pPr>
        <w:pStyle w:val="FirstParagraph"/>
      </w:pPr>
      <w:r>
        <w:t xml:space="preserve">Using the native Office 365 tools only, in combination with recycle bins the following data recovery options and retention periods are available:</w:t>
      </w:r>
    </w:p>
    <w:p>
      <w:pPr>
        <w:numPr>
          <w:ilvl w:val="0"/>
          <w:numId w:val="1049"/>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9"/>
        </w:numPr>
      </w:pPr>
      <w:r>
        <w:t xml:space="preserve">Documents, Desktops and Pictures for each user is redirected from the Windows client device to OneDrive using Windows Known Folders providing a backup of data to the cloud.</w:t>
      </w:r>
    </w:p>
    <w:p>
      <w:pPr>
        <w:numPr>
          <w:ilvl w:val="0"/>
          <w:numId w:val="1049"/>
        </w:numPr>
      </w:pPr>
      <w:r>
        <w:t xml:space="preserve">OneDrive includes recycle bins allowing recovery of data for up to 93 days.</w:t>
      </w:r>
    </w:p>
    <w:p>
      <w:pPr>
        <w:numPr>
          <w:ilvl w:val="0"/>
          <w:numId w:val="1049"/>
        </w:numPr>
      </w:pPr>
      <w:r>
        <w:t xml:space="preserve">SharePoint Online data includes recycle bins allowing recovery of data for up to 93 days.</w:t>
      </w:r>
    </w:p>
    <w:p>
      <w:pPr>
        <w:numPr>
          <w:ilvl w:val="0"/>
          <w:numId w:val="1049"/>
        </w:numPr>
      </w:pPr>
      <w:r>
        <w:t xml:space="preserve">Teams chat, channel and files data retained indefinitely by default unless retention policies have been implemented.</w:t>
      </w:r>
    </w:p>
    <w:p>
      <w:pPr>
        <w:numPr>
          <w:ilvl w:val="0"/>
          <w:numId w:val="1049"/>
        </w:numPr>
      </w:pPr>
      <w:r>
        <w:t xml:space="preserve">Exchange Online has a recover deleted items from server option allowing recovery of data for up to 30 days.</w:t>
      </w:r>
    </w:p>
    <w:p>
      <w:pPr>
        <w:pStyle w:val="FirstParagraph"/>
      </w:pPr>
      <w:r>
        <w:t xml:space="preserve">Retention policies are created that ensure that data is retained forever for:</w:t>
      </w:r>
    </w:p>
    <w:p>
      <w:pPr>
        <w:numPr>
          <w:ilvl w:val="0"/>
          <w:numId w:val="1050"/>
        </w:numPr>
      </w:pPr>
      <w:r>
        <w:t xml:space="preserve">Exchange</w:t>
      </w:r>
    </w:p>
    <w:p>
      <w:pPr>
        <w:numPr>
          <w:ilvl w:val="0"/>
          <w:numId w:val="1050"/>
        </w:numPr>
      </w:pPr>
      <w:r>
        <w:t xml:space="preserve">SharePoint</w:t>
      </w:r>
    </w:p>
    <w:p>
      <w:pPr>
        <w:numPr>
          <w:ilvl w:val="0"/>
          <w:numId w:val="1050"/>
        </w:numPr>
      </w:pPr>
      <w:r>
        <w:t xml:space="preserve">OneDrive</w:t>
      </w:r>
    </w:p>
    <w:p>
      <w:pPr>
        <w:numPr>
          <w:ilvl w:val="0"/>
          <w:numId w:val="1050"/>
        </w:numPr>
      </w:pPr>
      <w:r>
        <w:t xml:space="preserve">Office 365 Groups</w:t>
      </w:r>
    </w:p>
    <w:p>
      <w:pPr>
        <w:numPr>
          <w:ilvl w:val="0"/>
          <w:numId w:val="1050"/>
        </w:numPr>
      </w:pPr>
      <w:r>
        <w:t xml:space="preserve">Skype for Business</w:t>
      </w:r>
    </w:p>
    <w:p>
      <w:pPr>
        <w:numPr>
          <w:ilvl w:val="0"/>
          <w:numId w:val="1050"/>
        </w:numPr>
      </w:pPr>
      <w:r>
        <w:t xml:space="preserve">Exchange Public Folders</w:t>
      </w:r>
    </w:p>
    <w:p>
      <w:pPr>
        <w:numPr>
          <w:ilvl w:val="0"/>
          <w:numId w:val="1050"/>
        </w:numPr>
      </w:pPr>
      <w:r>
        <w:t xml:space="preserve">Teams channel messages</w:t>
      </w:r>
    </w:p>
    <w:p>
      <w:pPr>
        <w:numPr>
          <w:ilvl w:val="0"/>
          <w:numId w:val="1050"/>
        </w:numPr>
      </w:pPr>
      <w:r>
        <w:t xml:space="preserve">Teams chats</w:t>
      </w:r>
    </w:p>
    <w:p>
      <w:pPr>
        <w:pStyle w:val="FirstParagraph"/>
      </w:pPr>
      <w:r>
        <w:t xml:space="preserve">Workstation configuration is stored in Intune. (AutoPilot rebuild).</w:t>
      </w:r>
    </w:p>
    <w:p>
      <w:pPr>
        <w:pStyle w:val="BodyText"/>
      </w:pPr>
      <w:r>
        <w:t xml:space="preserve">When deploying a hybrid solution, the cloud based native Office 365 tools will not meet an Agencies requirement for on-premises and cloud backups. Agencies will need to investigate third party backup solutions which can backup data on-premises or in the cloud.</w:t>
      </w:r>
    </w:p>
    <w:p>
      <w:pPr>
        <w:pStyle w:val="BodyText"/>
      </w:pPr>
      <w:r>
        <w:t xml:space="preserve">RPO, RTO and Retention Periods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Online Exchange Mailboxes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Exchange Mail Items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SharePoint</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Teams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OneDrive for Business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bl>
    <w:p>
      <w:pPr>
        <w:pStyle w:val="BodyText"/>
      </w:pPr>
      <w:r>
        <w:t xml:space="preserve">Additional RPO, RTO and Retention Periods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Microsoft backup and restoration tools</w:t>
            </w:r>
          </w:p>
        </w:tc>
        <w:tc>
          <w:p>
            <w:pPr>
              <w:pStyle w:val="Compact"/>
              <w:jc w:val="left"/>
            </w:pPr>
            <w:r>
              <w:t xml:space="preserve">The Agency will leverage Microsoft Office 365 native tools in the first instance to recover user data.</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Up to maximum allowable days per Microsoft Office 365 application</w:t>
            </w:r>
          </w:p>
        </w:tc>
        <w:tc>
          <w:p>
            <w:pPr>
              <w:pStyle w:val="Compact"/>
              <w:jc w:val="left"/>
            </w:pPr>
            <w:r>
              <w:t xml:space="preserve">For guidance only. Agencies are required to measure these against the business, application, regulatory and security requirements.</w:t>
            </w:r>
          </w:p>
        </w:tc>
      </w:tr>
    </w:tbl>
    <w:p>
      <w:pPr>
        <w:pStyle w:val="BodyText"/>
      </w:pPr>
      <w:r>
        <w:t xml:space="preserve">Additional RPO, RTO and Retention Periods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Third party backup and restoration tools</w:t>
            </w:r>
          </w:p>
        </w:tc>
        <w:tc>
          <w:p>
            <w:pPr>
              <w:pStyle w:val="Compact"/>
              <w:jc w:val="left"/>
            </w:pPr>
            <w:r>
              <w:t xml:space="preserve">Agencies should investigate third-party backup tools to backup and restore data on-premises and within the cloud.</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r>
              <w:t xml:space="preserve">On-premises Exchange</w:t>
            </w:r>
            <w:r>
              <w:t xml:space="preserve">On-premises SharePoint</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At discretion of Agency</w:t>
            </w:r>
          </w:p>
        </w:tc>
        <w:tc>
          <w:p>
            <w:pPr>
              <w:pStyle w:val="Compact"/>
              <w:jc w:val="left"/>
            </w:pPr>
            <w:r>
              <w:t xml:space="preserve">Retention policies for the backups should be determined by the Agency and measured against the business, application, regulatory and security requirements.</w:t>
            </w:r>
          </w:p>
        </w:tc>
      </w:tr>
    </w:tbl>
    <w:p>
      <w:pPr>
        <w:pStyle w:val="Heading3"/>
      </w:pPr>
      <w:bookmarkStart w:id="118" w:name="data-availability"/>
      <w:r>
        <w:t xml:space="preserve">Data Availability</w:t>
      </w:r>
      <w:bookmarkEnd w:id="118"/>
    </w:p>
    <w:p>
      <w:pPr>
        <w:pStyle w:val="FirstParagraph"/>
      </w:pPr>
      <w:r>
        <w:t xml:space="preserve">Microsoft Azure services are available globally and provides geographical, regional, data centre, virtual infrastructure, and application resiliency. This allows the Microsoft Azure platform and Office 365 to combat and minimise potential disasters such as customers loss of connectivity to data or loss of data.</w:t>
      </w:r>
    </w:p>
    <w:p>
      <w:pPr>
        <w:pStyle w:val="BodyText"/>
      </w:pPr>
      <w:r>
        <w:t xml:space="preserve">Data availability is an important part of making sure that end users have access to the data when they require it. The cloud-based service of Microsoft Office 365 will replicate and store Agency’s data in multiple data centres which are geographically dispersed (see</w:t>
      </w:r>
      <w:r>
        <w:t xml:space="preserve"> </w:t>
      </w:r>
      <w:hyperlink r:id="rId119">
        <w:r>
          <w:rPr>
            <w:rStyle w:val="Hyperlink"/>
          </w:rPr>
          <w:t xml:space="preserve">Exchange data resiliency</w:t>
        </w:r>
      </w:hyperlink>
      <w:r>
        <w:t xml:space="preserve"> </w:t>
      </w:r>
      <w:r>
        <w:t xml:space="preserve">and</w:t>
      </w:r>
      <w:r>
        <w:t xml:space="preserve"> </w:t>
      </w:r>
      <w:hyperlink r:id="rId120">
        <w:r>
          <w:rPr>
            <w:rStyle w:val="Hyperlink"/>
          </w:rPr>
          <w:t xml:space="preserve">Office 365 data resiliency</w:t>
        </w:r>
      </w:hyperlink>
      <w:r>
        <w:t xml:space="preserve">). The Office 365 applications that provide this data availability are:</w:t>
      </w:r>
    </w:p>
    <w:p>
      <w:pPr>
        <w:numPr>
          <w:ilvl w:val="0"/>
          <w:numId w:val="1051"/>
        </w:numPr>
      </w:pPr>
      <w:r>
        <w:t xml:space="preserve">Exchange</w:t>
      </w:r>
    </w:p>
    <w:p>
      <w:pPr>
        <w:numPr>
          <w:ilvl w:val="0"/>
          <w:numId w:val="1051"/>
        </w:numPr>
      </w:pPr>
      <w:r>
        <w:t xml:space="preserve">SharePoint</w:t>
      </w:r>
    </w:p>
    <w:p>
      <w:pPr>
        <w:numPr>
          <w:ilvl w:val="0"/>
          <w:numId w:val="1051"/>
        </w:numPr>
      </w:pPr>
      <w:r>
        <w:t xml:space="preserve">OneDrive</w:t>
      </w:r>
    </w:p>
    <w:p>
      <w:pPr>
        <w:numPr>
          <w:ilvl w:val="0"/>
          <w:numId w:val="1051"/>
        </w:numPr>
      </w:pPr>
      <w:r>
        <w:t xml:space="preserve">Teams</w:t>
      </w:r>
    </w:p>
    <w:p>
      <w:pPr>
        <w:pStyle w:val="FirstParagraph"/>
      </w:pPr>
      <w:r>
        <w:t xml:space="preserve">The data availability and resiliency of Office 365 cloud service is in-built and managed by Microsoft.</w:t>
      </w:r>
    </w:p>
    <w:p>
      <w:pPr>
        <w:pStyle w:val="BodyText"/>
      </w:pPr>
      <w:r>
        <w:t xml:space="preserve">Data Availability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Data Availability</w:t>
            </w:r>
          </w:p>
        </w:tc>
        <w:tc>
          <w:p>
            <w:pPr>
              <w:pStyle w:val="Compact"/>
              <w:jc w:val="left"/>
            </w:pPr>
            <w:r>
              <w:t xml:space="preserve">Configured</w:t>
            </w:r>
          </w:p>
        </w:tc>
        <w:tc>
          <w:p>
            <w:pPr>
              <w:pStyle w:val="Compact"/>
              <w:jc w:val="left"/>
            </w:pPr>
            <w:r>
              <w:t xml:space="preserve">Microsoft have in-built data availability into the Office 365 cloud services.</w:t>
            </w:r>
          </w:p>
        </w:tc>
      </w:tr>
    </w:tbl>
    <w:p>
      <w:pPr>
        <w:pStyle w:val="Heading2"/>
      </w:pPr>
      <w:bookmarkStart w:id="121" w:name="system-administration"/>
      <w:r>
        <w:t xml:space="preserve">System Administration</w:t>
      </w:r>
      <w:bookmarkEnd w:id="121"/>
    </w:p>
    <w:p>
      <w:pPr>
        <w:pStyle w:val="FirstParagraph"/>
      </w:pPr>
      <w:r>
        <w:t xml:space="preserve">System Administration is the process of managing, troubleshooting, and maintaining the solution. To complete this, system administrators are granted permissions over the solution. The allocation of permissions to administrators should align with the administrator’s role within the organisation and the principle of least privileged access. The allocation of permission to the administrator’s role is captured within the Role Based Access Control (RBAC) policy.</w:t>
      </w:r>
    </w:p>
    <w:p>
      <w:pPr>
        <w:pStyle w:val="Heading3"/>
      </w:pPr>
      <w:bookmarkStart w:id="122" w:name="administrative-consoles"/>
      <w:r>
        <w:t xml:space="preserve">Administrative Consoles</w:t>
      </w:r>
      <w:bookmarkEnd w:id="122"/>
    </w:p>
    <w:p>
      <w:pPr>
        <w:pStyle w:val="FirstParagraph"/>
      </w:pPr>
      <w:r>
        <w:t xml:space="preserve">To manage and configure the solution, administrators will use various administrative consoles. These consoles are a mixture of server based and web-based consoles that exist internally or in the cloud.</w:t>
      </w:r>
    </w:p>
    <w:p>
      <w:pPr>
        <w:pStyle w:val="BodyText"/>
      </w:pPr>
      <w:r>
        <w:t xml:space="preserve">Web based administrative consoles are provided by Microsoft however the urls for these consoles constantly change (refer to</w:t>
      </w:r>
      <w:r>
        <w:t xml:space="preserve"> </w:t>
      </w:r>
      <w:hyperlink r:id="rId123">
        <w:r>
          <w:rPr>
            <w:rStyle w:val="Hyperlink"/>
          </w:rPr>
          <w:t xml:space="preserve">Microsoft Security Portals</w:t>
        </w:r>
      </w:hyperlink>
      <w:r>
        <w:t xml:space="preserve">). The consoles listed below are correct at the time of writing.</w:t>
      </w:r>
    </w:p>
    <w:p>
      <w:pPr>
        <w:pStyle w:val="BodyText"/>
      </w:pPr>
      <w:r>
        <w:t xml:space="preserve">Administration consoles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4">
              <w:r>
                <w:rPr>
                  <w:rStyle w:val="Hyperlink"/>
                </w:rPr>
                <w:t xml:space="preserve">https://portal.azure.com</w:t>
              </w:r>
            </w:hyperlink>
            <w:r>
              <w:t xml:space="preserve">.</w:t>
            </w:r>
            <w:r>
              <w:t xml:space="preserve">Standard users do not have access to the portal.</w:t>
            </w:r>
          </w:p>
        </w:tc>
      </w:tr>
      <w:tr>
        <w:tc>
          <w:p>
            <w:pPr>
              <w:pStyle w:val="Compact"/>
              <w:jc w:val="left"/>
            </w:pPr>
            <w:r>
              <w:t xml:space="preserve">Office 365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5">
              <w:r>
                <w:rPr>
                  <w:rStyle w:val="Hyperlink"/>
                </w:rPr>
                <w:t xml:space="preserve">https://admin.microsoft.com/</w:t>
              </w:r>
            </w:hyperlink>
          </w:p>
        </w:tc>
      </w:tr>
      <w:tr>
        <w:tc>
          <w:p>
            <w:pPr>
              <w:pStyle w:val="Compact"/>
              <w:jc w:val="left"/>
            </w:pPr>
            <w:r>
              <w:t xml:space="preserve">Microsoft Defender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6">
              <w:r>
                <w:rPr>
                  <w:rStyle w:val="Hyperlink"/>
                </w:rPr>
                <w:t xml:space="preserve">https://securitycenter.windows.com/</w:t>
              </w:r>
            </w:hyperlink>
          </w:p>
        </w:tc>
      </w:tr>
      <w:tr>
        <w:tc>
          <w:p>
            <w:pPr>
              <w:pStyle w:val="Compact"/>
              <w:jc w:val="left"/>
            </w:pPr>
            <w:r>
              <w:t xml:space="preserve">MCAS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7">
              <w:r>
                <w:rPr>
                  <w:rStyle w:val="Hyperlink"/>
                </w:rPr>
                <w:t xml:space="preserve">https://portal.cloudappsecurity.com/</w:t>
              </w:r>
            </w:hyperlink>
          </w:p>
        </w:tc>
      </w:tr>
      <w:tr>
        <w:tc>
          <w:p>
            <w:pPr>
              <w:pStyle w:val="Compact"/>
              <w:jc w:val="left"/>
            </w:pPr>
            <w:r>
              <w:t xml:space="preserve">Microsoft 365 Compliance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8">
              <w:r>
                <w:rPr>
                  <w:rStyle w:val="Hyperlink"/>
                </w:rPr>
                <w:t xml:space="preserve">https://compliance.microsoft.com/</w:t>
              </w:r>
            </w:hyperlink>
          </w:p>
        </w:tc>
      </w:tr>
      <w:tr>
        <w:tc>
          <w:p>
            <w:pPr>
              <w:pStyle w:val="Compact"/>
              <w:jc w:val="left"/>
            </w:pPr>
            <w:r>
              <w:t xml:space="preserve">Microsoft Endpoint Manager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9">
              <w:r>
                <w:rPr>
                  <w:rStyle w:val="Hyperlink"/>
                </w:rPr>
                <w:t xml:space="preserve">https://devicemanagement.microsoft.com/</w:t>
              </w:r>
            </w:hyperlink>
          </w:p>
        </w:tc>
      </w:tr>
      <w:tr>
        <w:tc>
          <w:p>
            <w:pPr>
              <w:pStyle w:val="Compact"/>
              <w:jc w:val="left"/>
            </w:pPr>
            <w:r>
              <w:t xml:space="preserve">Microsoft 365 Security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0">
              <w:r>
                <w:rPr>
                  <w:rStyle w:val="Hyperlink"/>
                </w:rPr>
                <w:t xml:space="preserve">https://security.microsoft.com/</w:t>
              </w:r>
            </w:hyperlink>
          </w:p>
        </w:tc>
      </w:tr>
      <w:tr>
        <w:tc>
          <w:p>
            <w:pPr>
              <w:pStyle w:val="Compact"/>
              <w:jc w:val="left"/>
            </w:pPr>
            <w:r>
              <w:t xml:space="preserve">Azure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1">
              <w:r>
                <w:rPr>
                  <w:rStyle w:val="Hyperlink"/>
                </w:rPr>
                <w:t xml:space="preserve">https://portal.atp.azure.com/</w:t>
              </w:r>
            </w:hyperlink>
          </w:p>
        </w:tc>
      </w:tr>
      <w:tr>
        <w:tc>
          <w:p>
            <w:pPr>
              <w:pStyle w:val="Compact"/>
              <w:jc w:val="left"/>
            </w:pPr>
            <w:r>
              <w:t xml:space="preserve">Microsoft Defender Security Intelligence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2">
              <w:r>
                <w:rPr>
                  <w:rStyle w:val="Hyperlink"/>
                </w:rPr>
                <w:t xml:space="preserve">https://microsoft.com/wdsi/</w:t>
              </w:r>
            </w:hyperlink>
          </w:p>
        </w:tc>
      </w:tr>
    </w:tbl>
    <w:p>
      <w:pPr>
        <w:pStyle w:val="Heading3"/>
      </w:pPr>
      <w:bookmarkStart w:id="133" w:name="role-based-access-control-rbac"/>
      <w:r>
        <w:t xml:space="preserve">Role Based Access Control (RBAC)</w:t>
      </w:r>
      <w:bookmarkEnd w:id="133"/>
    </w:p>
    <w:p>
      <w:pPr>
        <w:pStyle w:val="FirstParagraph"/>
      </w:pPr>
      <w:r>
        <w:t xml:space="preserve">RBAC defines what an end user or administrator can do. In relation to system administration, RBAC provides various roles each of which can only perform certain tasks. For example, help desk staff may be able to only view certain resources, whereas system administrators could view, create, and delete those resources.</w:t>
      </w:r>
    </w:p>
    <w:p>
      <w:pPr>
        <w:pStyle w:val="BodyText"/>
      </w:pPr>
      <w:r>
        <w:t xml:space="preserve">When deploying the RBAC model in Azure, there are two scopes where access can be granted. The use of the scopes can be used separately or together depending on the services activated. The scopes include:</w:t>
      </w:r>
    </w:p>
    <w:p>
      <w:pPr>
        <w:numPr>
          <w:ilvl w:val="0"/>
          <w:numId w:val="1052"/>
        </w:numPr>
      </w:pPr>
      <w:r>
        <w:t xml:space="preserve">Tenant Scope - Roles within the Tenant Scope allow access to perform tasks at the Tenant and Office 365 administration level. By default, there are 51 built-in RBAC roles that can be assigned at this level to ensure least privilege access is implemented.</w:t>
      </w:r>
    </w:p>
    <w:p>
      <w:pPr>
        <w:numPr>
          <w:ilvl w:val="0"/>
          <w:numId w:val="1052"/>
        </w:numPr>
      </w:pPr>
      <w:r>
        <w:t xml:space="preserve">Subscription Scope – Roles within the Subscription Scope allow access to perform tasks within a subscription. Subscription roles do not have permissions at the Tenant Scope level.</w:t>
      </w:r>
    </w:p>
    <w:p>
      <w:pPr>
        <w:pStyle w:val="FirstParagraph"/>
      </w:pPr>
      <w:r>
        <w:t xml:space="preserve">Privileged Identity Management (PIM) can be leveraged to enhance the Azure RBAC model. PIM is an implementation of Just-in-time (JIT) access. JIT access ensures that an administrative account only has privileges when required to complete a function. JIT aligns to the principal of Zero Standing Privilege.</w:t>
      </w:r>
    </w:p>
    <w:p>
      <w:pPr>
        <w:pStyle w:val="BodyText"/>
      </w:pPr>
      <w:r>
        <w:t xml:space="preserve">Each PIM role assignment can have the following attributes:</w:t>
      </w:r>
    </w:p>
    <w:p>
      <w:pPr>
        <w:numPr>
          <w:ilvl w:val="0"/>
          <w:numId w:val="1053"/>
        </w:numPr>
      </w:pPr>
      <w:r>
        <w:t xml:space="preserve">Activation Duration - the Activation Duration attribute specifies the duration to allow the access request, the maximum is 72 hours.</w:t>
      </w:r>
    </w:p>
    <w:p>
      <w:pPr>
        <w:numPr>
          <w:ilvl w:val="0"/>
          <w:numId w:val="1053"/>
        </w:numPr>
      </w:pPr>
      <w:r>
        <w:t xml:space="preserve">Approver – the Approver attribute specifies the person or people who can approve role activation requests.</w:t>
      </w:r>
    </w:p>
    <w:p>
      <w:pPr>
        <w:numPr>
          <w:ilvl w:val="0"/>
          <w:numId w:val="1053"/>
        </w:numPr>
      </w:pPr>
      <w:r>
        <w:t xml:space="preserve">Notification – the Notification attribute specifies that a pending request is awaiting approval via email.</w:t>
      </w:r>
    </w:p>
    <w:p>
      <w:pPr>
        <w:numPr>
          <w:ilvl w:val="0"/>
          <w:numId w:val="1053"/>
        </w:numPr>
      </w:pPr>
      <w:r>
        <w:t xml:space="preserve">Incident Request Ticket – the Incident Request Ticket attribute specifies that the approver add an incident ticket number to the approval request.</w:t>
      </w:r>
    </w:p>
    <w:p>
      <w:pPr>
        <w:numPr>
          <w:ilvl w:val="0"/>
          <w:numId w:val="1053"/>
        </w:numPr>
      </w:pPr>
      <w:r>
        <w:t xml:space="preserve">Multi-factor Authentication – the Multi-factor Authentication attribute specifies whether MFA is required for activation.</w:t>
      </w:r>
    </w:p>
    <w:p>
      <w:pPr>
        <w:pStyle w:val="TableCaption"/>
      </w:pPr>
      <w:r>
        <w:t xml:space="preserve">RBAC Design Decisions for all agencies and implementation types.</w:t>
      </w:r>
    </w:p>
    <w:tbl>
      <w:tblPr>
        <w:tblStyle w:val="Table"/>
        <w:tblW w:type="pct" w:w="5000.0"/>
        <w:tblLook w:firstRow="1"/>
        <w:tblCaption w:val="RBAC Design Decisions for all agencies and implementation types."/>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Role Based Management</w:t>
            </w:r>
          </w:p>
        </w:tc>
        <w:tc>
          <w:p>
            <w:pPr>
              <w:pStyle w:val="Compact"/>
              <w:jc w:val="left"/>
            </w:pPr>
            <w:r>
              <w:t xml:space="preserve">Least Privilege, using PIM</w:t>
            </w:r>
          </w:p>
        </w:tc>
        <w:tc>
          <w:p>
            <w:pPr>
              <w:pStyle w:val="Compact"/>
              <w:jc w:val="left"/>
            </w:pPr>
            <w:r>
              <w:t xml:space="preserve">PIM will be utilised to provide Just-in-Time role-based management to ensure elevated access is only provided when required.</w:t>
            </w:r>
          </w:p>
        </w:tc>
      </w:tr>
      <w:tr>
        <w:tc>
          <w:p>
            <w:pPr>
              <w:pStyle w:val="Compact"/>
              <w:jc w:val="left"/>
            </w:pPr>
            <w:r>
              <w:t xml:space="preserve">PIM Roles</w:t>
            </w:r>
          </w:p>
        </w:tc>
        <w:tc>
          <w:p>
            <w:pPr>
              <w:pStyle w:val="Compact"/>
              <w:jc w:val="left"/>
            </w:pPr>
            <w:r>
              <w:t xml:space="preserve">Authentication Administrator</w:t>
            </w:r>
            <w:r>
              <w:t xml:space="preserve">Azure Information Protection Administrator</w:t>
            </w:r>
            <w:r>
              <w:t xml:space="preserve">Global Administrator</w:t>
            </w:r>
            <w:r>
              <w:t xml:space="preserve">Exchange Service Administrator</w:t>
            </w:r>
            <w:r>
              <w:t xml:space="preserve">Helpdesk Administrator</w:t>
            </w:r>
            <w:r>
              <w:t xml:space="preserve">Intune Service Administrator</w:t>
            </w:r>
            <w:r>
              <w:t xml:space="preserve">Office Apps Administrator</w:t>
            </w:r>
            <w:r>
              <w:t xml:space="preserve">Power BI Service Administrator</w:t>
            </w:r>
            <w:r>
              <w:t xml:space="preserve">Power Platform Administrator</w:t>
            </w:r>
            <w:r>
              <w:t xml:space="preserve">Privileged Role Administrator</w:t>
            </w:r>
            <w:r>
              <w:t xml:space="preserve">Security Administrator</w:t>
            </w:r>
            <w:r>
              <w:t xml:space="preserve">Security Operator</w:t>
            </w:r>
            <w:r>
              <w:t xml:space="preserve">SharePoint Service Administrator</w:t>
            </w:r>
            <w:r>
              <w:t xml:space="preserve">Teams Communications Administrator</w:t>
            </w:r>
            <w:r>
              <w:t xml:space="preserve">Teams Communications Support Engineer</w:t>
            </w:r>
            <w:r>
              <w:t xml:space="preserve">Teams Communications Support Specialist</w:t>
            </w:r>
            <w:r>
              <w:t xml:space="preserve">Teams Service Administrator</w:t>
            </w:r>
            <w:r>
              <w:t xml:space="preserve">User Account Administrator</w:t>
            </w:r>
          </w:p>
        </w:tc>
        <w:tc>
          <w:p>
            <w:pPr>
              <w:pStyle w:val="Compact"/>
              <w:jc w:val="left"/>
            </w:pPr>
            <w:r>
              <w:t xml:space="preserve">The configured PIM roles align to the services utilised within the solution.</w:t>
            </w:r>
          </w:p>
        </w:tc>
      </w:tr>
      <w:tr>
        <w:tc>
          <w:p>
            <w:pPr>
              <w:pStyle w:val="Compact"/>
              <w:jc w:val="left"/>
            </w:pPr>
            <w:r>
              <w:t xml:space="preserve">PIM approval</w:t>
            </w:r>
          </w:p>
        </w:tc>
        <w:tc>
          <w:p>
            <w:pPr>
              <w:pStyle w:val="Compact"/>
              <w:jc w:val="left"/>
            </w:pPr>
            <w:r>
              <w:t xml:space="preserve">Automatic approval for all roles except for Global Administrator</w:t>
            </w:r>
          </w:p>
        </w:tc>
        <w:tc>
          <w:p>
            <w:pPr>
              <w:pStyle w:val="Compact"/>
              <w:jc w:val="left"/>
            </w:pPr>
            <w:r>
              <w:t xml:space="preserve">Approval will only be required for Global Administrators.</w:t>
            </w:r>
          </w:p>
        </w:tc>
      </w:tr>
      <w:tr>
        <w:tc>
          <w:p>
            <w:pPr>
              <w:pStyle w:val="Compact"/>
              <w:jc w:val="left"/>
            </w:pPr>
            <w:r>
              <w:t xml:space="preserve">Activation duration</w:t>
            </w:r>
          </w:p>
        </w:tc>
        <w:tc>
          <w:p>
            <w:pPr>
              <w:pStyle w:val="Compact"/>
              <w:jc w:val="left"/>
            </w:pPr>
            <w:r>
              <w:t xml:space="preserve">8 hours</w:t>
            </w:r>
          </w:p>
        </w:tc>
        <w:tc>
          <w:p>
            <w:pPr>
              <w:pStyle w:val="Compact"/>
              <w:jc w:val="left"/>
            </w:pPr>
            <w:r>
              <w:t xml:space="preserve">The activation duration will be one workday to ensure that administrative actions are not impeded.</w:t>
            </w:r>
          </w:p>
        </w:tc>
      </w:tr>
    </w:tbl>
    <w:sectPr w:rsidR="009C30A9" w:rsidRPr="000854BB" w:rsidSect="006C675F">
      <w:headerReference w:type="even" r:id="rId10"/>
      <w:headerReference w:type="default" r:id="rId9"/>
      <w:footerReference w:type="even" r:id="rId12"/>
      <w:footerReference w:type="default" r:id="rId14"/>
      <w:headerReference w:type="first" r:id="rId11"/>
      <w:footerReference w:type="first" r:id="rId13"/>
      <w:endnotePr>
        <w:numFmt w:val="decimal"/>
      </w:endnotePr>
      <w:pgSz w:w="11907" w:h="16840" w:code="9"/>
      <w:pgMar w:top="1559" w:right="1389" w:bottom="1559" w:left="1389" w:header="454" w:footer="340" w:gutter="0"/>
      <w:pgNumType w:start="5"/>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ŸàƒSƒVƒbƒN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ntserrat">
    <w:altName w:val="Calibri"/>
    <w:charset w:val="00"/>
    <w:family w:val="auto"/>
    <w:pitch w:val="variable"/>
    <w:sig w:usb0="2000020F" w:usb1="00000003" w:usb2="00000000" w:usb3="00000000" w:csb0="00000197" w:csb1="00000000"/>
  </w:font>
  <w:font w:name="Yu Mincho">
    <w:altName w:val="Ÿà–¾’©"/>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B6C4B" w14:textId="77777777" w:rsidR="00DF08BB" w:rsidRPr="000D44B6" w:rsidRDefault="009E60B5" w:rsidP="003105C7">
    <w:pPr>
      <w:pStyle w:val="Footer"/>
      <w:tabs>
        <w:tab w:val="right" w:pos="9071"/>
      </w:tabs>
    </w:pPr>
    <w:r w:rsidRPr="005D3491">
      <w:t>Digital Transformation Agency</w:t>
    </w:r>
    <w:r>
      <w:t xml:space="preserve"> </w:t>
    </w:r>
    <w:r w:rsidRPr="005D3491">
      <w:t>—</w:t>
    </w:r>
    <w:r>
      <w:rPr>
        <w:bCs/>
      </w:rPr>
      <w:t xml:space="preserve"> </w:t>
    </w:r>
    <w:r w:rsidRPr="005C6FFD">
      <w:rPr>
        <w:rStyle w:val="PlaceholderText"/>
        <w:rFonts w:eastAsiaTheme="majorEastAsia"/>
      </w:rPr>
      <w:t>[Title]</w:t>
    </w:r>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5</w:t>
    </w:r>
    <w:r w:rsidRPr="008E7CDC">
      <w:rPr>
        <w:rStyle w:val="PageNumber"/>
      </w:rPr>
      <w:fldChar w:fldCharType="end"/>
    </w:r>
  </w:p>
  <w:p w14:paraId="716658A1" w14:textId="77777777" w:rsidR="00DF08BB" w:rsidRPr="00B14112" w:rsidRDefault="008338CA" w:rsidP="00644D38">
    <w:pPr>
      <w:pStyle w:val="Footer"/>
      <w:tabs>
        <w:tab w:val="right" w:pos="9129"/>
      </w:tabs>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7A30F" w14:textId="7919F6A0" w:rsidR="00DF08BB" w:rsidRPr="000D44B6" w:rsidRDefault="009E60B5" w:rsidP="006C675F">
    <w:pPr>
      <w:pStyle w:val="Footer"/>
      <w:tabs>
        <w:tab w:val="right" w:pos="9071"/>
      </w:tabs>
    </w:pPr>
    <w:r w:rsidRPr="005D3491">
      <w:t>Digital Transformation Agency</w:t>
    </w:r>
    <w:r>
      <w:t xml:space="preserve"> </w:t>
    </w:r>
    <w:r w:rsidRPr="005D3491">
      <w:t>—</w:t>
    </w:r>
    <w:r>
      <w:rPr>
        <w:bCs/>
      </w:rPr>
      <w:t xml:space="preserve"> </w:t>
    </w:r>
    <w:sdt>
      <w:sdtPr>
        <w:rPr>
          <w:bCs/>
        </w:rPr>
        <w:alias w:val="Title"/>
        <w:tag w:val=""/>
        <w:id w:val="1702276551"/>
        <w:placeholder>
          <w:docPart w:val="62E66C7B00BC44CAAD037E75E1EF99D5"/>
        </w:placeholder>
        <w:dataBinding w:prefixMappings="xmlns:ns0='http://purl.org/dc/elements/1.1/' xmlns:ns1='http://schemas.openxmlformats.org/package/2006/metadata/core-properties' " w:xpath="/ns1:coreProperties[1]/ns0:title[1]" w:storeItemID="{6C3C8BC8-F283-45AE-878A-BAB7291924A1}"/>
        <w:text/>
      </w:sdtPr>
      <w:sdtEndPr/>
      <w:sdtContent>
        <w:r w:rsidR="00F41AAD">
          <w:rPr>
            <w:bCs/>
          </w:rPr>
          <w:t>Platform Design</w:t>
        </w:r>
      </w:sdtContent>
    </w:sdt>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v</w:t>
    </w:r>
    <w:r w:rsidRPr="008E7CDC">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62CF8" w14:textId="77777777" w:rsidR="000854BB" w:rsidRDefault="000854B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46E01" w14:textId="0B09C934" w:rsidR="00DF08BB" w:rsidRDefault="009C30A9">
    <w:pPr>
      <w:pStyle w:val="Header"/>
    </w:pPr>
    <w:r>
      <w:rPr>
        <w:noProof/>
      </w:rPr>
      <mc:AlternateContent>
        <mc:Choice Requires="wps">
          <w:drawing>
            <wp:anchor distT="0" distB="0" distL="114300" distR="114300" simplePos="0" relativeHeight="251652608" behindDoc="0" locked="0" layoutInCell="0" allowOverlap="1" wp14:anchorId="5F077293" wp14:editId="7BEB402C">
              <wp:simplePos x="0" y="0"/>
              <wp:positionH relativeFrom="page">
                <wp:posOffset>0</wp:posOffset>
              </wp:positionH>
              <wp:positionV relativeFrom="page">
                <wp:posOffset>190500</wp:posOffset>
              </wp:positionV>
              <wp:extent cx="7560945" cy="266700"/>
              <wp:effectExtent l="0" t="0" r="0" b="0"/>
              <wp:wrapNone/>
              <wp:docPr id="13" name="Text Box 13" descr="{&quot;HashCode&quot;:-1539735589,&quot;Height&quot;:842.0,&quot;Width&quot;:595.0,&quot;Placement&quot;:&quot;Header&quot;,&quot;Index&quot;:&quot;OddAndEven&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077293" id="_x0000_t202" coordsize="21600,21600" o:spt="202" path="m,l,21600r21600,l21600,xe">
              <v:stroke joinstyle="miter"/>
              <v:path gradientshapeok="t" o:connecttype="rect"/>
            </v:shapetype>
            <v:shape id="Text Box 13" o:spid="_x0000_s1026" type="#_x0000_t202" alt="{&quot;HashCode&quot;:-1539735589,&quot;Height&quot;:842.0,&quot;Width&quot;:595.0,&quot;Placement&quot;:&quot;Header&quot;,&quot;Index&quot;:&quot;OddAndEven&quot;,&quot;Section&quot;:3,&quot;Top&quot;:0.0,&quot;Left&quot;:0.0}" style="position:absolute;margin-left:0;margin-top:15pt;width:595.35pt;height:21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AxDS12qAIAAFEFAAAOAAAAAAAAAAAAAAAA&#10;AC4CAABkcnMvZTJvRG9jLnhtbFBLAQItABQABgAIAAAAIQBMAuLt3AAAAAcBAAAPAAAAAAAAAAAA&#10;AAAAAAIFAABkcnMvZG93bnJldi54bWxQSwUGAAAAAAQABADzAAAACwYAAAAA&#10;" o:allowincell="f" filled="f" stroked="f" strokeweight=".5pt">
              <v:textbox inset=",0,,0">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E3AE0" w14:textId="4A998FAC" w:rsidR="00DF08BB" w:rsidRDefault="009C30A9">
    <w:pPr>
      <w:pStyle w:val="Header"/>
    </w:pPr>
    <w:r>
      <w:rPr>
        <w:noProof/>
      </w:rPr>
      <mc:AlternateContent>
        <mc:Choice Requires="wps">
          <w:drawing>
            <wp:anchor distT="0" distB="0" distL="114300" distR="114300" simplePos="0" relativeHeight="251654656" behindDoc="0" locked="0" layoutInCell="0" allowOverlap="1" wp14:anchorId="3BC34EC3" wp14:editId="2CBC3066">
              <wp:simplePos x="0" y="0"/>
              <wp:positionH relativeFrom="page">
                <wp:posOffset>0</wp:posOffset>
              </wp:positionH>
              <wp:positionV relativeFrom="page">
                <wp:posOffset>190500</wp:posOffset>
              </wp:positionV>
              <wp:extent cx="7560945" cy="266700"/>
              <wp:effectExtent l="0" t="0" r="0" b="0"/>
              <wp:wrapNone/>
              <wp:docPr id="12" name="Text Box 12" descr="{&quot;HashCode&quot;:-1539735589,&quot;Height&quot;:842.0,&quot;Width&quot;:595.0,&quot;Placement&quot;:&quot;Header&quot;,&quot;Index&quot;:&quot;Primary&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BC34EC3" id="_x0000_t202" coordsize="21600,21600" o:spt="202" path="m,l,21600r21600,l21600,xe">
              <v:stroke joinstyle="miter"/>
              <v:path gradientshapeok="t" o:connecttype="rect"/>
            </v:shapetype>
            <v:shape id="Text Box 12" o:spid="_x0000_s1027" type="#_x0000_t202" alt="{&quot;HashCode&quot;:-1539735589,&quot;Height&quot;:842.0,&quot;Width&quot;:595.0,&quot;Placement&quot;:&quot;Header&quot;,&quot;Index&quot;:&quot;Primary&quot;,&quot;Section&quot;:3,&quot;Top&quot;:0.0,&quot;Left&quot;:0.0}" style="position:absolute;margin-left:0;margin-top:15pt;width:595.35pt;height:21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CQAJxEqAIAAFUFAAAOAAAAAAAAAAAAAAAA&#10;AC4CAABkcnMvZTJvRG9jLnhtbFBLAQItABQABgAIAAAAIQBMAuLt3AAAAAcBAAAPAAAAAAAAAAAA&#10;AAAAAAIFAABkcnMvZG93bnJldi54bWxQSwUGAAAAAAQABADzAAAACwYAAAAA&#10;" o:allowincell="f" filled="f" stroked="f" strokeweight=".5pt">
              <v:textbox inset=",0,,0">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2ACB9" w14:textId="77777777" w:rsidR="000854BB" w:rsidRDefault="000854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3786A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5BEFB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E10DD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1634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674E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00A2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1EFB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B9A36E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4E52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A090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12767B18"/>
    <w:lvl w:ilvl="0">
      <w:start w:val="1"/>
      <w:numFmt w:val="decimal"/>
      <w:lvlText w:val="%1."/>
      <w:lvlJc w:val="left"/>
      <w:pPr>
        <w:tabs>
          <w:tab w:val="num" w:pos="360"/>
        </w:tabs>
        <w:ind w:left="360" w:hanging="360"/>
      </w:pPr>
      <w:rPr>
        <w:rFonts w:cs="Times New Roman"/>
      </w:rPr>
    </w:lvl>
  </w:abstractNum>
  <w:abstractNum w:abstractNumId="11"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rPr>
    </w:lvl>
    <w:lvl w:ilvl="1">
      <w:start w:val="1"/>
      <w:numFmt w:val="bullet"/>
      <w:lvlText w:val=""/>
      <w:lvlJc w:val="left"/>
      <w:pPr>
        <w:tabs>
          <w:tab w:val="num" w:pos="907"/>
        </w:tabs>
        <w:ind w:left="907" w:hanging="453"/>
      </w:pPr>
      <w:rPr>
        <w:rFonts w:ascii="Symbol" w:hAnsi="Symbol" w:hint="default"/>
        <w:color w:val="auto"/>
        <w:sz w:val="16"/>
      </w:rPr>
    </w:lvl>
    <w:lvl w:ilvl="2">
      <w:start w:val="1"/>
      <w:numFmt w:val="none"/>
      <w:lvlText w:val=""/>
      <w:lvlJc w:val="left"/>
      <w:pPr>
        <w:tabs>
          <w:tab w:val="num" w:pos="1361"/>
        </w:tabs>
        <w:ind w:left="1361" w:hanging="454"/>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12" w15:restartNumberingAfterBreak="0">
    <w:nsid w:val="086E0551"/>
    <w:multiLevelType w:val="multilevel"/>
    <w:tmpl w:val="39828806"/>
    <w:lvl w:ilvl="0">
      <w:start w:val="1"/>
      <w:numFmt w:val="decimal"/>
      <w:suff w:val="space"/>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13" w15:restartNumberingAfterBreak="0">
    <w:nsid w:val="10DD31D7"/>
    <w:multiLevelType w:val="hybridMultilevel"/>
    <w:tmpl w:val="996AF3A4"/>
    <w:lvl w:ilvl="0" w:tplc="0BF6389A">
      <w:start w:val="1"/>
      <w:numFmt w:val="decimal"/>
      <w:lvlText w:val="%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2FB67B2"/>
    <w:multiLevelType w:val="hybridMultilevel"/>
    <w:tmpl w:val="E3F27114"/>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39A1F5D"/>
    <w:multiLevelType w:val="multilevel"/>
    <w:tmpl w:val="FF7031EA"/>
    <w:styleLink w:val="1ai"/>
    <w:lvl w:ilvl="0">
      <w:start w:val="1"/>
      <w:numFmt w:val="decimal"/>
      <w:lvlText w:val="%1."/>
      <w:lvlJc w:val="left"/>
      <w:pPr>
        <w:ind w:left="432" w:hanging="432"/>
      </w:pPr>
      <w:rPr>
        <w:rFonts w:cs="Times New Roman" w:hint="default"/>
        <w:color w:val="FF0000"/>
      </w:rPr>
    </w:lvl>
    <w:lvl w:ilvl="1">
      <w:start w:val="1"/>
      <w:numFmt w:val="decimal"/>
      <w:suff w:val="space"/>
      <w:lvlText w:val="%1.%2"/>
      <w:lvlJc w:val="left"/>
      <w:pPr>
        <w:ind w:left="576" w:hanging="576"/>
      </w:pPr>
      <w:rPr>
        <w:rFonts w:cs="Times New Roman" w:hint="default"/>
        <w:color w:val="FF0000"/>
      </w:rPr>
    </w:lvl>
    <w:lvl w:ilvl="2">
      <w:start w:val="1"/>
      <w:numFmt w:val="decimal"/>
      <w:suff w:val="space"/>
      <w:lvlText w:val="%1.%2.%3"/>
      <w:lvlJc w:val="left"/>
      <w:pPr>
        <w:ind w:left="720" w:hanging="720"/>
      </w:pPr>
      <w:rPr>
        <w:rFonts w:cs="Times New Roman" w:hint="default"/>
        <w:color w:val="FF0000"/>
      </w:rPr>
    </w:lvl>
    <w:lvl w:ilvl="3">
      <w:start w:val="1"/>
      <w:numFmt w:val="decimal"/>
      <w:suff w:val="space"/>
      <w:lvlText w:val="%1.%2.%3.%4"/>
      <w:lvlJc w:val="left"/>
      <w:pPr>
        <w:ind w:left="864" w:hanging="864"/>
      </w:pPr>
      <w:rPr>
        <w:rFonts w:cs="Times New Roman" w:hint="default"/>
        <w:color w:val="FF0000"/>
      </w:rPr>
    </w:lvl>
    <w:lvl w:ilvl="4">
      <w:start w:val="1"/>
      <w:numFmt w:val="decimal"/>
      <w:suff w:val="space"/>
      <w:lvlText w:val="%1.%2.%3.%4.%5"/>
      <w:lvlJc w:val="left"/>
      <w:pPr>
        <w:ind w:left="1008" w:hanging="1008"/>
      </w:pPr>
      <w:rPr>
        <w:rFonts w:cs="Times New Roman" w:hint="default"/>
        <w:color w:val="FF0000"/>
      </w:rPr>
    </w:lvl>
    <w:lvl w:ilvl="5">
      <w:start w:val="1"/>
      <w:numFmt w:val="decimal"/>
      <w:suff w:val="space"/>
      <w:lvlText w:val="%1.%2.%3.%4.%5.%6"/>
      <w:lvlJc w:val="left"/>
      <w:pPr>
        <w:ind w:left="1152" w:hanging="1152"/>
      </w:pPr>
      <w:rPr>
        <w:rFonts w:cs="Times New Roman" w:hint="default"/>
      </w:rPr>
    </w:lvl>
    <w:lvl w:ilvl="6">
      <w:start w:val="1"/>
      <w:numFmt w:val="decimal"/>
      <w:suff w:val="space"/>
      <w:lvlText w:val="%1.%2.%3.%4.%5.%6.%7"/>
      <w:lvlJc w:val="left"/>
      <w:pPr>
        <w:ind w:left="1296" w:hanging="1296"/>
      </w:pPr>
      <w:rPr>
        <w:rFonts w:cs="Times New Roman" w:hint="default"/>
      </w:rPr>
    </w:lvl>
    <w:lvl w:ilvl="7">
      <w:start w:val="1"/>
      <w:numFmt w:val="decimal"/>
      <w:suff w:val="space"/>
      <w:lvlText w:val="%1.%2.%3.%4.%5.%6.%7.%8"/>
      <w:lvlJc w:val="left"/>
      <w:pPr>
        <w:ind w:left="1440" w:hanging="1440"/>
      </w:pPr>
      <w:rPr>
        <w:rFonts w:cs="Times New Roman" w:hint="default"/>
      </w:rPr>
    </w:lvl>
    <w:lvl w:ilvl="8">
      <w:start w:val="1"/>
      <w:numFmt w:val="decimal"/>
      <w:suff w:val="space"/>
      <w:lvlText w:val="%1.%2.%3.%4.%5.%6.%7.%8.%9"/>
      <w:lvlJc w:val="left"/>
      <w:pPr>
        <w:ind w:left="1584" w:hanging="1584"/>
      </w:pPr>
      <w:rPr>
        <w:rFonts w:cs="Times New Roman" w:hint="default"/>
      </w:rPr>
    </w:lvl>
  </w:abstractNum>
  <w:abstractNum w:abstractNumId="16" w15:restartNumberingAfterBreak="0">
    <w:nsid w:val="183263BE"/>
    <w:multiLevelType w:val="multilevel"/>
    <w:tmpl w:val="EA94E1A4"/>
    <w:lvl w:ilvl="0">
      <w:start w:val="1"/>
      <w:numFmt w:val="decimal"/>
      <w:pStyle w:val="Heading1"/>
      <w:lvlText w:val="%1."/>
      <w:lvlJc w:val="left"/>
      <w:pPr>
        <w:ind w:left="0" w:firstLine="0"/>
      </w:pPr>
      <w:rPr>
        <w:rFonts w:cs="Times New Roman" w:hint="default"/>
      </w:rPr>
    </w:lvl>
    <w:lvl w:ilvl="1">
      <w:start w:val="1"/>
      <w:numFmt w:val="decimal"/>
      <w:pStyle w:val="Heading2"/>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7" w15:restartNumberingAfterBreak="0">
    <w:nsid w:val="1C7A2907"/>
    <w:multiLevelType w:val="multilevel"/>
    <w:tmpl w:val="ED28CC38"/>
    <w:lvl w:ilvl="0">
      <w:start w:val="1"/>
      <w:numFmt w:val="decimal"/>
      <w:suff w:val="nothing"/>
      <w:lvlText w:val="%1"/>
      <w:lvlJc w:val="left"/>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8" w15:restartNumberingAfterBreak="0">
    <w:nsid w:val="1DDA5F42"/>
    <w:multiLevelType w:val="multilevel"/>
    <w:tmpl w:val="555646FA"/>
    <w:name w:val="MultiNumbers"/>
    <w:lvl w:ilvl="0">
      <w:start w:val="1"/>
      <w:numFmt w:val="decimal"/>
      <w:lvlText w:val="%1."/>
      <w:lvlJc w:val="left"/>
      <w:pPr>
        <w:ind w:left="0" w:firstLine="0"/>
      </w:pPr>
      <w:rPr>
        <w:rFonts w:cs="Times New Roman" w:hint="default"/>
      </w:rPr>
    </w:lvl>
    <w:lvl w:ilvl="1">
      <w:start w:val="1"/>
      <w:numFmt w:val="decimal"/>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9" w15:restartNumberingAfterBreak="0">
    <w:nsid w:val="24EE09DB"/>
    <w:multiLevelType w:val="hybridMultilevel"/>
    <w:tmpl w:val="772E8886"/>
    <w:lvl w:ilvl="0" w:tplc="0E30C0C2">
      <w:start w:val="1"/>
      <w:numFmt w:val="bullet"/>
      <w:lvlText w:val=""/>
      <w:lvlJc w:val="left"/>
      <w:pPr>
        <w:ind w:left="720" w:hanging="360"/>
      </w:pPr>
      <w:rPr>
        <w:rFonts w:ascii="Symbol" w:eastAsia="Times New Roman"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6EE211D"/>
    <w:multiLevelType w:val="hybridMultilevel"/>
    <w:tmpl w:val="0C9AA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A8A1A28"/>
    <w:multiLevelType w:val="multilevel"/>
    <w:tmpl w:val="FE1615CA"/>
    <w:lvl w:ilvl="0">
      <w:start w:val="1"/>
      <w:numFmt w:val="lowerLetter"/>
      <w:lvlText w:val="%1."/>
      <w:lvlJc w:val="left"/>
      <w:pPr>
        <w:tabs>
          <w:tab w:val="num" w:pos="454"/>
        </w:tabs>
        <w:ind w:left="454" w:hanging="454"/>
      </w:pPr>
      <w:rPr>
        <w:rFonts w:cs="Times New Roman" w:hint="default"/>
      </w:rPr>
    </w:lvl>
    <w:lvl w:ilvl="1">
      <w:start w:val="1"/>
      <w:numFmt w:val="lowerRoman"/>
      <w:lvlText w:val="%2."/>
      <w:lvlJc w:val="left"/>
      <w:pPr>
        <w:tabs>
          <w:tab w:val="num" w:pos="907"/>
        </w:tabs>
        <w:ind w:left="907" w:hanging="453"/>
      </w:pPr>
      <w:rPr>
        <w:rFonts w:cs="Times New Roman" w:hint="default"/>
      </w:rPr>
    </w:lvl>
    <w:lvl w:ilvl="2">
      <w:start w:val="1"/>
      <w:numFmt w:val="upperLetter"/>
      <w:lvlText w:val="%3."/>
      <w:lvlJc w:val="left"/>
      <w:pPr>
        <w:tabs>
          <w:tab w:val="num" w:pos="1361"/>
        </w:tabs>
        <w:ind w:left="1361" w:hanging="454"/>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2" w15:restartNumberingAfterBreak="0">
    <w:nsid w:val="2ACC1368"/>
    <w:multiLevelType w:val="multilevel"/>
    <w:tmpl w:val="FF167E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2BC25E97"/>
    <w:multiLevelType w:val="hybridMultilevel"/>
    <w:tmpl w:val="4DECB986"/>
    <w:name w:val="MultiNumbers2"/>
    <w:lvl w:ilvl="0" w:tplc="20E2F3D8">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DFA1DA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A3B7541"/>
    <w:multiLevelType w:val="hybridMultilevel"/>
    <w:tmpl w:val="4C408F66"/>
    <w:lvl w:ilvl="0" w:tplc="D53AA150">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CA756E0"/>
    <w:multiLevelType w:val="multilevel"/>
    <w:tmpl w:val="0C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2880"/>
        </w:tabs>
        <w:ind w:left="1728" w:hanging="648"/>
      </w:pPr>
      <w:rPr>
        <w:rFonts w:cs="Times New Roman"/>
      </w:rPr>
    </w:lvl>
    <w:lvl w:ilvl="4">
      <w:start w:val="1"/>
      <w:numFmt w:val="decimal"/>
      <w:lvlText w:val="%1.%2.%3.%4.%5."/>
      <w:lvlJc w:val="left"/>
      <w:pPr>
        <w:tabs>
          <w:tab w:val="num" w:pos="3600"/>
        </w:tabs>
        <w:ind w:left="2232" w:hanging="792"/>
      </w:pPr>
      <w:rPr>
        <w:rFonts w:cs="Times New Roman"/>
      </w:rPr>
    </w:lvl>
    <w:lvl w:ilvl="5">
      <w:start w:val="1"/>
      <w:numFmt w:val="decimal"/>
      <w:lvlText w:val="%1.%2.%3.%4.%5.%6."/>
      <w:lvlJc w:val="left"/>
      <w:pPr>
        <w:tabs>
          <w:tab w:val="num" w:pos="4320"/>
        </w:tabs>
        <w:ind w:left="2736" w:hanging="936"/>
      </w:pPr>
      <w:rPr>
        <w:rFonts w:cs="Times New Roman"/>
      </w:rPr>
    </w:lvl>
    <w:lvl w:ilvl="6">
      <w:start w:val="1"/>
      <w:numFmt w:val="decimal"/>
      <w:lvlText w:val="%1.%2.%3.%4.%5.%6.%7."/>
      <w:lvlJc w:val="left"/>
      <w:pPr>
        <w:tabs>
          <w:tab w:val="num" w:pos="5040"/>
        </w:tabs>
        <w:ind w:left="3240" w:hanging="1080"/>
      </w:pPr>
      <w:rPr>
        <w:rFonts w:cs="Times New Roman"/>
      </w:rPr>
    </w:lvl>
    <w:lvl w:ilvl="7">
      <w:start w:val="1"/>
      <w:numFmt w:val="decimal"/>
      <w:lvlText w:val="%1.%2.%3.%4.%5.%6.%7.%8."/>
      <w:lvlJc w:val="left"/>
      <w:pPr>
        <w:tabs>
          <w:tab w:val="num" w:pos="5760"/>
        </w:tabs>
        <w:ind w:left="3744" w:hanging="1224"/>
      </w:pPr>
      <w:rPr>
        <w:rFonts w:cs="Times New Roman"/>
      </w:rPr>
    </w:lvl>
    <w:lvl w:ilvl="8">
      <w:start w:val="1"/>
      <w:numFmt w:val="decimal"/>
      <w:lvlText w:val="%1.%2.%3.%4.%5.%6.%7.%8.%9."/>
      <w:lvlJc w:val="left"/>
      <w:pPr>
        <w:tabs>
          <w:tab w:val="num" w:pos="6840"/>
        </w:tabs>
        <w:ind w:left="4320" w:hanging="1440"/>
      </w:pPr>
      <w:rPr>
        <w:rFonts w:cs="Times New Roman"/>
      </w:rPr>
    </w:lvl>
  </w:abstractNum>
  <w:abstractNum w:abstractNumId="27" w15:restartNumberingAfterBreak="0">
    <w:nsid w:val="52B40B6E"/>
    <w:multiLevelType w:val="multilevel"/>
    <w:tmpl w:val="0C090023"/>
    <w:styleLink w:val="ArticleSection"/>
    <w:lvl w:ilvl="0">
      <w:start w:val="1"/>
      <w:numFmt w:val="upperRoman"/>
      <w:lvlText w:val="Article %1."/>
      <w:lvlJc w:val="left"/>
      <w:pPr>
        <w:tabs>
          <w:tab w:val="num" w:pos="2520"/>
        </w:tabs>
      </w:pPr>
      <w:rPr>
        <w:rFonts w:cs="Times New Roman"/>
      </w:rPr>
    </w:lvl>
    <w:lvl w:ilvl="1">
      <w:start w:val="1"/>
      <w:numFmt w:val="decimalZero"/>
      <w:isLgl/>
      <w:lvlText w:val="Section %1.%2"/>
      <w:lvlJc w:val="left"/>
      <w:pPr>
        <w:tabs>
          <w:tab w:val="num" w:pos="252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8" w15:restartNumberingAfterBreak="0">
    <w:nsid w:val="56E970B9"/>
    <w:multiLevelType w:val="multilevel"/>
    <w:tmpl w:val="790C30D6"/>
    <w:lvl w:ilvl="0">
      <w:start w:val="1"/>
      <w:numFmt w:val="upperLetter"/>
      <w:suff w:val="space"/>
      <w:lvlText w:val="Appendix %1"/>
      <w:lvlJc w:val="left"/>
      <w:rPr>
        <w:rFonts w:ascii="Arial Bold" w:hAnsi="Arial Bold" w:cs="Times New Roman" w:hint="default"/>
        <w:b/>
        <w:bCs w:val="0"/>
        <w:i w:val="0"/>
        <w:iCs w:val="0"/>
        <w:caps w:val="0"/>
        <w:strike w:val="0"/>
        <w:dstrike w:val="0"/>
        <w:vanish w:val="0"/>
        <w:color w:val="22A0CB"/>
        <w:spacing w:val="0"/>
        <w:position w:val="0"/>
        <w:sz w:val="4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29" w15:restartNumberingAfterBreak="0">
    <w:nsid w:val="5A0F4031"/>
    <w:multiLevelType w:val="hybridMultilevel"/>
    <w:tmpl w:val="760647D8"/>
    <w:lvl w:ilvl="0" w:tplc="6994CFF0">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D432585"/>
    <w:multiLevelType w:val="multilevel"/>
    <w:tmpl w:val="29F85434"/>
    <w:lvl w:ilvl="0">
      <w:start w:val="1"/>
      <w:numFmt w:val="upperLetter"/>
      <w:suff w:val="space"/>
      <w:lvlText w:val="Appendix %1"/>
      <w:lvlJc w:val="left"/>
      <w:rPr>
        <w:rFonts w:cs="Times New Roman" w:hint="default"/>
        <w:b w:val="0"/>
        <w:bCs w:val="0"/>
        <w:i w:val="0"/>
        <w:iCs w:val="0"/>
        <w:caps w:val="0"/>
        <w:smallCaps w:val="0"/>
        <w:strike w:val="0"/>
        <w:dstrike w:val="0"/>
        <w:vanish w:val="0"/>
        <w:color w:val="000000"/>
        <w:spacing w:val="0"/>
        <w:position w:val="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31" w15:restartNumberingAfterBreak="0">
    <w:nsid w:val="5DE97C62"/>
    <w:multiLevelType w:val="multilevel"/>
    <w:tmpl w:val="0C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2C978E1"/>
    <w:multiLevelType w:val="hybridMultilevel"/>
    <w:tmpl w:val="916693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DB20779"/>
    <w:multiLevelType w:val="multilevel"/>
    <w:tmpl w:val="C7B85B24"/>
    <w:lvl w:ilvl="0">
      <w:start w:val="1"/>
      <w:numFmt w:val="decimal"/>
      <w:lvlText w:val="%1."/>
      <w:lvlJc w:val="left"/>
      <w:pPr>
        <w:tabs>
          <w:tab w:val="num" w:pos="454"/>
        </w:tabs>
        <w:ind w:left="454" w:hanging="454"/>
      </w:pPr>
      <w:rPr>
        <w:rFonts w:cs="Times New Roman" w:hint="default"/>
      </w:rPr>
    </w:lvl>
    <w:lvl w:ilvl="1">
      <w:start w:val="1"/>
      <w:numFmt w:val="lowerLetter"/>
      <w:lvlText w:val="%2."/>
      <w:lvlJc w:val="left"/>
      <w:pPr>
        <w:tabs>
          <w:tab w:val="num" w:pos="907"/>
        </w:tabs>
        <w:ind w:left="907" w:hanging="453"/>
      </w:pPr>
      <w:rPr>
        <w:rFonts w:cs="Times New Roman" w:hint="default"/>
      </w:rPr>
    </w:lvl>
    <w:lvl w:ilvl="2">
      <w:start w:val="1"/>
      <w:numFmt w:val="lowerRoman"/>
      <w:lvlText w:val="%3."/>
      <w:lvlJc w:val="left"/>
      <w:pPr>
        <w:tabs>
          <w:tab w:val="num" w:pos="1361"/>
        </w:tabs>
        <w:ind w:left="1361" w:hanging="454"/>
      </w:pPr>
      <w:rPr>
        <w:rFonts w:cs="Times New Roman" w:hint="default"/>
      </w:rPr>
    </w:lvl>
    <w:lvl w:ilvl="3">
      <w:start w:val="1"/>
      <w:numFmt w:val="none"/>
      <w:lvlText w:val=""/>
      <w:lvlJc w:val="left"/>
      <w:pPr>
        <w:ind w:left="3120" w:hanging="283"/>
      </w:pPr>
      <w:rPr>
        <w:rFonts w:cs="Times New Roman" w:hint="default"/>
      </w:rPr>
    </w:lvl>
    <w:lvl w:ilvl="4">
      <w:start w:val="1"/>
      <w:numFmt w:val="none"/>
      <w:lvlText w:val=""/>
      <w:lvlJc w:val="left"/>
      <w:pPr>
        <w:ind w:left="3971" w:hanging="283"/>
      </w:pPr>
      <w:rPr>
        <w:rFonts w:cs="Times New Roman" w:hint="default"/>
      </w:rPr>
    </w:lvl>
    <w:lvl w:ilvl="5">
      <w:start w:val="1"/>
      <w:numFmt w:val="none"/>
      <w:lvlText w:val=""/>
      <w:lvlJc w:val="left"/>
      <w:pPr>
        <w:ind w:left="4822" w:hanging="283"/>
      </w:pPr>
      <w:rPr>
        <w:rFonts w:cs="Times New Roman" w:hint="default"/>
      </w:rPr>
    </w:lvl>
    <w:lvl w:ilvl="6">
      <w:start w:val="1"/>
      <w:numFmt w:val="none"/>
      <w:lvlText w:val=""/>
      <w:lvlJc w:val="left"/>
      <w:pPr>
        <w:ind w:left="5673" w:hanging="283"/>
      </w:pPr>
      <w:rPr>
        <w:rFonts w:cs="Times New Roman" w:hint="default"/>
      </w:rPr>
    </w:lvl>
    <w:lvl w:ilvl="7">
      <w:start w:val="1"/>
      <w:numFmt w:val="none"/>
      <w:lvlText w:val=""/>
      <w:lvlJc w:val="left"/>
      <w:pPr>
        <w:ind w:left="6524" w:hanging="283"/>
      </w:pPr>
      <w:rPr>
        <w:rFonts w:cs="Times New Roman" w:hint="default"/>
      </w:rPr>
    </w:lvl>
    <w:lvl w:ilvl="8">
      <w:start w:val="1"/>
      <w:numFmt w:val="none"/>
      <w:lvlText w:val=""/>
      <w:lvlJc w:val="left"/>
      <w:pPr>
        <w:ind w:left="7375" w:hanging="283"/>
      </w:pPr>
      <w:rPr>
        <w:rFonts w:cs="Times New Roman" w:hint="default"/>
      </w:rPr>
    </w:lvl>
  </w:abstractNum>
  <w:abstractNum w:abstractNumId="34" w15:restartNumberingAfterBreak="0">
    <w:nsid w:val="6E03341A"/>
    <w:multiLevelType w:val="multilevel"/>
    <w:tmpl w:val="F5428266"/>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35" w15:restartNumberingAfterBreak="0">
    <w:nsid w:val="6E3A740D"/>
    <w:multiLevelType w:val="hybridMultilevel"/>
    <w:tmpl w:val="E10C48DA"/>
    <w:lvl w:ilvl="0" w:tplc="0C090001">
      <w:start w:val="1"/>
      <w:numFmt w:val="bullet"/>
      <w:lvlText w:val=""/>
      <w:lvlJc w:val="left"/>
      <w:pPr>
        <w:ind w:left="348" w:hanging="360"/>
      </w:pPr>
      <w:rPr>
        <w:rFonts w:ascii="Symbol" w:hAnsi="Symbol" w:hint="default"/>
        <w:sz w:val="20"/>
      </w:rPr>
    </w:lvl>
    <w:lvl w:ilvl="1" w:tplc="0C090019">
      <w:start w:val="1"/>
      <w:numFmt w:val="lowerLetter"/>
      <w:lvlText w:val="%2."/>
      <w:lvlJc w:val="left"/>
      <w:pPr>
        <w:ind w:left="1068" w:hanging="360"/>
      </w:pPr>
      <w:rPr>
        <w:rFonts w:cs="Times New Roman"/>
      </w:rPr>
    </w:lvl>
    <w:lvl w:ilvl="2" w:tplc="0C09001B" w:tentative="1">
      <w:start w:val="1"/>
      <w:numFmt w:val="lowerRoman"/>
      <w:lvlText w:val="%3."/>
      <w:lvlJc w:val="right"/>
      <w:pPr>
        <w:ind w:left="1788" w:hanging="180"/>
      </w:pPr>
      <w:rPr>
        <w:rFonts w:cs="Times New Roman"/>
      </w:rPr>
    </w:lvl>
    <w:lvl w:ilvl="3" w:tplc="0C09000F" w:tentative="1">
      <w:start w:val="1"/>
      <w:numFmt w:val="decimal"/>
      <w:lvlText w:val="%4."/>
      <w:lvlJc w:val="left"/>
      <w:pPr>
        <w:ind w:left="2508" w:hanging="360"/>
      </w:pPr>
      <w:rPr>
        <w:rFonts w:cs="Times New Roman"/>
      </w:rPr>
    </w:lvl>
    <w:lvl w:ilvl="4" w:tplc="0C090019" w:tentative="1">
      <w:start w:val="1"/>
      <w:numFmt w:val="lowerLetter"/>
      <w:lvlText w:val="%5."/>
      <w:lvlJc w:val="left"/>
      <w:pPr>
        <w:ind w:left="3228" w:hanging="360"/>
      </w:pPr>
      <w:rPr>
        <w:rFonts w:cs="Times New Roman"/>
      </w:rPr>
    </w:lvl>
    <w:lvl w:ilvl="5" w:tplc="0C09001B" w:tentative="1">
      <w:start w:val="1"/>
      <w:numFmt w:val="lowerRoman"/>
      <w:lvlText w:val="%6."/>
      <w:lvlJc w:val="right"/>
      <w:pPr>
        <w:ind w:left="3948" w:hanging="180"/>
      </w:pPr>
      <w:rPr>
        <w:rFonts w:cs="Times New Roman"/>
      </w:rPr>
    </w:lvl>
    <w:lvl w:ilvl="6" w:tplc="0C09000F" w:tentative="1">
      <w:start w:val="1"/>
      <w:numFmt w:val="decimal"/>
      <w:lvlText w:val="%7."/>
      <w:lvlJc w:val="left"/>
      <w:pPr>
        <w:ind w:left="4668" w:hanging="360"/>
      </w:pPr>
      <w:rPr>
        <w:rFonts w:cs="Times New Roman"/>
      </w:rPr>
    </w:lvl>
    <w:lvl w:ilvl="7" w:tplc="0C090019" w:tentative="1">
      <w:start w:val="1"/>
      <w:numFmt w:val="lowerLetter"/>
      <w:lvlText w:val="%8."/>
      <w:lvlJc w:val="left"/>
      <w:pPr>
        <w:ind w:left="5388" w:hanging="360"/>
      </w:pPr>
      <w:rPr>
        <w:rFonts w:cs="Times New Roman"/>
      </w:rPr>
    </w:lvl>
    <w:lvl w:ilvl="8" w:tplc="0C09001B" w:tentative="1">
      <w:start w:val="1"/>
      <w:numFmt w:val="lowerRoman"/>
      <w:lvlText w:val="%9."/>
      <w:lvlJc w:val="right"/>
      <w:pPr>
        <w:ind w:left="6108" w:hanging="180"/>
      </w:pPr>
      <w:rPr>
        <w:rFonts w:cs="Times New Roman"/>
      </w:rPr>
    </w:lvl>
  </w:abstractNum>
  <w:abstractNum w:abstractNumId="36" w15:restartNumberingAfterBreak="0">
    <w:nsid w:val="6FA31F47"/>
    <w:multiLevelType w:val="hybridMultilevel"/>
    <w:tmpl w:val="C100BC32"/>
    <w:lvl w:ilvl="0" w:tplc="5FC4484A">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6A6F97"/>
    <w:multiLevelType w:val="hybridMultilevel"/>
    <w:tmpl w:val="D14288B0"/>
    <w:lvl w:ilvl="0" w:tplc="BEF40E70">
      <w:start w:val="1"/>
      <w:numFmt w:val="bullet"/>
      <w:pStyle w:val="ListBullet"/>
      <w:lvlText w:val=""/>
      <w:lvlJc w:val="left"/>
      <w:pPr>
        <w:ind w:left="720" w:hanging="360"/>
      </w:pPr>
      <w:rPr>
        <w:rFonts w:ascii="Symbol" w:hAnsi="Symbol" w:hint="default"/>
      </w:rPr>
    </w:lvl>
    <w:lvl w:ilvl="1" w:tplc="0C090003">
      <w:start w:val="1"/>
      <w:numFmt w:val="bullet"/>
      <w:pStyle w:val="ListBullet2"/>
      <w:lvlText w:val="o"/>
      <w:lvlJc w:val="left"/>
      <w:pPr>
        <w:ind w:left="1440" w:hanging="360"/>
      </w:pPr>
      <w:rPr>
        <w:rFonts w:ascii="Courier New" w:hAnsi="Courier New" w:cs="Courier New" w:hint="default"/>
      </w:rPr>
    </w:lvl>
    <w:lvl w:ilvl="2" w:tplc="0C090005">
      <w:start w:val="1"/>
      <w:numFmt w:val="bullet"/>
      <w:pStyle w:val="ListBullet3"/>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78E63F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37"/>
  </w:num>
  <w:num w:numId="2">
    <w:abstractNumId w:val="22"/>
  </w:num>
  <w:num w:numId="3">
    <w:abstractNumId w:val="13"/>
  </w:num>
  <w:num w:numId="4">
    <w:abstractNumId w:val="29"/>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23"/>
  </w:num>
  <w:num w:numId="14">
    <w:abstractNumId w:val="16"/>
  </w:num>
  <w:num w:numId="15">
    <w:abstractNumId w:val="16"/>
  </w:num>
  <w:num w:numId="16">
    <w:abstractNumId w:val="16"/>
  </w:num>
  <w:num w:numId="17">
    <w:abstractNumId w:val="16"/>
  </w:num>
  <w:num w:numId="18">
    <w:abstractNumId w:val="22"/>
  </w:num>
  <w:num w:numId="19">
    <w:abstractNumId w:val="22"/>
  </w:num>
  <w:num w:numId="20">
    <w:abstractNumId w:val="22"/>
  </w:num>
  <w:num w:numId="21">
    <w:abstractNumId w:val="22"/>
  </w:num>
  <w:num w:numId="22">
    <w:abstractNumId w:val="22"/>
  </w:num>
  <w:num w:numId="23">
    <w:abstractNumId w:val="37"/>
  </w:num>
  <w:num w:numId="24">
    <w:abstractNumId w:val="16"/>
  </w:num>
  <w:num w:numId="25">
    <w:abstractNumId w:val="9"/>
  </w:num>
  <w:num w:numId="26">
    <w:abstractNumId w:val="7"/>
  </w:num>
  <w:num w:numId="27">
    <w:abstractNumId w:val="6"/>
  </w:num>
  <w:num w:numId="28">
    <w:abstractNumId w:val="10"/>
  </w:num>
  <w:num w:numId="29">
    <w:abstractNumId w:val="26"/>
  </w:num>
  <w:num w:numId="30">
    <w:abstractNumId w:val="15"/>
  </w:num>
  <w:num w:numId="31">
    <w:abstractNumId w:val="27"/>
  </w:num>
  <w:num w:numId="32">
    <w:abstractNumId w:val="12"/>
  </w:num>
  <w:num w:numId="33">
    <w:abstractNumId w:val="36"/>
  </w:num>
  <w:num w:numId="34">
    <w:abstractNumId w:val="11"/>
  </w:num>
  <w:num w:numId="35">
    <w:abstractNumId w:val="25"/>
  </w:num>
  <w:num w:numId="36">
    <w:abstractNumId w:val="21"/>
  </w:num>
  <w:num w:numId="37">
    <w:abstractNumId w:val="33"/>
  </w:num>
  <w:num w:numId="38">
    <w:abstractNumId w:val="30"/>
  </w:num>
  <w:num w:numId="39">
    <w:abstractNumId w:val="28"/>
  </w:num>
  <w:num w:numId="40">
    <w:abstractNumId w:val="14"/>
  </w:num>
  <w:num w:numId="41">
    <w:abstractNumId w:val="17"/>
  </w:num>
  <w:num w:numId="42">
    <w:abstractNumId w:val="35"/>
  </w:num>
  <w:num w:numId="43">
    <w:abstractNumId w:val="20"/>
  </w:num>
  <w:num w:numId="44">
    <w:abstractNumId w:val="19"/>
  </w:num>
  <w:num w:numId="45">
    <w:abstractNumId w:val="32"/>
  </w:num>
  <w:num w:numId="46">
    <w:abstractNumId w:val="12"/>
    <w:lvlOverride w:ilvl="0">
      <w:lvl w:ilvl="0">
        <w:start w:val="1"/>
        <w:numFmt w:val="decimal"/>
        <w:suff w:val="space"/>
        <w:lvlText w:val="%1."/>
        <w:lvlJc w:val="left"/>
        <w:pPr>
          <w:ind w:left="709"/>
        </w:pPr>
        <w:rPr>
          <w:rFonts w:cs="Times New Roman" w:hint="default"/>
        </w:rPr>
      </w:lvl>
    </w:lvlOverride>
  </w:num>
  <w:num w:numId="47">
    <w:abstractNumId w:val="34"/>
  </w:num>
  <w:num w:numId="48">
    <w:abstractNumId w:val="24"/>
  </w:num>
  <w:num w:numId="49">
    <w:abstractNumId w:val="38"/>
  </w:num>
  <w:num w:numId="50">
    <w:abstractNumId w:val="3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nhideWhenUsed="1"/>
    <w:lsdException w:name="Smart Link" w:semiHidden="1" w:uiPriority="99" w:unhideWhenUsed="1"/>
  </w:latentStyles>
  <w:style w:type="paragraph" w:default="1" w:styleId="Normal">
    <w:name w:val="Normal"/>
    <w:qFormat/>
    <w:rsid w:val="00EF0E68"/>
    <w:rPr>
      <w:rFonts w:ascii="Arial" w:hAnsi="Arial"/>
      <w:lang w:eastAsia="en-AU"/>
    </w:rPr>
  </w:style>
  <w:style w:type="paragraph" w:styleId="Heading1">
    <w:name w:val="heading 1"/>
    <w:next w:val="BodyText"/>
    <w:link w:val="Heading1Char"/>
    <w:autoRedefine/>
    <w:qFormat/>
    <w:rsid w:val="00EF0E68"/>
    <w:pPr>
      <w:keepNext/>
      <w:keepLines/>
      <w:pageBreakBefore/>
      <w:numPr>
        <w:numId w:val="24"/>
      </w:numPr>
      <w:spacing w:after="100"/>
      <w:outlineLvl w:val="0"/>
    </w:pPr>
    <w:rPr>
      <w:rFonts w:ascii="Arial" w:eastAsiaTheme="majorEastAsia" w:hAnsi="Arial" w:cstheme="majorBidi"/>
      <w:b/>
      <w:bCs/>
      <w:color w:val="22A0CB"/>
      <w:sz w:val="40"/>
      <w:szCs w:val="28"/>
      <w:lang w:eastAsia="en-AU"/>
    </w:rPr>
  </w:style>
  <w:style w:type="paragraph" w:styleId="Heading2">
    <w:name w:val="heading 2"/>
    <w:next w:val="Normal"/>
    <w:link w:val="Heading2Char"/>
    <w:autoRedefine/>
    <w:qFormat/>
    <w:rsid w:val="00EF0E68"/>
    <w:pPr>
      <w:keepNext/>
      <w:keepLines/>
      <w:numPr>
        <w:ilvl w:val="1"/>
        <w:numId w:val="24"/>
      </w:numPr>
      <w:spacing w:before="200" w:after="100"/>
      <w:outlineLvl w:val="1"/>
    </w:pPr>
    <w:rPr>
      <w:rFonts w:ascii="Arial" w:eastAsiaTheme="majorEastAsia" w:hAnsi="Arial" w:cstheme="majorBidi"/>
      <w:b/>
      <w:bCs/>
      <w:color w:val="22A0CB"/>
      <w:sz w:val="32"/>
      <w:szCs w:val="26"/>
      <w:lang w:eastAsia="en-AU"/>
    </w:rPr>
  </w:style>
  <w:style w:type="paragraph" w:styleId="Heading3">
    <w:name w:val="heading 3"/>
    <w:basedOn w:val="Normal"/>
    <w:next w:val="Normal"/>
    <w:link w:val="Heading3Char"/>
    <w:autoRedefine/>
    <w:qFormat/>
    <w:rsid w:val="00EF0E68"/>
    <w:pPr>
      <w:keepNext/>
      <w:keepLines/>
      <w:numPr>
        <w:ilvl w:val="2"/>
        <w:numId w:val="24"/>
      </w:numPr>
      <w:spacing w:before="200" w:after="100"/>
      <w:outlineLvl w:val="2"/>
    </w:pPr>
    <w:rPr>
      <w:rFonts w:eastAsiaTheme="majorEastAsia" w:cstheme="majorBidi"/>
      <w:b/>
      <w:bCs/>
      <w:color w:val="22A0CB"/>
      <w:sz w:val="28"/>
    </w:rPr>
  </w:style>
  <w:style w:type="paragraph" w:styleId="Heading4">
    <w:name w:val="heading 4"/>
    <w:aliases w:val="Heading 4(oobe)"/>
    <w:basedOn w:val="Normal"/>
    <w:next w:val="Normal"/>
    <w:link w:val="Heading4Char"/>
    <w:qFormat/>
    <w:rsid w:val="00EF0E68"/>
    <w:pPr>
      <w:keepNext/>
      <w:keepLines/>
      <w:numPr>
        <w:ilvl w:val="3"/>
        <w:numId w:val="22"/>
      </w:numPr>
      <w:spacing w:before="200" w:after="100"/>
      <w:outlineLvl w:val="3"/>
    </w:pPr>
    <w:rPr>
      <w:rFonts w:asciiTheme="majorHAnsi" w:eastAsiaTheme="majorEastAsia" w:hAnsiTheme="majorHAnsi" w:cstheme="majorBidi"/>
      <w:b/>
      <w:bCs/>
      <w:iCs/>
      <w:sz w:val="22"/>
    </w:rPr>
  </w:style>
  <w:style w:type="paragraph" w:styleId="Heading5">
    <w:name w:val="heading 5"/>
    <w:basedOn w:val="Heading4"/>
    <w:next w:val="Normal"/>
    <w:link w:val="Heading5Char"/>
    <w:unhideWhenUsed/>
    <w:rsid w:val="00A80FCC"/>
    <w:pPr>
      <w:numPr>
        <w:ilvl w:val="4"/>
      </w:numPr>
      <w:outlineLvl w:val="4"/>
    </w:pPr>
    <w:rPr>
      <w:i/>
    </w:rPr>
  </w:style>
  <w:style w:type="paragraph" w:styleId="Heading6">
    <w:name w:val="heading 6"/>
    <w:basedOn w:val="Normal"/>
    <w:next w:val="Normal"/>
    <w:link w:val="Heading6Char"/>
    <w:uiPriority w:val="9"/>
    <w:qFormat/>
    <w:rsid w:val="00EF0E68"/>
    <w:pPr>
      <w:keepNext/>
      <w:numPr>
        <w:ilvl w:val="5"/>
        <w:numId w:val="22"/>
      </w:numPr>
      <w:outlineLvl w:val="5"/>
    </w:pPr>
    <w:rPr>
      <w:sz w:val="36"/>
      <w:lang w:eastAsia="zh-CN"/>
    </w:rPr>
  </w:style>
  <w:style w:type="paragraph" w:styleId="Heading7">
    <w:name w:val="heading 7"/>
    <w:basedOn w:val="Normal"/>
    <w:next w:val="Normal"/>
    <w:link w:val="Heading7Char"/>
    <w:uiPriority w:val="9"/>
    <w:qFormat/>
    <w:rsid w:val="00EF0E68"/>
    <w:pPr>
      <w:keepNext/>
      <w:numPr>
        <w:ilvl w:val="6"/>
        <w:numId w:val="22"/>
      </w:numPr>
      <w:outlineLvl w:val="6"/>
    </w:pPr>
    <w:rPr>
      <w:sz w:val="28"/>
      <w:lang w:eastAsia="zh-CN"/>
    </w:rPr>
  </w:style>
  <w:style w:type="paragraph" w:styleId="Heading8">
    <w:name w:val="heading 8"/>
    <w:basedOn w:val="Normal"/>
    <w:next w:val="Normal"/>
    <w:link w:val="Heading8Char"/>
    <w:uiPriority w:val="9"/>
    <w:qFormat/>
    <w:rsid w:val="00EF0E68"/>
    <w:pPr>
      <w:keepNext/>
      <w:numPr>
        <w:ilvl w:val="7"/>
        <w:numId w:val="22"/>
      </w:numPr>
      <w:outlineLvl w:val="7"/>
    </w:pPr>
    <w:rPr>
      <w:b/>
      <w:bCs/>
      <w:lang w:eastAsia="zh-CN"/>
    </w:rPr>
  </w:style>
  <w:style w:type="paragraph" w:styleId="Heading9">
    <w:name w:val="heading 9"/>
    <w:aliases w:val="Heading Appendix 1"/>
    <w:basedOn w:val="Normal"/>
    <w:next w:val="Normal"/>
    <w:link w:val="Heading9Char"/>
    <w:uiPriority w:val="9"/>
    <w:qFormat/>
    <w:rsid w:val="00EF0E68"/>
    <w:pPr>
      <w:keepNext/>
      <w:numPr>
        <w:ilvl w:val="8"/>
        <w:numId w:val="22"/>
      </w:numPr>
      <w:tabs>
        <w:tab w:val="left" w:pos="360"/>
      </w:tabs>
      <w:outlineLvl w:val="8"/>
    </w:pPr>
    <w:rPr>
      <w:i/>
      <w:lang w:eastAsia="zh-CN"/>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aliases w:val="B6-DO NOT USE"/>
    <w:basedOn w:val="Normal"/>
    <w:link w:val="BalloonTextChar"/>
    <w:rsid w:val="00A80FCC"/>
    <w:rPr>
      <w:rFonts w:ascii="Tahoma" w:hAnsi="Tahoma" w:cs="Tahoma"/>
      <w:sz w:val="16"/>
      <w:szCs w:val="16"/>
    </w:rPr>
  </w:style>
  <w:style w:type="character" w:customStyle="1" w:styleId="BalloonTextChar">
    <w:name w:val="Balloon Text Char"/>
    <w:aliases w:val="B6-DO NOT USE Char"/>
    <w:basedOn w:val="DefaultParagraphFont"/>
    <w:link w:val="BalloonText"/>
    <w:rsid w:val="00A80FCC"/>
    <w:rPr>
      <w:rFonts w:ascii="Tahoma" w:eastAsia="Times New Roman" w:hAnsi="Tahoma" w:cs="Tahoma"/>
      <w:sz w:val="16"/>
      <w:szCs w:val="16"/>
      <w:lang w:eastAsia="en-AU"/>
    </w:rPr>
  </w:style>
  <w:style w:type="paragraph" w:styleId="BodyText">
    <w:name w:val="Body Text"/>
    <w:basedOn w:val="Normal"/>
    <w:link w:val="BodyTextChar"/>
    <w:uiPriority w:val="99"/>
    <w:unhideWhenUsed/>
    <w:qFormat/>
    <w:rsid w:val="00EF0E68"/>
  </w:style>
  <w:style w:type="character" w:customStyle="1" w:styleId="BodyTextChar">
    <w:name w:val="Body Text Char"/>
    <w:basedOn w:val="DefaultParagraphFont"/>
    <w:link w:val="BodyText"/>
    <w:uiPriority w:val="99"/>
    <w:rsid w:val="00EF0E68"/>
    <w:rPr>
      <w:rFonts w:ascii="Arial" w:hAnsi="Arial"/>
      <w:lang w:eastAsia="en-AU"/>
    </w:rPr>
  </w:style>
  <w:style w:type="character" w:styleId="CommentReference">
    <w:name w:val="annotation reference"/>
    <w:aliases w:val="CR-DO NOT USE"/>
    <w:basedOn w:val="DefaultParagraphFont"/>
    <w:uiPriority w:val="99"/>
    <w:unhideWhenUsed/>
    <w:rsid w:val="00A80FCC"/>
    <w:rPr>
      <w:sz w:val="16"/>
      <w:szCs w:val="16"/>
    </w:rPr>
  </w:style>
  <w:style w:type="paragraph" w:styleId="CommentText">
    <w:name w:val="annotation text"/>
    <w:aliases w:val="CT-DO NOT USE"/>
    <w:basedOn w:val="Normal"/>
    <w:link w:val="CommentTextChar"/>
    <w:uiPriority w:val="99"/>
    <w:unhideWhenUsed/>
    <w:rsid w:val="00A80FCC"/>
  </w:style>
  <w:style w:type="character" w:customStyle="1" w:styleId="CommentTextChar">
    <w:name w:val="Comment Text Char"/>
    <w:aliases w:val="CT-DO NOT USE Char"/>
    <w:basedOn w:val="DefaultParagraphFont"/>
    <w:link w:val="CommentText"/>
    <w:uiPriority w:val="99"/>
    <w:rsid w:val="00A80FCC"/>
    <w:rPr>
      <w:rFonts w:asciiTheme="minorHAnsi" w:eastAsia="Times New Roman" w:hAnsiTheme="minorHAnsi"/>
      <w:lang w:eastAsia="en-AU"/>
    </w:rPr>
  </w:style>
  <w:style w:type="paragraph" w:styleId="CommentSubject">
    <w:name w:val="annotation subject"/>
    <w:aliases w:val="CS-DO NOT USE"/>
    <w:basedOn w:val="CommentText"/>
    <w:next w:val="CommentText"/>
    <w:link w:val="CommentSubjectChar"/>
    <w:semiHidden/>
    <w:unhideWhenUsed/>
    <w:rsid w:val="00A80FCC"/>
    <w:rPr>
      <w:b/>
      <w:bCs/>
    </w:rPr>
  </w:style>
  <w:style w:type="character" w:customStyle="1" w:styleId="CommentSubjectChar">
    <w:name w:val="Comment Subject Char"/>
    <w:aliases w:val="CS-DO NOT USE Char"/>
    <w:basedOn w:val="CommentTextChar"/>
    <w:link w:val="CommentSubject"/>
    <w:semiHidden/>
    <w:rsid w:val="00A80FCC"/>
    <w:rPr>
      <w:rFonts w:asciiTheme="minorHAnsi" w:eastAsia="Times New Roman" w:hAnsiTheme="minorHAnsi"/>
      <w:b/>
      <w:bCs/>
      <w:lang w:eastAsia="en-AU"/>
    </w:rPr>
  </w:style>
  <w:style w:type="table" w:customStyle="1" w:styleId="TableDTAHeaderRow">
    <w:name w:val="Table DTA Header Row"/>
    <w:basedOn w:val="TableNormal"/>
    <w:rsid w:val="00DC3AEF"/>
    <w:pPr>
      <w:spacing w:before="20" w:after="20" w:line="200" w:lineRule="atLeast"/>
    </w:pPr>
    <w:rPr>
      <w:rFonts w:ascii="Helvetica" w:eastAsia="Times"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styleId="DocumentMap">
    <w:name w:val="Document Map"/>
    <w:aliases w:val="DM-DO NOT USE"/>
    <w:basedOn w:val="Normal"/>
    <w:link w:val="DocumentMapChar"/>
    <w:semiHidden/>
    <w:rsid w:val="00A80FCC"/>
    <w:pPr>
      <w:shd w:val="clear" w:color="auto" w:fill="000080"/>
    </w:pPr>
  </w:style>
  <w:style w:type="character" w:customStyle="1" w:styleId="DocumentMapChar">
    <w:name w:val="Document Map Char"/>
    <w:aliases w:val="DM-DO NOT USE Char"/>
    <w:basedOn w:val="DefaultParagraphFont"/>
    <w:link w:val="DocumentMap"/>
    <w:semiHidden/>
    <w:rsid w:val="00A80FCC"/>
    <w:rPr>
      <w:rFonts w:asciiTheme="minorHAnsi" w:eastAsia="Times New Roman" w:hAnsiTheme="minorHAnsi"/>
      <w:sz w:val="22"/>
      <w:shd w:val="clear" w:color="auto" w:fill="000080"/>
      <w:lang w:eastAsia="en-AU"/>
    </w:rPr>
  </w:style>
  <w:style w:type="character" w:styleId="Emphasis">
    <w:name w:val="Emphasis"/>
    <w:aliases w:val="E-DO NOT USE"/>
    <w:uiPriority w:val="99"/>
    <w:qFormat/>
    <w:rsid w:val="00EF0E68"/>
    <w:rPr>
      <w:i/>
      <w:iCs/>
    </w:rPr>
  </w:style>
  <w:style w:type="character" w:styleId="EndnoteReference">
    <w:name w:val="endnote reference"/>
    <w:aliases w:val="ERe-DO NOT USE"/>
    <w:semiHidden/>
    <w:unhideWhenUsed/>
    <w:rsid w:val="00A80FCC"/>
    <w:rPr>
      <w:vertAlign w:val="superscript"/>
    </w:rPr>
  </w:style>
  <w:style w:type="paragraph" w:styleId="EndnoteText">
    <w:name w:val="endnote text"/>
    <w:aliases w:val="ET-DO NOT USE"/>
    <w:basedOn w:val="Normal"/>
    <w:link w:val="EndnoteTextChar"/>
    <w:unhideWhenUsed/>
    <w:rsid w:val="00A80FCC"/>
    <w:rPr>
      <w:rFonts w:eastAsia="SimSun"/>
    </w:rPr>
  </w:style>
  <w:style w:type="character" w:customStyle="1" w:styleId="EndnoteTextChar">
    <w:name w:val="Endnote Text Char"/>
    <w:aliases w:val="ET-DO NOT USE Char"/>
    <w:basedOn w:val="DefaultParagraphFont"/>
    <w:link w:val="EndnoteText"/>
    <w:rsid w:val="00A80FCC"/>
    <w:rPr>
      <w:rFonts w:asciiTheme="minorHAnsi" w:eastAsia="SimSun" w:hAnsiTheme="minorHAnsi"/>
      <w:sz w:val="22"/>
      <w:lang w:eastAsia="en-AU"/>
    </w:rPr>
  </w:style>
  <w:style w:type="character" w:styleId="FollowedHyperlink">
    <w:name w:val="FollowedHyperlink"/>
    <w:unhideWhenUsed/>
    <w:rsid w:val="00A80FCC"/>
    <w:rPr>
      <w:color w:val="C77C0E"/>
      <w:u w:val="single"/>
    </w:rPr>
  </w:style>
  <w:style w:type="paragraph" w:styleId="Footer">
    <w:name w:val="footer"/>
    <w:basedOn w:val="Normal"/>
    <w:link w:val="FooterChar"/>
    <w:uiPriority w:val="99"/>
    <w:qFormat/>
    <w:rsid w:val="00EF0E68"/>
    <w:pPr>
      <w:tabs>
        <w:tab w:val="center" w:pos="4513"/>
        <w:tab w:val="right" w:pos="9026"/>
      </w:tabs>
    </w:pPr>
  </w:style>
  <w:style w:type="character" w:customStyle="1" w:styleId="FooterChar">
    <w:name w:val="Footer Char"/>
    <w:basedOn w:val="DefaultParagraphFont"/>
    <w:link w:val="Footer"/>
    <w:uiPriority w:val="99"/>
    <w:rsid w:val="00EF0E68"/>
    <w:rPr>
      <w:rFonts w:ascii="Arial" w:hAnsi="Arial"/>
      <w:lang w:eastAsia="en-AU"/>
    </w:rPr>
  </w:style>
  <w:style w:type="character" w:styleId="FootnoteReference">
    <w:name w:val="footnote reference"/>
    <w:aliases w:val="Footnote Reference(oobe),*Footnote Reference,ONLINE USE ONLY,fr,Used by Word for Help footnote symbols"/>
    <w:unhideWhenUsed/>
    <w:rsid w:val="00A80FCC"/>
    <w:rPr>
      <w:vertAlign w:val="superscript"/>
    </w:rPr>
  </w:style>
  <w:style w:type="paragraph" w:styleId="FootnoteText">
    <w:name w:val="footnote text"/>
    <w:aliases w:val="Footnote Text(oobe),Footnote Text - ASG,foot,ft,Used by Word for text of Help footnotes"/>
    <w:basedOn w:val="Normal"/>
    <w:link w:val="FootnoteTextChar"/>
    <w:rsid w:val="00A80FCC"/>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A80FCC"/>
    <w:rPr>
      <w:rFonts w:asciiTheme="minorHAnsi" w:eastAsia="Times New Roman" w:hAnsiTheme="minorHAnsi"/>
      <w:lang w:eastAsia="en-AU"/>
    </w:rPr>
  </w:style>
  <w:style w:type="paragraph" w:styleId="Header">
    <w:name w:val="header"/>
    <w:basedOn w:val="Normal"/>
    <w:link w:val="HeaderChar"/>
    <w:rsid w:val="00A80FCC"/>
    <w:pPr>
      <w:tabs>
        <w:tab w:val="center" w:pos="4513"/>
        <w:tab w:val="right" w:pos="9026"/>
      </w:tabs>
    </w:pPr>
  </w:style>
  <w:style w:type="character" w:customStyle="1" w:styleId="HeaderChar">
    <w:name w:val="Header Char"/>
    <w:basedOn w:val="DefaultParagraphFont"/>
    <w:link w:val="Header"/>
    <w:rsid w:val="00A80FCC"/>
    <w:rPr>
      <w:rFonts w:asciiTheme="minorHAnsi" w:eastAsia="Times New Roman" w:hAnsiTheme="minorHAnsi"/>
      <w:sz w:val="22"/>
      <w:lang w:eastAsia="en-AU"/>
    </w:rPr>
  </w:style>
  <w:style w:type="character" w:customStyle="1" w:styleId="Heading1Char">
    <w:name w:val="Heading 1 Char"/>
    <w:basedOn w:val="DefaultParagraphFont"/>
    <w:link w:val="Heading1"/>
    <w:rsid w:val="00EF0E68"/>
    <w:rPr>
      <w:rFonts w:ascii="Arial" w:eastAsiaTheme="majorEastAsia" w:hAnsi="Arial" w:cstheme="majorBidi"/>
      <w:b/>
      <w:bCs/>
      <w:color w:val="22A0CB"/>
      <w:sz w:val="40"/>
      <w:szCs w:val="28"/>
      <w:lang w:eastAsia="en-AU"/>
    </w:rPr>
  </w:style>
  <w:style w:type="character" w:customStyle="1" w:styleId="Heading2Char">
    <w:name w:val="Heading 2 Char"/>
    <w:basedOn w:val="DefaultParagraphFont"/>
    <w:link w:val="Heading2"/>
    <w:rsid w:val="00EF0E68"/>
    <w:rPr>
      <w:rFonts w:ascii="Arial" w:eastAsiaTheme="majorEastAsia" w:hAnsi="Arial" w:cstheme="majorBidi"/>
      <w:b/>
      <w:bCs/>
      <w:color w:val="22A0CB"/>
      <w:sz w:val="32"/>
      <w:szCs w:val="26"/>
      <w:lang w:eastAsia="en-AU"/>
    </w:rPr>
  </w:style>
  <w:style w:type="character" w:customStyle="1" w:styleId="Heading3Char">
    <w:name w:val="Heading 3 Char"/>
    <w:basedOn w:val="DefaultParagraphFont"/>
    <w:link w:val="Heading3"/>
    <w:rsid w:val="00EF0E68"/>
    <w:rPr>
      <w:rFonts w:ascii="Arial" w:eastAsiaTheme="majorEastAsia" w:hAnsi="Arial" w:cstheme="majorBidi"/>
      <w:b/>
      <w:bCs/>
      <w:color w:val="22A0CB"/>
      <w:sz w:val="28"/>
      <w:lang w:eastAsia="en-AU"/>
    </w:rPr>
  </w:style>
  <w:style w:type="character" w:customStyle="1" w:styleId="Heading4Char">
    <w:name w:val="Heading 4 Char"/>
    <w:aliases w:val="Heading 4(oobe) Char"/>
    <w:basedOn w:val="DefaultParagraphFont"/>
    <w:link w:val="Heading4"/>
    <w:rsid w:val="00EF0E68"/>
    <w:rPr>
      <w:rFonts w:asciiTheme="majorHAnsi" w:eastAsiaTheme="majorEastAsia" w:hAnsiTheme="majorHAnsi" w:cstheme="majorBidi"/>
      <w:b/>
      <w:bCs/>
      <w:iCs/>
      <w:sz w:val="22"/>
      <w:lang w:eastAsia="en-AU"/>
    </w:rPr>
  </w:style>
  <w:style w:type="character" w:customStyle="1" w:styleId="Heading5Char">
    <w:name w:val="Heading 5 Char"/>
    <w:basedOn w:val="DefaultParagraphFont"/>
    <w:link w:val="Heading5"/>
    <w:rsid w:val="00A80FCC"/>
    <w:rPr>
      <w:rFonts w:asciiTheme="majorHAnsi" w:eastAsiaTheme="majorEastAsia" w:hAnsiTheme="majorHAnsi" w:cstheme="majorBidi"/>
      <w:b/>
      <w:bCs/>
      <w:i/>
      <w:iCs/>
      <w:sz w:val="22"/>
      <w:lang w:eastAsia="en-AU"/>
    </w:rPr>
  </w:style>
  <w:style w:type="character" w:customStyle="1" w:styleId="Heading6Char">
    <w:name w:val="Heading 6 Char"/>
    <w:basedOn w:val="DefaultParagraphFont"/>
    <w:link w:val="Heading6"/>
    <w:uiPriority w:val="9"/>
    <w:rsid w:val="00EF0E68"/>
    <w:rPr>
      <w:rFonts w:ascii="Arial" w:hAnsi="Arial"/>
      <w:sz w:val="36"/>
      <w:lang w:eastAsia="zh-CN"/>
    </w:rPr>
  </w:style>
  <w:style w:type="character" w:customStyle="1" w:styleId="Heading7Char">
    <w:name w:val="Heading 7 Char"/>
    <w:basedOn w:val="DefaultParagraphFont"/>
    <w:link w:val="Heading7"/>
    <w:uiPriority w:val="9"/>
    <w:rsid w:val="00EF0E68"/>
    <w:rPr>
      <w:rFonts w:ascii="Arial" w:hAnsi="Arial"/>
      <w:sz w:val="28"/>
      <w:lang w:eastAsia="zh-CN"/>
    </w:rPr>
  </w:style>
  <w:style w:type="character" w:customStyle="1" w:styleId="Heading8Char">
    <w:name w:val="Heading 8 Char"/>
    <w:basedOn w:val="DefaultParagraphFont"/>
    <w:link w:val="Heading8"/>
    <w:uiPriority w:val="9"/>
    <w:rsid w:val="00EF0E68"/>
    <w:rPr>
      <w:rFonts w:ascii="Arial" w:hAnsi="Arial"/>
      <w:b/>
      <w:bCs/>
      <w:lang w:eastAsia="zh-CN"/>
    </w:rPr>
  </w:style>
  <w:style w:type="character" w:customStyle="1" w:styleId="Heading9Char">
    <w:name w:val="Heading 9 Char"/>
    <w:aliases w:val="Heading Appendix 1 Char"/>
    <w:basedOn w:val="DefaultParagraphFont"/>
    <w:link w:val="Heading9"/>
    <w:uiPriority w:val="9"/>
    <w:rsid w:val="00EF0E68"/>
    <w:rPr>
      <w:rFonts w:ascii="Arial" w:hAnsi="Arial"/>
      <w:i/>
      <w:lang w:eastAsia="zh-CN"/>
    </w:rPr>
  </w:style>
  <w:style w:type="character" w:styleId="Hyperlink">
    <w:name w:val="Hyperlink"/>
    <w:aliases w:val="Hyperlink(oobe)"/>
    <w:uiPriority w:val="99"/>
    <w:unhideWhenUsed/>
    <w:qFormat/>
    <w:rsid w:val="00EF0E68"/>
    <w:rPr>
      <w:rFonts w:ascii="Arial" w:hAnsi="Arial"/>
      <w:color w:val="000000" w:themeColor="text1"/>
      <w:u w:val="single"/>
    </w:rPr>
  </w:style>
  <w:style w:type="character" w:styleId="IntenseEmphasis">
    <w:name w:val="Intense Emphasis"/>
    <w:aliases w:val="IE-DO NOT USE"/>
    <w:basedOn w:val="DefaultParagraphFont"/>
    <w:uiPriority w:val="21"/>
    <w:rsid w:val="00A80FCC"/>
    <w:rPr>
      <w:b/>
    </w:rPr>
  </w:style>
  <w:style w:type="paragraph" w:styleId="ListBullet">
    <w:name w:val="List Bullet"/>
    <w:basedOn w:val="Normal"/>
    <w:next w:val="ListBullet2"/>
    <w:qFormat/>
    <w:rsid w:val="00EF0E68"/>
    <w:pPr>
      <w:numPr>
        <w:numId w:val="23"/>
      </w:numPr>
      <w:spacing w:before="120" w:after="120" w:line="276" w:lineRule="auto"/>
    </w:pPr>
    <w:rPr>
      <w:rFonts w:eastAsia="Calibri"/>
      <w:szCs w:val="22"/>
      <w:lang w:eastAsia="en-US"/>
    </w:rPr>
  </w:style>
  <w:style w:type="paragraph" w:styleId="ListBullet2">
    <w:name w:val="List Bullet 2"/>
    <w:basedOn w:val="ListBullet"/>
    <w:rsid w:val="00A80FCC"/>
    <w:pPr>
      <w:numPr>
        <w:ilvl w:val="1"/>
      </w:numPr>
    </w:pPr>
  </w:style>
  <w:style w:type="paragraph" w:styleId="ListBullet3">
    <w:name w:val="List Bullet 3"/>
    <w:basedOn w:val="ListBullet2"/>
    <w:rsid w:val="00A80FCC"/>
    <w:pPr>
      <w:numPr>
        <w:ilvl w:val="2"/>
      </w:numPr>
      <w:tabs>
        <w:tab w:val="num" w:pos="1491"/>
      </w:tabs>
    </w:pPr>
  </w:style>
  <w:style w:type="paragraph" w:styleId="ListParagraph">
    <w:name w:val="List Paragraph"/>
    <w:aliases w:val="LP-DO NOT USE"/>
    <w:basedOn w:val="Normal"/>
    <w:link w:val="ListParagraphChar"/>
    <w:uiPriority w:val="34"/>
    <w:qFormat/>
    <w:rsid w:val="00EF0E68"/>
    <w:pPr>
      <w:ind w:left="720"/>
      <w:contextualSpacing/>
    </w:pPr>
  </w:style>
  <w:style w:type="paragraph" w:styleId="NoSpacing">
    <w:name w:val="No Spacing"/>
    <w:aliases w:val="NS-DO NOT USE"/>
    <w:link w:val="NoSpacingChar"/>
    <w:uiPriority w:val="1"/>
    <w:qFormat/>
    <w:rsid w:val="00EF0E68"/>
    <w:rPr>
      <w:rFonts w:asciiTheme="minorHAnsi" w:hAnsiTheme="minorHAnsi" w:cstheme="minorBidi"/>
    </w:rPr>
  </w:style>
  <w:style w:type="character" w:styleId="PageNumber">
    <w:name w:val="page number"/>
    <w:aliases w:val="P-DO NOT USE"/>
    <w:rsid w:val="00A80FCC"/>
    <w:rPr>
      <w:rFonts w:ascii="Arial" w:hAnsi="Arial"/>
      <w:sz w:val="16"/>
    </w:rPr>
  </w:style>
  <w:style w:type="character" w:styleId="PlaceholderText">
    <w:name w:val="Placeholder Text"/>
    <w:aliases w:val="Pl-DO NOT USE"/>
    <w:basedOn w:val="DefaultParagraphFont"/>
    <w:uiPriority w:val="99"/>
    <w:semiHidden/>
    <w:rsid w:val="00A80FCC"/>
    <w:rPr>
      <w:color w:val="FFC000" w:themeColor="accent4"/>
    </w:rPr>
  </w:style>
  <w:style w:type="table" w:styleId="TableGrid">
    <w:name w:val="Table Grid"/>
    <w:basedOn w:val="TableNormal"/>
    <w:uiPriority w:val="39"/>
    <w:rsid w:val="00A80FCC"/>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link w:val="TabletextChar"/>
    <w:qFormat/>
    <w:rsid w:val="00EF0E68"/>
    <w:pPr>
      <w:spacing w:before="60" w:after="60" w:line="276" w:lineRule="auto"/>
    </w:pPr>
    <w:rPr>
      <w:sz w:val="18"/>
      <w:lang w:eastAsia="x-none"/>
    </w:rPr>
  </w:style>
  <w:style w:type="character" w:customStyle="1" w:styleId="TabletextChar">
    <w:name w:val="Table text Char"/>
    <w:basedOn w:val="DefaultParagraphFont"/>
    <w:link w:val="Tabletext"/>
    <w:locked/>
    <w:rsid w:val="00EF0E68"/>
    <w:rPr>
      <w:rFonts w:ascii="Arial" w:hAnsi="Arial"/>
      <w:sz w:val="18"/>
      <w:lang w:eastAsia="x-none"/>
    </w:rPr>
  </w:style>
  <w:style w:type="paragraph" w:styleId="TOC1">
    <w:name w:val="toc 1"/>
    <w:aliases w:val="TOC 1(oobe)"/>
    <w:basedOn w:val="Normal"/>
    <w:next w:val="Normal"/>
    <w:uiPriority w:val="39"/>
    <w:unhideWhenUsed/>
    <w:rsid w:val="00353437"/>
    <w:pPr>
      <w:tabs>
        <w:tab w:val="right" w:leader="dot" w:pos="9017"/>
      </w:tabs>
      <w:spacing w:before="80"/>
    </w:pPr>
    <w:rPr>
      <w:b/>
    </w:rPr>
  </w:style>
  <w:style w:type="paragraph" w:styleId="TOC2">
    <w:name w:val="toc 2"/>
    <w:aliases w:val="TOC 2(oobe)"/>
    <w:basedOn w:val="Normal"/>
    <w:next w:val="Normal"/>
    <w:uiPriority w:val="39"/>
    <w:unhideWhenUsed/>
    <w:rsid w:val="00A80FCC"/>
    <w:pPr>
      <w:tabs>
        <w:tab w:val="right" w:leader="dot" w:pos="9015"/>
      </w:tabs>
      <w:spacing w:before="20"/>
      <w:ind w:left="284"/>
    </w:pPr>
  </w:style>
  <w:style w:type="paragraph" w:styleId="TOC3">
    <w:name w:val="toc 3"/>
    <w:aliases w:val="TOC 3(oobe)"/>
    <w:basedOn w:val="Normal"/>
    <w:next w:val="Normal"/>
    <w:uiPriority w:val="39"/>
    <w:unhideWhenUsed/>
    <w:rsid w:val="00A80FCC"/>
    <w:pPr>
      <w:tabs>
        <w:tab w:val="right" w:leader="dot" w:pos="9017"/>
      </w:tabs>
      <w:ind w:left="567"/>
    </w:pPr>
  </w:style>
  <w:style w:type="paragraph" w:styleId="TOC4">
    <w:name w:val="toc 4"/>
    <w:aliases w:val="TOC 4(oobe)"/>
    <w:basedOn w:val="Normal"/>
    <w:next w:val="Normal"/>
    <w:uiPriority w:val="39"/>
    <w:unhideWhenUsed/>
    <w:rsid w:val="00A80FCC"/>
    <w:pPr>
      <w:tabs>
        <w:tab w:val="right" w:leader="dot" w:pos="8495"/>
      </w:tabs>
      <w:ind w:left="851"/>
    </w:pPr>
    <w:rPr>
      <w:color w:val="44546A" w:themeColor="text2"/>
      <w:lang w:eastAsia="zh-CN"/>
    </w:rPr>
  </w:style>
  <w:style w:type="paragraph" w:styleId="TOC5">
    <w:name w:val="toc 5"/>
    <w:basedOn w:val="Normal"/>
    <w:next w:val="Normal"/>
    <w:autoRedefine/>
    <w:uiPriority w:val="39"/>
    <w:rsid w:val="00A80FCC"/>
    <w:pPr>
      <w:ind w:left="907"/>
    </w:pPr>
  </w:style>
  <w:style w:type="paragraph" w:styleId="TOC6">
    <w:name w:val="toc 6"/>
    <w:basedOn w:val="Normal"/>
    <w:next w:val="Normal"/>
    <w:autoRedefine/>
    <w:unhideWhenUsed/>
    <w:rsid w:val="00A80FCC"/>
    <w:pPr>
      <w:spacing w:after="100"/>
      <w:ind w:left="1100"/>
    </w:pPr>
    <w:rPr>
      <w:lang w:eastAsia="zh-CN"/>
    </w:rPr>
  </w:style>
  <w:style w:type="paragraph" w:styleId="TOC7">
    <w:name w:val="toc 7"/>
    <w:basedOn w:val="Normal"/>
    <w:next w:val="Normal"/>
    <w:autoRedefine/>
    <w:rsid w:val="00A80FCC"/>
    <w:rPr>
      <w:rFonts w:ascii="Times New Roman" w:hAnsi="Times New Roman"/>
    </w:rPr>
  </w:style>
  <w:style w:type="paragraph" w:styleId="TOC8">
    <w:name w:val="toc 8"/>
    <w:basedOn w:val="Normal"/>
    <w:next w:val="Normal"/>
    <w:autoRedefine/>
    <w:rsid w:val="00A80FCC"/>
    <w:rPr>
      <w:rFonts w:ascii="Times New Roman" w:hAnsi="Times New Roman"/>
    </w:rPr>
  </w:style>
  <w:style w:type="paragraph" w:styleId="TOC9">
    <w:name w:val="toc 9"/>
    <w:basedOn w:val="Normal"/>
    <w:next w:val="Normal"/>
    <w:autoRedefine/>
    <w:rsid w:val="00A80FCC"/>
    <w:rPr>
      <w:rFonts w:ascii="Times New Roman" w:hAnsi="Times New Roman"/>
    </w:rPr>
  </w:style>
  <w:style w:type="character" w:styleId="UnresolvedMention">
    <w:name w:val="Unresolved Mention"/>
    <w:basedOn w:val="DefaultParagraphFont"/>
    <w:unhideWhenUsed/>
    <w:rsid w:val="00A80FCC"/>
    <w:rPr>
      <w:color w:val="605E5C"/>
      <w:shd w:val="clear" w:color="auto" w:fill="E1DFDD"/>
    </w:rPr>
  </w:style>
  <w:style w:type="paragraph" w:styleId="TOCHeading">
    <w:name w:val="TOC Heading"/>
    <w:basedOn w:val="Heading1"/>
    <w:next w:val="Normal"/>
    <w:uiPriority w:val="39"/>
    <w:unhideWhenUsed/>
    <w:qFormat/>
    <w:rsid w:val="00EF0E68"/>
    <w:pPr>
      <w:pageBreakBefore w:val="0"/>
      <w:spacing w:before="240" w:after="0" w:line="259" w:lineRule="auto"/>
      <w:outlineLvl w:val="9"/>
    </w:pPr>
    <w:rPr>
      <w:rFonts w:ascii="Montserrat" w:hAnsi="Montserrat"/>
      <w:b w:val="0"/>
      <w:bCs w:val="0"/>
      <w:caps/>
      <w:sz w:val="32"/>
      <w:szCs w:val="32"/>
      <w:lang w:val="en-US" w:eastAsia="en-US"/>
    </w:rPr>
  </w:style>
  <w:style w:type="paragraph" w:customStyle="1" w:styleId="TableTitle">
    <w:name w:val="Table Title"/>
    <w:basedOn w:val="BodyText"/>
    <w:next w:val="BodyText"/>
    <w:qFormat/>
    <w:rsid w:val="00EF0E68"/>
    <w:pPr>
      <w:keepNext/>
      <w:suppressAutoHyphens/>
      <w:spacing w:before="280" w:after="140" w:line="336" w:lineRule="auto"/>
    </w:pPr>
    <w:rPr>
      <w:rFonts w:eastAsia="Times" w:cs="Arial"/>
      <w:i/>
      <w:sz w:val="18"/>
      <w:szCs w:val="18"/>
    </w:rPr>
  </w:style>
  <w:style w:type="paragraph" w:customStyle="1" w:styleId="TableTextLeft">
    <w:name w:val="Table Text Left"/>
    <w:qFormat/>
    <w:rsid w:val="00EF0E68"/>
    <w:pPr>
      <w:spacing w:before="60" w:after="60" w:line="288" w:lineRule="auto"/>
    </w:pPr>
    <w:rPr>
      <w:rFonts w:ascii="Arial" w:hAnsi="Arial" w:cs="Arial"/>
      <w:sz w:val="18"/>
      <w:szCs w:val="24"/>
      <w:lang w:eastAsia="en-AU"/>
    </w:rPr>
  </w:style>
  <w:style w:type="paragraph" w:styleId="BodyText2">
    <w:name w:val="Body Text 2"/>
    <w:aliases w:val="BT2-DO NOT USE"/>
    <w:basedOn w:val="Normal"/>
    <w:link w:val="BodyText2Char"/>
    <w:semiHidden/>
    <w:unhideWhenUsed/>
    <w:rsid w:val="00FF4637"/>
    <w:pPr>
      <w:spacing w:after="120" w:line="480" w:lineRule="auto"/>
    </w:pPr>
  </w:style>
  <w:style w:type="character" w:customStyle="1" w:styleId="BodyText2Char">
    <w:name w:val="Body Text 2 Char"/>
    <w:aliases w:val="BT2-DO NOT USE Char"/>
    <w:basedOn w:val="DefaultParagraphFont"/>
    <w:link w:val="BodyText2"/>
    <w:semiHidden/>
    <w:rsid w:val="00FF4637"/>
    <w:rPr>
      <w:rFonts w:ascii="Arial" w:hAnsi="Arial"/>
      <w:lang w:eastAsia="en-AU"/>
    </w:rPr>
  </w:style>
  <w:style w:type="paragraph" w:customStyle="1" w:styleId="Tabletext-Breadcrumb">
    <w:name w:val="Table text - Breadcrumb"/>
    <w:basedOn w:val="Normal"/>
    <w:qFormat/>
    <w:rsid w:val="00EF0E68"/>
    <w:pPr>
      <w:spacing w:before="60" w:after="60" w:line="276" w:lineRule="auto"/>
    </w:pPr>
    <w:rPr>
      <w:rFonts w:eastAsia="Times"/>
      <w:b/>
      <w:bCs/>
      <w:i/>
      <w:iCs/>
      <w:color w:val="414141"/>
      <w:sz w:val="18"/>
      <w:lang w:val="en-US" w:eastAsia="x-none"/>
    </w:rPr>
  </w:style>
  <w:style w:type="paragraph" w:customStyle="1" w:styleId="TitlePage-Title">
    <w:name w:val="Title Page - Title"/>
    <w:basedOn w:val="Normal"/>
    <w:qFormat/>
    <w:rsid w:val="00EF0E68"/>
    <w:rPr>
      <w:b/>
      <w:bCs/>
      <w:color w:val="22A0CB"/>
      <w:sz w:val="42"/>
      <w:szCs w:val="44"/>
    </w:rPr>
  </w:style>
  <w:style w:type="paragraph" w:customStyle="1" w:styleId="DTA-Disclaimer">
    <w:name w:val="DTA - Disclaimer"/>
    <w:basedOn w:val="Normal"/>
    <w:qFormat/>
    <w:rsid w:val="00EF0E68"/>
    <w:pPr>
      <w:spacing w:before="280" w:after="140" w:line="288" w:lineRule="auto"/>
    </w:pPr>
  </w:style>
  <w:style w:type="paragraph" w:customStyle="1" w:styleId="DTA-Normal">
    <w:name w:val="DTA - Normal"/>
    <w:basedOn w:val="Normal"/>
    <w:qFormat/>
    <w:rsid w:val="00EF0E68"/>
    <w:pPr>
      <w:spacing w:line="336" w:lineRule="auto"/>
    </w:pPr>
    <w:rPr>
      <w:rFonts w:cs="Arial"/>
      <w:szCs w:val="18"/>
    </w:rPr>
  </w:style>
  <w:style w:type="paragraph" w:customStyle="1" w:styleId="DocumentTitle">
    <w:name w:val="Document Title"/>
    <w:next w:val="Normal"/>
    <w:rsid w:val="009C30A9"/>
    <w:pPr>
      <w:keepNext/>
      <w:spacing w:before="1060" w:after="420"/>
      <w:outlineLvl w:val="0"/>
    </w:pPr>
    <w:rPr>
      <w:b/>
      <w:color w:val="22A0CB"/>
      <w:sz w:val="42"/>
      <w:szCs w:val="24"/>
      <w:lang w:eastAsia="en-AU"/>
    </w:rPr>
  </w:style>
  <w:style w:type="paragraph" w:customStyle="1" w:styleId="ListBulletLevel1">
    <w:name w:val="List Bullet Level 1"/>
    <w:basedOn w:val="DTA-Normal"/>
    <w:link w:val="ListBulletLevel1Char"/>
    <w:rsid w:val="009C30A9"/>
    <w:pPr>
      <w:numPr>
        <w:numId w:val="34"/>
      </w:numPr>
      <w:tabs>
        <w:tab w:val="clear" w:pos="454"/>
      </w:tabs>
      <w:spacing w:line="240" w:lineRule="auto"/>
      <w:ind w:left="0" w:firstLine="0"/>
    </w:pPr>
    <w:rPr>
      <w:rFonts w:ascii="Calibri" w:hAnsi="Calibri" w:cs="Times New Roman"/>
      <w:szCs w:val="20"/>
      <w:lang w:val="en-US" w:eastAsia="en-US"/>
    </w:rPr>
  </w:style>
  <w:style w:type="character" w:styleId="BookTitle">
    <w:name w:val="Book Title"/>
    <w:aliases w:val="BT-DO NOT USE"/>
    <w:basedOn w:val="DefaultParagraphFont"/>
    <w:uiPriority w:val="33"/>
    <w:qFormat/>
    <w:rsid w:val="009C30A9"/>
    <w:rPr>
      <w:b/>
      <w:i/>
      <w:spacing w:val="5"/>
    </w:rPr>
  </w:style>
  <w:style w:type="character" w:styleId="Strong">
    <w:name w:val="Strong"/>
    <w:aliases w:val="St-DO NOT USE"/>
    <w:basedOn w:val="DefaultParagraphFont"/>
    <w:uiPriority w:val="22"/>
    <w:qFormat/>
    <w:rsid w:val="009C30A9"/>
    <w:rPr>
      <w:b/>
    </w:rPr>
  </w:style>
  <w:style w:type="paragraph" w:styleId="BodyText3">
    <w:name w:val="Body Text 3"/>
    <w:aliases w:val="BT3-DO NOT USE"/>
    <w:basedOn w:val="BodyText"/>
    <w:link w:val="BodyText3Char"/>
    <w:semiHidden/>
    <w:rsid w:val="009C30A9"/>
    <w:rPr>
      <w:rFonts w:cs="Arial"/>
      <w:lang w:val="en-US"/>
    </w:rPr>
  </w:style>
  <w:style w:type="character" w:customStyle="1" w:styleId="BodyText3Char">
    <w:name w:val="Body Text 3 Char"/>
    <w:aliases w:val="BT3-DO NOT USE Char"/>
    <w:basedOn w:val="DefaultParagraphFont"/>
    <w:link w:val="BodyText3"/>
    <w:semiHidden/>
    <w:rsid w:val="009C30A9"/>
    <w:rPr>
      <w:rFonts w:ascii="Arial" w:hAnsi="Arial" w:cs="Arial"/>
      <w:lang w:val="en-US" w:eastAsia="en-AU"/>
    </w:rPr>
  </w:style>
  <w:style w:type="character" w:customStyle="1" w:styleId="ListBulletLevel1Char">
    <w:name w:val="List Bullet Level 1 Char"/>
    <w:link w:val="ListBulletLevel1"/>
    <w:locked/>
    <w:rsid w:val="009C30A9"/>
    <w:rPr>
      <w:lang w:val="en-US"/>
    </w:rPr>
  </w:style>
  <w:style w:type="paragraph" w:styleId="Closing">
    <w:name w:val="Closing"/>
    <w:aliases w:val="C-DO NOT USE"/>
    <w:basedOn w:val="CommentSubject"/>
    <w:next w:val="BodyText"/>
    <w:link w:val="ClosingChar"/>
    <w:semiHidden/>
    <w:rsid w:val="009C30A9"/>
    <w:pPr>
      <w:spacing w:before="180" w:after="180" w:line="280" w:lineRule="atLeast"/>
    </w:pPr>
    <w:rPr>
      <w:rFonts w:ascii="Calibri" w:hAnsi="Calibri" w:cs="Arial"/>
      <w:b w:val="0"/>
      <w:bCs w:val="0"/>
      <w:sz w:val="24"/>
      <w:szCs w:val="24"/>
    </w:rPr>
  </w:style>
  <w:style w:type="character" w:customStyle="1" w:styleId="ClosingChar">
    <w:name w:val="Closing Char"/>
    <w:aliases w:val="C-DO NOT USE Char"/>
    <w:basedOn w:val="DefaultParagraphFont"/>
    <w:link w:val="Closing"/>
    <w:semiHidden/>
    <w:rsid w:val="009C30A9"/>
    <w:rPr>
      <w:rFonts w:cs="Arial"/>
      <w:sz w:val="24"/>
      <w:szCs w:val="24"/>
      <w:lang w:eastAsia="en-AU"/>
    </w:rPr>
  </w:style>
  <w:style w:type="paragraph" w:styleId="Date">
    <w:name w:val="Date"/>
    <w:aliases w:val="D-DO NOT USE"/>
    <w:basedOn w:val="Normal"/>
    <w:next w:val="BodyText"/>
    <w:link w:val="DateChar"/>
    <w:semiHidden/>
    <w:rsid w:val="009C30A9"/>
    <w:pPr>
      <w:spacing w:before="180" w:after="180" w:line="280" w:lineRule="atLeast"/>
    </w:pPr>
    <w:rPr>
      <w:rFonts w:ascii="Calibri" w:hAnsi="Calibri" w:cs="Arial"/>
      <w:sz w:val="24"/>
      <w:szCs w:val="24"/>
    </w:rPr>
  </w:style>
  <w:style w:type="character" w:customStyle="1" w:styleId="DateChar">
    <w:name w:val="Date Char"/>
    <w:aliases w:val="D-DO NOT USE Char"/>
    <w:basedOn w:val="DefaultParagraphFont"/>
    <w:link w:val="Date"/>
    <w:semiHidden/>
    <w:rsid w:val="009C30A9"/>
    <w:rPr>
      <w:rFonts w:cs="Arial"/>
      <w:sz w:val="24"/>
      <w:szCs w:val="24"/>
      <w:lang w:eastAsia="en-AU"/>
    </w:rPr>
  </w:style>
  <w:style w:type="paragraph" w:styleId="E-mailSignature">
    <w:name w:val="E-mail Signature"/>
    <w:aliases w:val="EM-DO NOT USE"/>
    <w:basedOn w:val="Normal"/>
    <w:next w:val="BodyText"/>
    <w:link w:val="E-mailSignatureChar"/>
    <w:semiHidden/>
    <w:rsid w:val="009C30A9"/>
    <w:pPr>
      <w:spacing w:before="180" w:after="180" w:line="280" w:lineRule="atLeast"/>
    </w:pPr>
    <w:rPr>
      <w:rFonts w:ascii="Calibri" w:hAnsi="Calibri" w:cs="Arial"/>
      <w:sz w:val="24"/>
      <w:szCs w:val="24"/>
    </w:rPr>
  </w:style>
  <w:style w:type="character" w:customStyle="1" w:styleId="E-mailSignatureChar">
    <w:name w:val="E-mail Signature Char"/>
    <w:aliases w:val="EM-DO NOT USE Char"/>
    <w:basedOn w:val="DefaultParagraphFont"/>
    <w:link w:val="E-mailSignature"/>
    <w:semiHidden/>
    <w:rsid w:val="009C30A9"/>
    <w:rPr>
      <w:rFonts w:cs="Arial"/>
      <w:sz w:val="24"/>
      <w:szCs w:val="24"/>
      <w:lang w:eastAsia="en-AU"/>
    </w:rPr>
  </w:style>
  <w:style w:type="paragraph" w:styleId="EnvelopeAddress">
    <w:name w:val="envelope address"/>
    <w:aliases w:val="EA-DO NOT USE"/>
    <w:basedOn w:val="Normal"/>
    <w:next w:val="BodyText"/>
    <w:semiHidden/>
    <w:rsid w:val="009C30A9"/>
    <w:pPr>
      <w:spacing w:before="180" w:after="180" w:line="280" w:lineRule="atLeast"/>
    </w:pPr>
    <w:rPr>
      <w:rFonts w:ascii="Calibri" w:hAnsi="Calibri" w:cs="Arial"/>
      <w:sz w:val="24"/>
      <w:szCs w:val="24"/>
    </w:rPr>
  </w:style>
  <w:style w:type="paragraph" w:styleId="EnvelopeReturn">
    <w:name w:val="envelope return"/>
    <w:aliases w:val="ER-DO NOT USE"/>
    <w:basedOn w:val="Normal"/>
    <w:next w:val="BodyText"/>
    <w:semiHidden/>
    <w:rsid w:val="009C30A9"/>
    <w:pPr>
      <w:spacing w:before="180" w:after="180" w:line="280" w:lineRule="atLeast"/>
    </w:pPr>
    <w:rPr>
      <w:rFonts w:ascii="Calibri" w:hAnsi="Calibri" w:cs="Arial"/>
      <w:sz w:val="24"/>
      <w:szCs w:val="24"/>
    </w:rPr>
  </w:style>
  <w:style w:type="paragraph" w:styleId="HTMLAddress">
    <w:name w:val="HTML Address"/>
    <w:aliases w:val="HAd-DO NOT USE"/>
    <w:basedOn w:val="Normal"/>
    <w:next w:val="BodyText"/>
    <w:link w:val="HTMLAddressChar"/>
    <w:semiHidden/>
    <w:rsid w:val="009C30A9"/>
    <w:pPr>
      <w:spacing w:before="180" w:after="180" w:line="280" w:lineRule="atLeast"/>
    </w:pPr>
    <w:rPr>
      <w:rFonts w:ascii="Calibri" w:hAnsi="Calibri" w:cs="Arial"/>
      <w:sz w:val="24"/>
      <w:szCs w:val="24"/>
    </w:rPr>
  </w:style>
  <w:style w:type="character" w:customStyle="1" w:styleId="HTMLAddressChar">
    <w:name w:val="HTML Address Char"/>
    <w:aliases w:val="HAd-DO NOT USE Char"/>
    <w:basedOn w:val="DefaultParagraphFont"/>
    <w:link w:val="HTMLAddress"/>
    <w:semiHidden/>
    <w:rsid w:val="009C30A9"/>
    <w:rPr>
      <w:rFonts w:cs="Arial"/>
      <w:sz w:val="24"/>
      <w:szCs w:val="24"/>
      <w:lang w:eastAsia="en-AU"/>
    </w:rPr>
  </w:style>
  <w:style w:type="paragraph" w:styleId="HTMLPreformatted">
    <w:name w:val="HTML Preformatted"/>
    <w:aliases w:val="HP-DO NOT USE"/>
    <w:basedOn w:val="Normal"/>
    <w:next w:val="BodyText"/>
    <w:link w:val="HTMLPreformattedChar"/>
    <w:semiHidden/>
    <w:rsid w:val="009C30A9"/>
    <w:pPr>
      <w:spacing w:before="180" w:after="180" w:line="280" w:lineRule="atLeast"/>
    </w:pPr>
    <w:rPr>
      <w:rFonts w:ascii="Calibri" w:hAnsi="Calibri" w:cs="Arial"/>
      <w:sz w:val="24"/>
      <w:szCs w:val="24"/>
    </w:rPr>
  </w:style>
  <w:style w:type="character" w:customStyle="1" w:styleId="HTMLPreformattedChar">
    <w:name w:val="HTML Preformatted Char"/>
    <w:aliases w:val="HP-DO NOT USE Char"/>
    <w:basedOn w:val="DefaultParagraphFont"/>
    <w:link w:val="HTMLPreformatted"/>
    <w:semiHidden/>
    <w:rsid w:val="009C30A9"/>
    <w:rPr>
      <w:rFonts w:cs="Arial"/>
      <w:sz w:val="24"/>
      <w:szCs w:val="24"/>
      <w:lang w:eastAsia="en-AU"/>
    </w:rPr>
  </w:style>
  <w:style w:type="paragraph" w:styleId="List">
    <w:name w:val="List"/>
    <w:basedOn w:val="BodyText"/>
    <w:next w:val="BodyText"/>
    <w:semiHidden/>
    <w:rsid w:val="009C30A9"/>
    <w:pPr>
      <w:ind w:left="283" w:hanging="283"/>
    </w:pPr>
    <w:rPr>
      <w:rFonts w:cs="Arial"/>
      <w:lang w:val="en-US"/>
    </w:rPr>
  </w:style>
  <w:style w:type="paragraph" w:styleId="List2">
    <w:name w:val="List 2"/>
    <w:basedOn w:val="List"/>
    <w:next w:val="BodyText"/>
    <w:semiHidden/>
    <w:rsid w:val="009C30A9"/>
    <w:pPr>
      <w:ind w:left="566"/>
    </w:pPr>
  </w:style>
  <w:style w:type="paragraph" w:styleId="List3">
    <w:name w:val="List 3"/>
    <w:basedOn w:val="List2"/>
    <w:next w:val="BodyText"/>
    <w:semiHidden/>
    <w:rsid w:val="009C30A9"/>
    <w:pPr>
      <w:ind w:left="849"/>
    </w:pPr>
  </w:style>
  <w:style w:type="paragraph" w:styleId="List4">
    <w:name w:val="List 4"/>
    <w:basedOn w:val="List3"/>
    <w:next w:val="BodyText"/>
    <w:semiHidden/>
    <w:rsid w:val="009C30A9"/>
    <w:pPr>
      <w:ind w:left="1132"/>
    </w:pPr>
  </w:style>
  <w:style w:type="paragraph" w:styleId="List5">
    <w:name w:val="List 5"/>
    <w:basedOn w:val="List4"/>
    <w:next w:val="BodyText"/>
    <w:semiHidden/>
    <w:rsid w:val="009C30A9"/>
    <w:pPr>
      <w:ind w:left="1415"/>
    </w:pPr>
  </w:style>
  <w:style w:type="paragraph" w:styleId="ListBullet4">
    <w:name w:val="List Bullet 4"/>
    <w:basedOn w:val="ListBullet3"/>
    <w:next w:val="BodyText"/>
    <w:semiHidden/>
    <w:rsid w:val="009C30A9"/>
    <w:pPr>
      <w:numPr>
        <w:ilvl w:val="0"/>
        <w:numId w:val="0"/>
      </w:numPr>
      <w:tabs>
        <w:tab w:val="num" w:pos="1440"/>
      </w:tabs>
      <w:ind w:left="1440" w:hanging="360"/>
    </w:pPr>
    <w:rPr>
      <w:rFonts w:eastAsia="Times New Roman" w:cs="Arial"/>
      <w:lang w:val="en-US"/>
    </w:rPr>
  </w:style>
  <w:style w:type="paragraph" w:styleId="ListBullet5">
    <w:name w:val="List Bullet 5"/>
    <w:basedOn w:val="ListBullet4"/>
    <w:next w:val="BodyText"/>
    <w:semiHidden/>
    <w:rsid w:val="009C30A9"/>
    <w:pPr>
      <w:tabs>
        <w:tab w:val="clear" w:pos="1440"/>
        <w:tab w:val="num" w:pos="1800"/>
      </w:tabs>
      <w:ind w:left="1800"/>
    </w:pPr>
  </w:style>
  <w:style w:type="paragraph" w:styleId="ListContinue">
    <w:name w:val="List Continue"/>
    <w:basedOn w:val="BodyText"/>
    <w:next w:val="BodyText"/>
    <w:semiHidden/>
    <w:rsid w:val="009C30A9"/>
    <w:pPr>
      <w:ind w:left="283"/>
    </w:pPr>
    <w:rPr>
      <w:rFonts w:cs="Arial"/>
      <w:lang w:val="en-US"/>
    </w:rPr>
  </w:style>
  <w:style w:type="paragraph" w:styleId="ListContinue2">
    <w:name w:val="List Continue 2"/>
    <w:basedOn w:val="ListContinue"/>
    <w:next w:val="BodyText"/>
    <w:semiHidden/>
    <w:rsid w:val="009C30A9"/>
    <w:pPr>
      <w:ind w:left="566"/>
    </w:pPr>
  </w:style>
  <w:style w:type="paragraph" w:styleId="ListContinue3">
    <w:name w:val="List Continue 3"/>
    <w:basedOn w:val="ListContinue2"/>
    <w:next w:val="BodyText"/>
    <w:semiHidden/>
    <w:rsid w:val="009C30A9"/>
    <w:pPr>
      <w:ind w:left="849"/>
    </w:pPr>
  </w:style>
  <w:style w:type="paragraph" w:styleId="ListContinue4">
    <w:name w:val="List Continue 4"/>
    <w:basedOn w:val="ListContinue3"/>
    <w:next w:val="BodyText"/>
    <w:semiHidden/>
    <w:rsid w:val="009C30A9"/>
    <w:pPr>
      <w:ind w:left="1132"/>
    </w:pPr>
  </w:style>
  <w:style w:type="paragraph" w:styleId="ListContinue5">
    <w:name w:val="List Continue 5"/>
    <w:basedOn w:val="ListContinue4"/>
    <w:next w:val="BodyText"/>
    <w:semiHidden/>
    <w:rsid w:val="009C30A9"/>
    <w:pPr>
      <w:ind w:left="1415"/>
    </w:pPr>
  </w:style>
  <w:style w:type="paragraph" w:styleId="ListNumber">
    <w:name w:val="List Number"/>
    <w:basedOn w:val="BodyText"/>
    <w:next w:val="BodyText"/>
    <w:semiHidden/>
    <w:rsid w:val="009C30A9"/>
    <w:pPr>
      <w:tabs>
        <w:tab w:val="num" w:pos="360"/>
      </w:tabs>
      <w:ind w:left="360" w:hanging="360"/>
    </w:pPr>
    <w:rPr>
      <w:rFonts w:cs="Arial"/>
      <w:lang w:val="en-US"/>
    </w:rPr>
  </w:style>
  <w:style w:type="paragraph" w:styleId="ListNumber2">
    <w:name w:val="List Number 2"/>
    <w:basedOn w:val="ListNumber"/>
    <w:next w:val="BodyText"/>
    <w:semiHidden/>
    <w:rsid w:val="009C30A9"/>
    <w:pPr>
      <w:tabs>
        <w:tab w:val="clear" w:pos="360"/>
        <w:tab w:val="num" w:pos="720"/>
      </w:tabs>
      <w:ind w:left="720"/>
    </w:pPr>
  </w:style>
  <w:style w:type="paragraph" w:styleId="ListNumber3">
    <w:name w:val="List Number 3"/>
    <w:basedOn w:val="ListNumber2"/>
    <w:next w:val="BodyText"/>
    <w:semiHidden/>
    <w:rsid w:val="009C30A9"/>
    <w:pPr>
      <w:tabs>
        <w:tab w:val="clear" w:pos="720"/>
        <w:tab w:val="num" w:pos="1080"/>
      </w:tabs>
      <w:ind w:left="1080"/>
    </w:pPr>
  </w:style>
  <w:style w:type="paragraph" w:styleId="ListNumber4">
    <w:name w:val="List Number 4"/>
    <w:basedOn w:val="ListNumber3"/>
    <w:next w:val="BodyText"/>
    <w:semiHidden/>
    <w:rsid w:val="009C30A9"/>
    <w:pPr>
      <w:tabs>
        <w:tab w:val="clear" w:pos="1080"/>
        <w:tab w:val="num" w:pos="1440"/>
      </w:tabs>
      <w:ind w:left="1440"/>
    </w:pPr>
  </w:style>
  <w:style w:type="paragraph" w:styleId="ListNumber5">
    <w:name w:val="List Number 5"/>
    <w:basedOn w:val="ListNumber4"/>
    <w:next w:val="BodyText"/>
    <w:semiHidden/>
    <w:rsid w:val="009C30A9"/>
    <w:pPr>
      <w:tabs>
        <w:tab w:val="clear" w:pos="1440"/>
        <w:tab w:val="num" w:pos="1800"/>
      </w:tabs>
      <w:ind w:left="1800"/>
    </w:pPr>
  </w:style>
  <w:style w:type="paragraph" w:styleId="MessageHeader">
    <w:name w:val="Message Header"/>
    <w:aliases w:val="MH-DO NOT USE"/>
    <w:basedOn w:val="Normal"/>
    <w:link w:val="MessageHeaderChar"/>
    <w:semiHidden/>
    <w:rsid w:val="009C30A9"/>
    <w:pPr>
      <w:spacing w:before="180" w:after="180" w:line="280" w:lineRule="atLeast"/>
    </w:pPr>
    <w:rPr>
      <w:rFonts w:ascii="Calibri" w:hAnsi="Calibri" w:cs="Arial"/>
      <w:sz w:val="24"/>
      <w:szCs w:val="24"/>
    </w:rPr>
  </w:style>
  <w:style w:type="character" w:customStyle="1" w:styleId="MessageHeaderChar">
    <w:name w:val="Message Header Char"/>
    <w:aliases w:val="MH-DO NOT USE Char"/>
    <w:basedOn w:val="DefaultParagraphFont"/>
    <w:link w:val="MessageHeader"/>
    <w:semiHidden/>
    <w:rsid w:val="009C30A9"/>
    <w:rPr>
      <w:rFonts w:cs="Arial"/>
      <w:sz w:val="24"/>
      <w:szCs w:val="24"/>
      <w:lang w:eastAsia="en-AU"/>
    </w:rPr>
  </w:style>
  <w:style w:type="paragraph" w:styleId="NormalWeb">
    <w:name w:val="Normal (Web)"/>
    <w:aliases w:val="NW-DO NOT USE"/>
    <w:basedOn w:val="Normal"/>
    <w:next w:val="BodyText"/>
    <w:uiPriority w:val="99"/>
    <w:rsid w:val="009C30A9"/>
    <w:pPr>
      <w:spacing w:before="180" w:after="180" w:line="280" w:lineRule="atLeast"/>
    </w:pPr>
    <w:rPr>
      <w:rFonts w:ascii="Calibri" w:hAnsi="Calibri" w:cs="Arial"/>
      <w:sz w:val="24"/>
      <w:szCs w:val="24"/>
    </w:rPr>
  </w:style>
  <w:style w:type="paragraph" w:styleId="NormalIndent">
    <w:name w:val="Normal Indent"/>
    <w:aliases w:val="NI-DO NOT USE"/>
    <w:basedOn w:val="Normal"/>
    <w:next w:val="BodyText"/>
    <w:semiHidden/>
    <w:rsid w:val="009C30A9"/>
    <w:pPr>
      <w:spacing w:before="180" w:after="180" w:line="280" w:lineRule="atLeast"/>
    </w:pPr>
    <w:rPr>
      <w:rFonts w:ascii="Calibri" w:hAnsi="Calibri" w:cs="Arial"/>
      <w:sz w:val="24"/>
      <w:szCs w:val="24"/>
    </w:rPr>
  </w:style>
  <w:style w:type="paragraph" w:styleId="NoteHeading">
    <w:name w:val="Note Heading"/>
    <w:basedOn w:val="BodyText"/>
    <w:next w:val="BodyText"/>
    <w:link w:val="NoteHeadingChar"/>
    <w:semiHidden/>
    <w:rsid w:val="009C30A9"/>
    <w:rPr>
      <w:rFonts w:cs="Arial"/>
      <w:lang w:val="en-US"/>
    </w:rPr>
  </w:style>
  <w:style w:type="character" w:customStyle="1" w:styleId="NoteHeadingChar">
    <w:name w:val="Note Heading Char"/>
    <w:basedOn w:val="DefaultParagraphFont"/>
    <w:link w:val="NoteHeading"/>
    <w:semiHidden/>
    <w:rsid w:val="009C30A9"/>
    <w:rPr>
      <w:rFonts w:ascii="Arial" w:hAnsi="Arial" w:cs="Arial"/>
      <w:lang w:val="en-US" w:eastAsia="en-AU"/>
    </w:rPr>
  </w:style>
  <w:style w:type="paragraph" w:styleId="PlainText">
    <w:name w:val="Plain Text"/>
    <w:aliases w:val="PT-DO NOT USE"/>
    <w:basedOn w:val="Normal"/>
    <w:link w:val="PlainTextChar"/>
    <w:semiHidden/>
    <w:rsid w:val="009C30A9"/>
    <w:pPr>
      <w:spacing w:before="180" w:after="180" w:line="280" w:lineRule="atLeast"/>
    </w:pPr>
    <w:rPr>
      <w:rFonts w:ascii="Calibri" w:hAnsi="Calibri" w:cs="Arial"/>
      <w:sz w:val="24"/>
      <w:szCs w:val="24"/>
    </w:rPr>
  </w:style>
  <w:style w:type="character" w:customStyle="1" w:styleId="PlainTextChar">
    <w:name w:val="Plain Text Char"/>
    <w:aliases w:val="PT-DO NOT USE Char"/>
    <w:basedOn w:val="DefaultParagraphFont"/>
    <w:link w:val="PlainText"/>
    <w:semiHidden/>
    <w:rsid w:val="009C30A9"/>
    <w:rPr>
      <w:rFonts w:cs="Arial"/>
      <w:sz w:val="24"/>
      <w:szCs w:val="24"/>
      <w:lang w:eastAsia="en-AU"/>
    </w:rPr>
  </w:style>
  <w:style w:type="paragraph" w:styleId="Salutation">
    <w:name w:val="Salutation"/>
    <w:aliases w:val="Sa-DO NOT USE"/>
    <w:basedOn w:val="Normal"/>
    <w:next w:val="BodyText"/>
    <w:link w:val="SalutationChar"/>
    <w:semiHidden/>
    <w:rsid w:val="009C30A9"/>
    <w:pPr>
      <w:spacing w:before="180" w:after="180" w:line="280" w:lineRule="atLeast"/>
    </w:pPr>
    <w:rPr>
      <w:rFonts w:ascii="Calibri" w:hAnsi="Calibri" w:cs="Arial"/>
      <w:sz w:val="24"/>
      <w:szCs w:val="24"/>
    </w:rPr>
  </w:style>
  <w:style w:type="character" w:customStyle="1" w:styleId="SalutationChar">
    <w:name w:val="Salutation Char"/>
    <w:aliases w:val="Sa-DO NOT USE Char"/>
    <w:basedOn w:val="DefaultParagraphFont"/>
    <w:link w:val="Salutation"/>
    <w:semiHidden/>
    <w:rsid w:val="009C30A9"/>
    <w:rPr>
      <w:rFonts w:cs="Arial"/>
      <w:sz w:val="24"/>
      <w:szCs w:val="24"/>
      <w:lang w:eastAsia="en-AU"/>
    </w:rPr>
  </w:style>
  <w:style w:type="paragraph" w:styleId="Signature">
    <w:name w:val="Signature"/>
    <w:aliases w:val="Si-DO NOT USE"/>
    <w:basedOn w:val="Normal"/>
    <w:next w:val="BodyText"/>
    <w:link w:val="SignatureChar"/>
    <w:semiHidden/>
    <w:rsid w:val="009C30A9"/>
    <w:pPr>
      <w:spacing w:before="180" w:after="180" w:line="280" w:lineRule="atLeast"/>
    </w:pPr>
    <w:rPr>
      <w:rFonts w:ascii="Calibri" w:hAnsi="Calibri" w:cs="Arial"/>
      <w:sz w:val="24"/>
      <w:szCs w:val="24"/>
    </w:rPr>
  </w:style>
  <w:style w:type="character" w:customStyle="1" w:styleId="SignatureChar">
    <w:name w:val="Signature Char"/>
    <w:aliases w:val="Si-DO NOT USE Char"/>
    <w:basedOn w:val="DefaultParagraphFont"/>
    <w:link w:val="Signature"/>
    <w:semiHidden/>
    <w:rsid w:val="009C30A9"/>
    <w:rPr>
      <w:rFonts w:cs="Arial"/>
      <w:sz w:val="24"/>
      <w:szCs w:val="24"/>
      <w:lang w:eastAsia="en-AU"/>
    </w:rPr>
  </w:style>
  <w:style w:type="paragraph" w:styleId="Subtitle">
    <w:name w:val="Subtitle"/>
    <w:aliases w:val="S-DO NOT USE"/>
    <w:basedOn w:val="Normal"/>
    <w:next w:val="BodyText"/>
    <w:link w:val="SubtitleChar"/>
    <w:uiPriority w:val="11"/>
    <w:qFormat/>
    <w:rsid w:val="009C30A9"/>
    <w:pPr>
      <w:numPr>
        <w:ilvl w:val="1"/>
      </w:numPr>
      <w:spacing w:after="160"/>
    </w:pPr>
    <w:rPr>
      <w:rFonts w:asciiTheme="minorHAnsi" w:eastAsiaTheme="minorEastAsia" w:hAnsiTheme="minorHAnsi" w:cs="Arial"/>
      <w:color w:val="5A5A5A" w:themeColor="text1" w:themeTint="A5"/>
      <w:spacing w:val="15"/>
      <w:sz w:val="22"/>
      <w:szCs w:val="22"/>
      <w:lang w:val="en-US"/>
    </w:rPr>
  </w:style>
  <w:style w:type="character" w:customStyle="1" w:styleId="SubtitleChar">
    <w:name w:val="Subtitle Char"/>
    <w:aliases w:val="S-DO NOT USE Char"/>
    <w:basedOn w:val="DefaultParagraphFont"/>
    <w:link w:val="Subtitle"/>
    <w:uiPriority w:val="11"/>
    <w:rsid w:val="009C30A9"/>
    <w:rPr>
      <w:rFonts w:asciiTheme="minorHAnsi" w:eastAsiaTheme="minorEastAsia" w:hAnsiTheme="minorHAnsi" w:cs="Arial"/>
      <w:color w:val="5A5A5A" w:themeColor="text1" w:themeTint="A5"/>
      <w:spacing w:val="15"/>
      <w:sz w:val="22"/>
      <w:szCs w:val="22"/>
      <w:lang w:val="en-US" w:eastAsia="en-AU"/>
    </w:rPr>
  </w:style>
  <w:style w:type="table" w:styleId="Table3Deffects1">
    <w:name w:val="Table 3D effects 1"/>
    <w:basedOn w:val="TableNormal"/>
    <w:semiHidden/>
    <w:rsid w:val="009C30A9"/>
    <w:pPr>
      <w:spacing w:before="600" w:after="600"/>
      <w:jc w:val="right"/>
    </w:pPr>
    <w:rPr>
      <w:lang w:val="en-US"/>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paragraph" w:styleId="Title">
    <w:name w:val="Title"/>
    <w:aliases w:val="T-DO NOT USE"/>
    <w:basedOn w:val="Normal"/>
    <w:next w:val="BodyText"/>
    <w:link w:val="TitleChar"/>
    <w:uiPriority w:val="10"/>
    <w:qFormat/>
    <w:rsid w:val="009C30A9"/>
    <w:pPr>
      <w:contextualSpacing/>
    </w:pPr>
    <w:rPr>
      <w:rFonts w:asciiTheme="majorHAnsi" w:eastAsiaTheme="majorEastAsia" w:hAnsiTheme="majorHAnsi"/>
      <w:spacing w:val="-10"/>
      <w:kern w:val="28"/>
      <w:sz w:val="56"/>
      <w:szCs w:val="56"/>
      <w:lang w:val="en-US"/>
    </w:rPr>
  </w:style>
  <w:style w:type="character" w:customStyle="1" w:styleId="TitleChar">
    <w:name w:val="Title Char"/>
    <w:aliases w:val="T-DO NOT USE Char"/>
    <w:basedOn w:val="DefaultParagraphFont"/>
    <w:link w:val="Title"/>
    <w:uiPriority w:val="10"/>
    <w:rsid w:val="009C30A9"/>
    <w:rPr>
      <w:rFonts w:asciiTheme="majorHAnsi" w:eastAsiaTheme="majorEastAsia" w:hAnsiTheme="majorHAnsi"/>
      <w:spacing w:val="-10"/>
      <w:kern w:val="28"/>
      <w:sz w:val="56"/>
      <w:szCs w:val="56"/>
      <w:lang w:val="en-US" w:eastAsia="en-AU"/>
    </w:rPr>
  </w:style>
  <w:style w:type="paragraph" w:styleId="TableofFigures">
    <w:name w:val="table of figures"/>
    <w:basedOn w:val="TOC1"/>
    <w:next w:val="BodyText"/>
    <w:rsid w:val="009C30A9"/>
    <w:pPr>
      <w:tabs>
        <w:tab w:val="clear" w:pos="9017"/>
      </w:tabs>
      <w:spacing w:before="0" w:line="280" w:lineRule="atLeast"/>
    </w:pPr>
    <w:rPr>
      <w:rFonts w:cs="Arial"/>
      <w:b w:val="0"/>
      <w:bCs/>
      <w:color w:val="303030"/>
      <w:szCs w:val="22"/>
      <w:lang w:val="en-US"/>
    </w:rPr>
  </w:style>
  <w:style w:type="character" w:styleId="HTMLAcronym">
    <w:name w:val="HTML Acronym"/>
    <w:aliases w:val="HA-DO NOT USE"/>
    <w:basedOn w:val="DefaultParagraphFont"/>
    <w:semiHidden/>
    <w:rsid w:val="009C30A9"/>
  </w:style>
  <w:style w:type="character" w:styleId="HTMLCite">
    <w:name w:val="HTML Cite"/>
    <w:aliases w:val="HCi-DO NOT USE"/>
    <w:basedOn w:val="DefaultParagraphFont"/>
    <w:uiPriority w:val="99"/>
    <w:semiHidden/>
    <w:rsid w:val="009C30A9"/>
  </w:style>
  <w:style w:type="character" w:styleId="HTMLCode">
    <w:name w:val="HTML Code"/>
    <w:aliases w:val="HC-DO NOT USE"/>
    <w:basedOn w:val="DefaultParagraphFont"/>
    <w:semiHidden/>
    <w:rsid w:val="009C30A9"/>
  </w:style>
  <w:style w:type="character" w:styleId="HTMLDefinition">
    <w:name w:val="HTML Definition"/>
    <w:aliases w:val="HD-DO NOT USE"/>
    <w:basedOn w:val="DefaultParagraphFont"/>
    <w:semiHidden/>
    <w:rsid w:val="009C30A9"/>
  </w:style>
  <w:style w:type="character" w:styleId="HTMLKeyboard">
    <w:name w:val="HTML Keyboard"/>
    <w:aliases w:val="HK-DO NOT USE"/>
    <w:basedOn w:val="DefaultParagraphFont"/>
    <w:semiHidden/>
    <w:rsid w:val="009C30A9"/>
  </w:style>
  <w:style w:type="character" w:styleId="HTMLSample">
    <w:name w:val="HTML Sample"/>
    <w:aliases w:val="HS-DO NOT USE"/>
    <w:basedOn w:val="DefaultParagraphFont"/>
    <w:semiHidden/>
    <w:rsid w:val="009C30A9"/>
  </w:style>
  <w:style w:type="character" w:styleId="HTMLTypewriter">
    <w:name w:val="HTML Typewriter"/>
    <w:aliases w:val="HT-DO NOT USE"/>
    <w:basedOn w:val="DefaultParagraphFont"/>
    <w:semiHidden/>
    <w:rsid w:val="009C30A9"/>
  </w:style>
  <w:style w:type="character" w:styleId="HTMLVariable">
    <w:name w:val="HTML Variable"/>
    <w:aliases w:val="HV-DO NOT USE"/>
    <w:basedOn w:val="DefaultParagraphFont"/>
    <w:semiHidden/>
    <w:rsid w:val="009C30A9"/>
  </w:style>
  <w:style w:type="character" w:styleId="LineNumber">
    <w:name w:val="line number"/>
    <w:aliases w:val="LN-DO NOT USE"/>
    <w:basedOn w:val="DefaultParagraphFont"/>
    <w:semiHidden/>
    <w:rsid w:val="009C30A9"/>
  </w:style>
  <w:style w:type="table" w:styleId="Table3Deffects2">
    <w:name w:val="Table 3D effects 2"/>
    <w:basedOn w:val="TableNormal"/>
    <w:semiHidden/>
    <w:rsid w:val="009C30A9"/>
    <w:rPr>
      <w:lang w:val="en-US"/>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semiHidden/>
    <w:rsid w:val="009C30A9"/>
    <w:rPr>
      <w:lang w:val="en-US"/>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semiHidden/>
    <w:rsid w:val="009C30A9"/>
    <w:rPr>
      <w:lang w:val="en-US"/>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semiHidden/>
    <w:rsid w:val="009C30A9"/>
    <w:rPr>
      <w:lang w:val="en-US"/>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C30A9"/>
    <w:rPr>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C30A9"/>
    <w:rPr>
      <w:lang w:val="en-US"/>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C30A9"/>
    <w:rPr>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C30A9"/>
    <w:rPr>
      <w:lang w:val="en-US"/>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C30A9"/>
    <w:rPr>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C30A9"/>
    <w:rPr>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semiHidden/>
    <w:rsid w:val="009C30A9"/>
    <w:rPr>
      <w:b/>
      <w:bCs/>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semiHidden/>
    <w:rsid w:val="009C30A9"/>
    <w:rPr>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semiHidden/>
    <w:rsid w:val="009C30A9"/>
    <w:rPr>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semiHidden/>
    <w:rsid w:val="009C30A9"/>
    <w:rPr>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semiHidden/>
    <w:rsid w:val="009C30A9"/>
    <w:rPr>
      <w:lang w:val="en-US"/>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C30A9"/>
    <w:rPr>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semiHidden/>
    <w:rsid w:val="009C30A9"/>
    <w:rPr>
      <w:lang w:val="en-US"/>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semiHidden/>
    <w:rsid w:val="009C30A9"/>
    <w:rPr>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semiHidden/>
    <w:rsid w:val="009C30A9"/>
    <w:rPr>
      <w:lang w:val="en-US"/>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semiHidden/>
    <w:rsid w:val="009C30A9"/>
    <w:rPr>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semiHidden/>
    <w:rsid w:val="009C30A9"/>
    <w:rPr>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C30A9"/>
    <w:rPr>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semiHidden/>
    <w:rsid w:val="009C30A9"/>
    <w:rPr>
      <w:lang w:val="en-US"/>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semiHidden/>
    <w:rsid w:val="009C30A9"/>
    <w:rPr>
      <w:lang w:val="en-US"/>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C30A9"/>
    <w:rPr>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C30A9"/>
    <w:rPr>
      <w:lang w:val="en-US"/>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C30A9"/>
    <w:rPr>
      <w:lang w:val="en-US"/>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C30A9"/>
    <w:rPr>
      <w:lang w:val="en-US"/>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semiHidden/>
    <w:rsid w:val="009C30A9"/>
    <w:rPr>
      <w:lang w:val="en-US"/>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semiHidden/>
    <w:rsid w:val="009C30A9"/>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C30A9"/>
    <w:rPr>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semiHidden/>
    <w:rsid w:val="009C30A9"/>
    <w:rPr>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semiHidden/>
    <w:rsid w:val="009C30A9"/>
    <w:rPr>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9C30A9"/>
    <w:rPr>
      <w:color w:val="257A40"/>
      <w:lang w:val="en-US"/>
    </w:rPr>
    <w:tblPr>
      <w:tblStyleRowBandSize w:val="1"/>
      <w:tblStyleColBandSize w:val="1"/>
      <w:tblBorders>
        <w:top w:val="single" w:sz="8" w:space="0" w:color="32A456"/>
        <w:bottom w:val="single" w:sz="8" w:space="0" w:color="32A456"/>
      </w:tblBorders>
    </w:tblPr>
    <w:tblStylePr w:type="fir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la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6EED3"/>
      </w:tcPr>
    </w:tblStylePr>
    <w:tblStylePr w:type="band1Horz">
      <w:rPr>
        <w:rFonts w:cs="Times New Roman"/>
      </w:rPr>
      <w:tblPr/>
      <w:tcPr>
        <w:tcBorders>
          <w:left w:val="nil"/>
          <w:right w:val="nil"/>
          <w:insideH w:val="nil"/>
          <w:insideV w:val="nil"/>
        </w:tcBorders>
        <w:shd w:val="clear" w:color="auto" w:fill="C6EED3"/>
      </w:tcPr>
    </w:tblStylePr>
  </w:style>
  <w:style w:type="table" w:styleId="LightShading-Accent1">
    <w:name w:val="Light Shading Accent 1"/>
    <w:basedOn w:val="TableNormal"/>
    <w:uiPriority w:val="60"/>
    <w:rsid w:val="009C30A9"/>
    <w:rPr>
      <w:color w:val="11A0D6"/>
      <w:lang w:val="en-US"/>
    </w:rPr>
    <w:tblPr>
      <w:tblStyleRowBandSize w:val="1"/>
      <w:tblStyleColBandSize w:val="1"/>
      <w:tblBorders>
        <w:top w:val="single" w:sz="8" w:space="0" w:color="45C2F0"/>
        <w:bottom w:val="single" w:sz="8" w:space="0" w:color="45C2F0"/>
      </w:tblBorders>
    </w:tblPr>
    <w:tblStylePr w:type="fir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la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1EFFB"/>
      </w:tcPr>
    </w:tblStylePr>
    <w:tblStylePr w:type="band1Horz">
      <w:rPr>
        <w:rFonts w:cs="Times New Roman"/>
      </w:rPr>
      <w:tblPr/>
      <w:tcPr>
        <w:tcBorders>
          <w:left w:val="nil"/>
          <w:right w:val="nil"/>
          <w:insideH w:val="nil"/>
          <w:insideV w:val="nil"/>
        </w:tcBorders>
        <w:shd w:val="clear" w:color="auto" w:fill="D1EFFB"/>
      </w:tcPr>
    </w:tblStylePr>
  </w:style>
  <w:style w:type="table" w:styleId="LightShading-Accent2">
    <w:name w:val="Light Shading Accent 2"/>
    <w:basedOn w:val="TableNormal"/>
    <w:uiPriority w:val="60"/>
    <w:rsid w:val="009C30A9"/>
    <w:rPr>
      <w:color w:val="6C2064"/>
      <w:lang w:val="en-US"/>
    </w:rPr>
    <w:tblPr>
      <w:tblStyleRowBandSize w:val="1"/>
      <w:tblStyleColBandSize w:val="1"/>
      <w:tblBorders>
        <w:top w:val="single" w:sz="8" w:space="0" w:color="912B87"/>
        <w:bottom w:val="single" w:sz="8" w:space="0" w:color="912B87"/>
      </w:tblBorders>
    </w:tblPr>
    <w:tblStylePr w:type="fir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la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CC1E8"/>
      </w:tcPr>
    </w:tblStylePr>
    <w:tblStylePr w:type="band1Horz">
      <w:rPr>
        <w:rFonts w:cs="Times New Roman"/>
      </w:rPr>
      <w:tblPr/>
      <w:tcPr>
        <w:tcBorders>
          <w:left w:val="nil"/>
          <w:right w:val="nil"/>
          <w:insideH w:val="nil"/>
          <w:insideV w:val="nil"/>
        </w:tcBorders>
        <w:shd w:val="clear" w:color="auto" w:fill="ECC1E8"/>
      </w:tcPr>
    </w:tblStylePr>
  </w:style>
  <w:style w:type="table" w:styleId="LightShading-Accent3">
    <w:name w:val="Light Shading Accent 3"/>
    <w:basedOn w:val="TableNormal"/>
    <w:uiPriority w:val="60"/>
    <w:rsid w:val="009C30A9"/>
    <w:rPr>
      <w:color w:val="951259"/>
      <w:lang w:val="en-US"/>
    </w:rPr>
    <w:tblPr>
      <w:tblStyleRowBandSize w:val="1"/>
      <w:tblStyleColBandSize w:val="1"/>
      <w:tblBorders>
        <w:top w:val="single" w:sz="8" w:space="0" w:color="C81978"/>
        <w:bottom w:val="single" w:sz="8" w:space="0" w:color="C81978"/>
      </w:tblBorders>
    </w:tblPr>
    <w:tblStylePr w:type="fir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la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7C0DD"/>
      </w:tcPr>
    </w:tblStylePr>
    <w:tblStylePr w:type="band1Horz">
      <w:rPr>
        <w:rFonts w:cs="Times New Roman"/>
      </w:rPr>
      <w:tblPr/>
      <w:tcPr>
        <w:tcBorders>
          <w:left w:val="nil"/>
          <w:right w:val="nil"/>
          <w:insideH w:val="nil"/>
          <w:insideV w:val="nil"/>
        </w:tcBorders>
        <w:shd w:val="clear" w:color="auto" w:fill="F7C0DD"/>
      </w:tcPr>
    </w:tblStylePr>
  </w:style>
  <w:style w:type="table" w:styleId="LightShading-Accent4">
    <w:name w:val="Light Shading Accent 4"/>
    <w:basedOn w:val="TableNormal"/>
    <w:uiPriority w:val="60"/>
    <w:rsid w:val="009C30A9"/>
    <w:rPr>
      <w:color w:val="BC470F"/>
      <w:lang w:val="en-US"/>
    </w:rPr>
    <w:tblPr>
      <w:tblStyleRowBandSize w:val="1"/>
      <w:tblStyleColBandSize w:val="1"/>
      <w:tblBorders>
        <w:top w:val="single" w:sz="8" w:space="0" w:color="ED6523"/>
        <w:bottom w:val="single" w:sz="8" w:space="0" w:color="ED6523"/>
      </w:tblBorders>
    </w:tblPr>
    <w:tblStylePr w:type="fir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la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AD8C8"/>
      </w:tcPr>
    </w:tblStylePr>
    <w:tblStylePr w:type="band1Horz">
      <w:rPr>
        <w:rFonts w:cs="Times New Roman"/>
      </w:rPr>
      <w:tblPr/>
      <w:tcPr>
        <w:tcBorders>
          <w:left w:val="nil"/>
          <w:right w:val="nil"/>
          <w:insideH w:val="nil"/>
          <w:insideV w:val="nil"/>
        </w:tcBorders>
        <w:shd w:val="clear" w:color="auto" w:fill="FAD8C8"/>
      </w:tcPr>
    </w:tblStylePr>
  </w:style>
  <w:style w:type="table" w:styleId="LightShading">
    <w:name w:val="Light Shading"/>
    <w:basedOn w:val="TableNormal"/>
    <w:uiPriority w:val="60"/>
    <w:rsid w:val="009C30A9"/>
    <w:rPr>
      <w:color w:val="303030"/>
      <w:lang w:val="en-US"/>
    </w:rPr>
    <w:tblPr>
      <w:tblStyleRowBandSize w:val="1"/>
      <w:tblStyleColBandSize w:val="1"/>
      <w:tblBorders>
        <w:top w:val="single" w:sz="8" w:space="0" w:color="414141"/>
        <w:bottom w:val="single" w:sz="8" w:space="0" w:color="414141"/>
      </w:tblBorders>
    </w:tblPr>
    <w:tblStylePr w:type="fir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la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0D0D0"/>
      </w:tcPr>
    </w:tblStylePr>
    <w:tblStylePr w:type="band1Horz">
      <w:rPr>
        <w:rFonts w:cs="Times New Roman"/>
      </w:rPr>
      <w:tblPr/>
      <w:tcPr>
        <w:tcBorders>
          <w:left w:val="nil"/>
          <w:right w:val="nil"/>
          <w:insideH w:val="nil"/>
          <w:insideV w:val="nil"/>
        </w:tcBorders>
        <w:shd w:val="clear" w:color="auto" w:fill="D0D0D0"/>
      </w:tcPr>
    </w:tblStylePr>
  </w:style>
  <w:style w:type="table" w:styleId="MediumShading2-Accent4">
    <w:name w:val="Medium Shading 2 Accent 4"/>
    <w:basedOn w:val="TableNormal"/>
    <w:uiPriority w:val="64"/>
    <w:rsid w:val="009C30A9"/>
    <w:rPr>
      <w:lang w:val="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ED6523"/>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ED6523"/>
      </w:tcPr>
    </w:tblStylePr>
    <w:tblStylePr w:type="lastCol">
      <w:rPr>
        <w:rFonts w:cs="Times New Roman"/>
        <w:b/>
        <w:bCs/>
        <w:color w:val="FFFFFF"/>
      </w:rPr>
      <w:tblPr/>
      <w:tcPr>
        <w:tcBorders>
          <w:left w:val="nil"/>
          <w:right w:val="nil"/>
          <w:insideH w:val="nil"/>
          <w:insideV w:val="nil"/>
        </w:tcBorders>
        <w:shd w:val="clear" w:color="auto" w:fill="ED6523"/>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styleId="Bibliography">
    <w:name w:val="Bibliography"/>
    <w:basedOn w:val="Normal"/>
    <w:next w:val="BodyText"/>
    <w:uiPriority w:val="37"/>
    <w:rsid w:val="009C30A9"/>
    <w:pPr>
      <w:pBdr>
        <w:top w:val="single" w:sz="4" w:space="1" w:color="808080"/>
        <w:left w:val="single" w:sz="4" w:space="4" w:color="808080"/>
        <w:bottom w:val="single" w:sz="4" w:space="1" w:color="808080"/>
        <w:right w:val="single" w:sz="4" w:space="4" w:color="808080"/>
      </w:pBdr>
      <w:suppressAutoHyphens/>
      <w:spacing w:before="360" w:after="160" w:line="288" w:lineRule="auto"/>
    </w:pPr>
    <w:rPr>
      <w:rFonts w:cs="Arial"/>
      <w:lang w:val="en-US"/>
    </w:rPr>
  </w:style>
  <w:style w:type="paragraph" w:styleId="Caption">
    <w:name w:val="caption"/>
    <w:aliases w:val="Caption Char,Caption(oobe) Char,table Char,Char Char,Caption Char2 Char Char,Caption Char1 Char Char Char,Caption Char Char Char Char Char,table Char Char Char Char Char,Char Char Char Char Char Char,Caption Char Char1 Char Char"/>
    <w:basedOn w:val="Normal"/>
    <w:next w:val="BodyText"/>
    <w:uiPriority w:val="35"/>
    <w:semiHidden/>
    <w:unhideWhenUsed/>
    <w:qFormat/>
    <w:rsid w:val="009C30A9"/>
    <w:pPr>
      <w:spacing w:after="200"/>
    </w:pPr>
    <w:rPr>
      <w:rFonts w:cs="Arial"/>
      <w:i/>
      <w:iCs/>
      <w:color w:val="44546A" w:themeColor="text2"/>
      <w:sz w:val="18"/>
      <w:szCs w:val="18"/>
      <w:lang w:val="en-US"/>
    </w:rPr>
  </w:style>
  <w:style w:type="paragraph" w:styleId="Index1">
    <w:name w:val="index 1"/>
    <w:basedOn w:val="Normal"/>
    <w:next w:val="Normal"/>
    <w:autoRedefine/>
    <w:semiHidden/>
    <w:rsid w:val="009C30A9"/>
    <w:pPr>
      <w:ind w:left="200" w:hanging="200"/>
    </w:pPr>
    <w:rPr>
      <w:rFonts w:cs="Arial"/>
      <w:lang w:val="en-US"/>
    </w:rPr>
  </w:style>
  <w:style w:type="paragraph" w:styleId="Index2">
    <w:name w:val="index 2"/>
    <w:basedOn w:val="Normal"/>
    <w:next w:val="Normal"/>
    <w:autoRedefine/>
    <w:semiHidden/>
    <w:rsid w:val="009C30A9"/>
    <w:pPr>
      <w:ind w:left="400" w:hanging="200"/>
    </w:pPr>
    <w:rPr>
      <w:rFonts w:cs="Arial"/>
      <w:lang w:val="en-US"/>
    </w:rPr>
  </w:style>
  <w:style w:type="paragraph" w:styleId="Index3">
    <w:name w:val="index 3"/>
    <w:basedOn w:val="Normal"/>
    <w:next w:val="Normal"/>
    <w:autoRedefine/>
    <w:semiHidden/>
    <w:rsid w:val="009C30A9"/>
    <w:pPr>
      <w:ind w:left="600" w:hanging="200"/>
    </w:pPr>
    <w:rPr>
      <w:rFonts w:cs="Arial"/>
      <w:lang w:val="en-US"/>
    </w:rPr>
  </w:style>
  <w:style w:type="paragraph" w:styleId="Index4">
    <w:name w:val="index 4"/>
    <w:basedOn w:val="Normal"/>
    <w:next w:val="Normal"/>
    <w:autoRedefine/>
    <w:semiHidden/>
    <w:rsid w:val="009C30A9"/>
    <w:pPr>
      <w:ind w:left="800" w:hanging="200"/>
    </w:pPr>
    <w:rPr>
      <w:rFonts w:cs="Arial"/>
      <w:lang w:val="en-US"/>
    </w:rPr>
  </w:style>
  <w:style w:type="paragraph" w:styleId="Index5">
    <w:name w:val="index 5"/>
    <w:basedOn w:val="Normal"/>
    <w:next w:val="Normal"/>
    <w:autoRedefine/>
    <w:semiHidden/>
    <w:rsid w:val="009C30A9"/>
    <w:pPr>
      <w:ind w:left="1000" w:hanging="200"/>
    </w:pPr>
    <w:rPr>
      <w:rFonts w:cs="Arial"/>
      <w:lang w:val="en-US"/>
    </w:rPr>
  </w:style>
  <w:style w:type="paragraph" w:styleId="Index6">
    <w:name w:val="index 6"/>
    <w:basedOn w:val="Normal"/>
    <w:next w:val="Normal"/>
    <w:autoRedefine/>
    <w:semiHidden/>
    <w:rsid w:val="009C30A9"/>
    <w:pPr>
      <w:ind w:left="1200" w:hanging="200"/>
    </w:pPr>
    <w:rPr>
      <w:rFonts w:cs="Arial"/>
      <w:lang w:val="en-US"/>
    </w:rPr>
  </w:style>
  <w:style w:type="paragraph" w:styleId="Index7">
    <w:name w:val="index 7"/>
    <w:basedOn w:val="Normal"/>
    <w:next w:val="Normal"/>
    <w:autoRedefine/>
    <w:semiHidden/>
    <w:rsid w:val="009C30A9"/>
    <w:pPr>
      <w:ind w:left="1400" w:hanging="200"/>
    </w:pPr>
    <w:rPr>
      <w:rFonts w:cs="Arial"/>
      <w:lang w:val="en-US"/>
    </w:rPr>
  </w:style>
  <w:style w:type="paragraph" w:styleId="Index8">
    <w:name w:val="index 8"/>
    <w:basedOn w:val="Normal"/>
    <w:next w:val="Normal"/>
    <w:autoRedefine/>
    <w:semiHidden/>
    <w:rsid w:val="009C30A9"/>
    <w:pPr>
      <w:ind w:left="1600" w:hanging="200"/>
    </w:pPr>
    <w:rPr>
      <w:rFonts w:cs="Arial"/>
      <w:lang w:val="en-US"/>
    </w:rPr>
  </w:style>
  <w:style w:type="paragraph" w:styleId="Index9">
    <w:name w:val="index 9"/>
    <w:basedOn w:val="Normal"/>
    <w:next w:val="Normal"/>
    <w:autoRedefine/>
    <w:semiHidden/>
    <w:rsid w:val="009C30A9"/>
    <w:pPr>
      <w:ind w:left="1800" w:hanging="200"/>
    </w:pPr>
    <w:rPr>
      <w:rFonts w:cs="Arial"/>
      <w:lang w:val="en-US"/>
    </w:rPr>
  </w:style>
  <w:style w:type="paragraph" w:styleId="IndexHeading">
    <w:name w:val="index heading"/>
    <w:aliases w:val="IH-DO NOT USE"/>
    <w:basedOn w:val="IntenseQuote"/>
    <w:next w:val="Index1"/>
    <w:semiHidden/>
    <w:rsid w:val="009C30A9"/>
  </w:style>
  <w:style w:type="paragraph" w:styleId="IntenseQuote">
    <w:name w:val="Intense Quote"/>
    <w:aliases w:val="IQ-DO NOT USE"/>
    <w:basedOn w:val="Normal"/>
    <w:next w:val="Normal"/>
    <w:link w:val="IntenseQuoteChar"/>
    <w:uiPriority w:val="30"/>
    <w:qFormat/>
    <w:rsid w:val="009C30A9"/>
    <w:pPr>
      <w:pBdr>
        <w:top w:val="single" w:sz="4" w:space="10" w:color="4472C4" w:themeColor="accent1"/>
        <w:bottom w:val="single" w:sz="4" w:space="10" w:color="4472C4" w:themeColor="accent1"/>
      </w:pBdr>
      <w:spacing w:before="360" w:after="360"/>
      <w:ind w:left="864" w:right="864"/>
      <w:jc w:val="center"/>
    </w:pPr>
    <w:rPr>
      <w:rFonts w:cs="Arial"/>
      <w:i/>
      <w:iCs/>
      <w:color w:val="4472C4" w:themeColor="accent1"/>
      <w:lang w:val="en-US"/>
    </w:rPr>
  </w:style>
  <w:style w:type="character" w:customStyle="1" w:styleId="IntenseQuoteChar">
    <w:name w:val="Intense Quote Char"/>
    <w:aliases w:val="IQ-DO NOT USE Char"/>
    <w:basedOn w:val="DefaultParagraphFont"/>
    <w:link w:val="IntenseQuote"/>
    <w:uiPriority w:val="30"/>
    <w:rsid w:val="009C30A9"/>
    <w:rPr>
      <w:rFonts w:ascii="Arial" w:hAnsi="Arial" w:cs="Arial"/>
      <w:i/>
      <w:iCs/>
      <w:color w:val="4472C4" w:themeColor="accent1"/>
      <w:lang w:val="en-US" w:eastAsia="en-AU"/>
    </w:rPr>
  </w:style>
  <w:style w:type="paragraph" w:styleId="MacroText">
    <w:name w:val="macro"/>
    <w:aliases w:val="MT-DO NOT USE"/>
    <w:basedOn w:val="MessageHeader"/>
    <w:link w:val="MacroTextChar"/>
    <w:semiHidden/>
    <w:rsid w:val="009C30A9"/>
  </w:style>
  <w:style w:type="character" w:customStyle="1" w:styleId="MacroTextChar">
    <w:name w:val="Macro Text Char"/>
    <w:aliases w:val="MT-DO NOT USE Char"/>
    <w:basedOn w:val="DefaultParagraphFont"/>
    <w:link w:val="MacroText"/>
    <w:semiHidden/>
    <w:rsid w:val="009C30A9"/>
    <w:rPr>
      <w:rFonts w:cs="Arial"/>
      <w:sz w:val="24"/>
      <w:szCs w:val="24"/>
      <w:lang w:eastAsia="en-AU"/>
    </w:rPr>
  </w:style>
  <w:style w:type="paragraph" w:styleId="Quote">
    <w:name w:val="Quote"/>
    <w:aliases w:val="Q-DO NOT USE"/>
    <w:basedOn w:val="Normal"/>
    <w:next w:val="Normal"/>
    <w:link w:val="QuoteChar"/>
    <w:uiPriority w:val="29"/>
    <w:qFormat/>
    <w:rsid w:val="009C30A9"/>
    <w:pPr>
      <w:spacing w:before="200" w:after="160"/>
      <w:ind w:left="864" w:right="864"/>
      <w:jc w:val="center"/>
    </w:pPr>
    <w:rPr>
      <w:rFonts w:cs="Arial"/>
      <w:i/>
      <w:iCs/>
      <w:color w:val="404040" w:themeColor="text1" w:themeTint="BF"/>
      <w:lang w:val="en-US"/>
    </w:rPr>
  </w:style>
  <w:style w:type="character" w:customStyle="1" w:styleId="QuoteChar">
    <w:name w:val="Quote Char"/>
    <w:aliases w:val="Q-DO NOT USE Char"/>
    <w:basedOn w:val="DefaultParagraphFont"/>
    <w:link w:val="Quote"/>
    <w:uiPriority w:val="29"/>
    <w:rsid w:val="009C30A9"/>
    <w:rPr>
      <w:rFonts w:ascii="Arial" w:hAnsi="Arial" w:cs="Arial"/>
      <w:i/>
      <w:iCs/>
      <w:color w:val="404040" w:themeColor="text1" w:themeTint="BF"/>
      <w:lang w:val="en-US" w:eastAsia="en-AU"/>
    </w:rPr>
  </w:style>
  <w:style w:type="paragraph" w:styleId="TOAHeading">
    <w:name w:val="toa heading"/>
    <w:basedOn w:val="Normal"/>
    <w:next w:val="Normal"/>
    <w:uiPriority w:val="99"/>
    <w:semiHidden/>
    <w:rsid w:val="009C30A9"/>
    <w:pPr>
      <w:spacing w:before="120" w:after="180" w:line="280" w:lineRule="atLeast"/>
    </w:pPr>
    <w:rPr>
      <w:rFonts w:ascii="Calibri" w:hAnsi="Calibri"/>
      <w:bCs/>
      <w:sz w:val="24"/>
      <w:szCs w:val="24"/>
    </w:rPr>
  </w:style>
  <w:style w:type="table" w:customStyle="1" w:styleId="TableDTANoHeader">
    <w:name w:val="Table DTA No Header"/>
    <w:basedOn w:val="TableDTAHeaderRow"/>
    <w:uiPriority w:val="99"/>
    <w:rsid w:val="009C30A9"/>
    <w:rPr>
      <w:rFonts w:ascii="Calibri" w:eastAsia="Times New Roman" w:hAnsi="Calibri"/>
    </w:rPr>
    <w:tblPr/>
    <w:tcPr>
      <w:shd w:val="clear" w:color="auto" w:fill="FFFFFF"/>
    </w:tcPr>
    <w:tblStylePr w:type="firstRow">
      <w:pPr>
        <w:keepNext/>
        <w:wordWrap/>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cBorders>
        <w:shd w:val="clear" w:color="auto" w:fill="F2F2F2"/>
      </w:tcPr>
    </w:tblStylePr>
    <w:tblStylePr w:type="band1Vert">
      <w:pPr>
        <w:wordWrap/>
        <w:jc w:val="left"/>
      </w:pPr>
      <w:rPr>
        <w:rFonts w:cs="Times New Roman"/>
      </w:rPr>
    </w:tblStylePr>
    <w:tblStylePr w:type="band1Horz">
      <w:pPr>
        <w:wordWrap/>
        <w:spacing w:beforeLines="0" w:before="0" w:beforeAutospacing="0" w:afterLines="0" w:after="0" w:afterAutospacing="0" w:line="120" w:lineRule="atLeast"/>
        <w:jc w:val="left"/>
      </w:pPr>
      <w:rPr>
        <w:rFonts w:cs="Times New Roman"/>
      </w:rPr>
      <w:tblPr/>
      <w:tcPr>
        <w:shd w:val="clear" w:color="auto" w:fill="FFFFFF"/>
      </w:tcPr>
    </w:tblStylePr>
    <w:tblStylePr w:type="band2Horz">
      <w:pPr>
        <w:wordWrap/>
        <w:spacing w:beforeLines="0" w:before="0" w:beforeAutospacing="0" w:afterLines="0" w:after="0" w:afterAutospacing="0" w:line="120" w:lineRule="atLeast"/>
      </w:pPr>
      <w:rPr>
        <w:rFonts w:cs="Times New Roman"/>
      </w:rPr>
      <w:tblPr/>
      <w:tcPr>
        <w:shd w:val="clear" w:color="auto" w:fill="F2F2F2"/>
      </w:tcPr>
    </w:tblStylePr>
  </w:style>
  <w:style w:type="table" w:styleId="MediumShading1">
    <w:name w:val="Medium Shading 1"/>
    <w:basedOn w:val="TableNormal"/>
    <w:uiPriority w:val="63"/>
    <w:rsid w:val="009C30A9"/>
    <w:rPr>
      <w:lang w:val="en-US"/>
    </w:rPr>
    <w:tblPr>
      <w:tblStyleRowBandSize w:val="1"/>
      <w:tblStyleColBandSize w:val="1"/>
      <w:tblBorders>
        <w:top w:val="single" w:sz="8" w:space="0" w:color="707070"/>
        <w:left w:val="single" w:sz="8" w:space="0" w:color="707070"/>
        <w:bottom w:val="single" w:sz="8" w:space="0" w:color="707070"/>
        <w:right w:val="single" w:sz="8" w:space="0" w:color="707070"/>
        <w:insideH w:val="single" w:sz="8" w:space="0" w:color="707070"/>
      </w:tblBorders>
    </w:tblPr>
    <w:tblStylePr w:type="firstRow">
      <w:pPr>
        <w:spacing w:before="0" w:after="0"/>
      </w:pPr>
      <w:rPr>
        <w:rFonts w:cs="Times New Roman"/>
        <w:b/>
        <w:bCs/>
        <w:color w:val="FFFFFF"/>
      </w:rPr>
      <w:tblPr/>
      <w:tcPr>
        <w:tcBorders>
          <w:top w:val="single" w:sz="8" w:space="0" w:color="707070"/>
          <w:left w:val="single" w:sz="8" w:space="0" w:color="707070"/>
          <w:bottom w:val="single" w:sz="8" w:space="0" w:color="707070"/>
          <w:right w:val="single" w:sz="8" w:space="0" w:color="707070"/>
          <w:insideH w:val="nil"/>
          <w:insideV w:val="nil"/>
        </w:tcBorders>
        <w:shd w:val="clear" w:color="auto" w:fill="414141"/>
      </w:tcPr>
    </w:tblStylePr>
    <w:tblStylePr w:type="lastRow">
      <w:pPr>
        <w:spacing w:before="0" w:after="0"/>
      </w:pPr>
      <w:rPr>
        <w:rFonts w:cs="Times New Roman"/>
        <w:b/>
        <w:bCs/>
      </w:rPr>
      <w:tblPr/>
      <w:tcPr>
        <w:tcBorders>
          <w:top w:val="double" w:sz="6" w:space="0" w:color="707070"/>
          <w:left w:val="single" w:sz="8" w:space="0" w:color="707070"/>
          <w:bottom w:val="single" w:sz="8" w:space="0" w:color="707070"/>
          <w:right w:val="single" w:sz="8" w:space="0" w:color="70707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0D0D0"/>
      </w:tcPr>
    </w:tblStylePr>
    <w:tblStylePr w:type="band1Horz">
      <w:rPr>
        <w:rFonts w:cs="Times New Roman"/>
      </w:rPr>
      <w:tblPr/>
      <w:tcPr>
        <w:tcBorders>
          <w:insideH w:val="nil"/>
          <w:insideV w:val="nil"/>
        </w:tcBorders>
        <w:shd w:val="clear" w:color="auto" w:fill="D0D0D0"/>
      </w:tcPr>
    </w:tblStylePr>
    <w:tblStylePr w:type="band2Horz">
      <w:rPr>
        <w:rFonts w:cs="Times New Roman"/>
      </w:rPr>
      <w:tblPr/>
      <w:tcPr>
        <w:tcBorders>
          <w:insideH w:val="nil"/>
          <w:insideV w:val="nil"/>
        </w:tcBorders>
      </w:tcPr>
    </w:tblStylePr>
  </w:style>
  <w:style w:type="table" w:styleId="MediumGrid2">
    <w:name w:val="Medium Grid 2"/>
    <w:basedOn w:val="TableNormal"/>
    <w:uiPriority w:val="68"/>
    <w:rsid w:val="009C30A9"/>
    <w:rPr>
      <w:color w:val="414141"/>
      <w:lang w:val="en-US"/>
    </w:rPr>
    <w:tblPr>
      <w:tblStyleRowBandSize w:val="1"/>
      <w:tblStyleColBandSize w:val="1"/>
      <w:tblBorders>
        <w:top w:val="single" w:sz="8" w:space="0" w:color="414141"/>
        <w:left w:val="single" w:sz="8" w:space="0" w:color="414141"/>
        <w:bottom w:val="single" w:sz="8" w:space="0" w:color="414141"/>
        <w:right w:val="single" w:sz="8" w:space="0" w:color="414141"/>
        <w:insideH w:val="single" w:sz="8" w:space="0" w:color="414141"/>
        <w:insideV w:val="single" w:sz="8" w:space="0" w:color="414141"/>
      </w:tblBorders>
    </w:tblPr>
    <w:tcPr>
      <w:shd w:val="clear" w:color="auto" w:fill="D0D0D0"/>
    </w:tcPr>
    <w:tblStylePr w:type="firstRow">
      <w:rPr>
        <w:rFonts w:cs="Times New Roman"/>
        <w:b/>
        <w:bCs/>
        <w:color w:val="414141"/>
      </w:rPr>
      <w:tblPr/>
      <w:tcPr>
        <w:shd w:val="clear" w:color="auto" w:fill="ECECEC"/>
      </w:tcPr>
    </w:tblStylePr>
    <w:tblStylePr w:type="lastRow">
      <w:rPr>
        <w:rFonts w:cs="Times New Roman"/>
        <w:b/>
        <w:bCs/>
        <w:color w:val="414141"/>
      </w:rPr>
      <w:tblPr/>
      <w:tcPr>
        <w:tcBorders>
          <w:top w:val="single" w:sz="12" w:space="0" w:color="414141"/>
          <w:left w:val="nil"/>
          <w:bottom w:val="nil"/>
          <w:right w:val="nil"/>
          <w:insideH w:val="nil"/>
          <w:insideV w:val="nil"/>
        </w:tcBorders>
        <w:shd w:val="clear" w:color="auto" w:fill="FFFFFF"/>
      </w:tcPr>
    </w:tblStylePr>
    <w:tblStylePr w:type="firstCol">
      <w:rPr>
        <w:rFonts w:cs="Times New Roman"/>
        <w:b/>
        <w:bCs/>
        <w:color w:val="414141"/>
      </w:rPr>
      <w:tblPr/>
      <w:tcPr>
        <w:tcBorders>
          <w:top w:val="nil"/>
          <w:left w:val="nil"/>
          <w:bottom w:val="nil"/>
          <w:right w:val="nil"/>
          <w:insideH w:val="nil"/>
          <w:insideV w:val="nil"/>
        </w:tcBorders>
        <w:shd w:val="clear" w:color="auto" w:fill="FFFFFF"/>
      </w:tcPr>
    </w:tblStylePr>
    <w:tblStylePr w:type="lastCol">
      <w:rPr>
        <w:rFonts w:cs="Times New Roman"/>
        <w:b w:val="0"/>
        <w:bCs w:val="0"/>
        <w:color w:val="414141"/>
      </w:rPr>
      <w:tblPr/>
      <w:tcPr>
        <w:tcBorders>
          <w:top w:val="nil"/>
          <w:left w:val="nil"/>
          <w:bottom w:val="nil"/>
          <w:right w:val="nil"/>
          <w:insideH w:val="nil"/>
          <w:insideV w:val="nil"/>
        </w:tcBorders>
        <w:shd w:val="clear" w:color="auto" w:fill="D9D9D9"/>
      </w:tcPr>
    </w:tblStylePr>
    <w:tblStylePr w:type="band1Vert">
      <w:rPr>
        <w:rFonts w:cs="Times New Roman"/>
      </w:rPr>
      <w:tblPr/>
      <w:tcPr>
        <w:shd w:val="clear" w:color="auto" w:fill="A0A0A0"/>
      </w:tcPr>
    </w:tblStylePr>
    <w:tblStylePr w:type="band1Horz">
      <w:rPr>
        <w:rFonts w:cs="Times New Roman"/>
      </w:rPr>
      <w:tblPr/>
      <w:tcPr>
        <w:tcBorders>
          <w:insideH w:val="single" w:sz="6" w:space="0" w:color="414141"/>
          <w:insideV w:val="single" w:sz="6" w:space="0" w:color="414141"/>
        </w:tcBorders>
        <w:shd w:val="clear" w:color="auto" w:fill="A0A0A0"/>
      </w:tcPr>
    </w:tblStylePr>
    <w:tblStylePr w:type="nwCell">
      <w:rPr>
        <w:rFonts w:cs="Times New Roman"/>
      </w:rPr>
      <w:tblPr/>
      <w:tcPr>
        <w:shd w:val="clear" w:color="auto" w:fill="FFFFFF"/>
      </w:tcPr>
    </w:tblStylePr>
  </w:style>
  <w:style w:type="table" w:customStyle="1" w:styleId="TableDTAHeaderRowColumn">
    <w:name w:val="Table DTA Header Row &amp; Column"/>
    <w:basedOn w:val="TableNormal"/>
    <w:uiPriority w:val="99"/>
    <w:rsid w:val="009C30A9"/>
    <w:pPr>
      <w:spacing w:before="20" w:after="20" w:line="200" w:lineRule="atLeast"/>
    </w:pPr>
    <w:rPr>
      <w:sz w:val="18"/>
      <w:lang w:val="en-US"/>
    </w:rPr>
    <w:tblPr>
      <w:tblStyleRowBandSize w:val="1"/>
      <w:tblStyleColBandSize w:val="1"/>
      <w:tblInd w:w="57" w:type="dxa"/>
      <w:tblBorders>
        <w:bottom w:val="single" w:sz="4" w:space="0" w:color="BFBFBF"/>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firstCol">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tblStylePr w:type="nwCell">
      <w:rPr>
        <w:rFonts w:cs="Times New Roman"/>
        <w:color w:val="FFFFFF"/>
      </w:rPr>
      <w:tblPr/>
      <w:tcPr>
        <w:tcBorders>
          <w:top w:val="nil"/>
          <w:left w:val="nil"/>
          <w:bottom w:val="single" w:sz="4" w:space="0" w:color="BFBFBF"/>
          <w:right w:val="single" w:sz="4" w:space="0" w:color="BFBFBF"/>
          <w:insideH w:val="nil"/>
          <w:insideV w:val="nil"/>
          <w:tl2br w:val="nil"/>
          <w:tr2bl w:val="nil"/>
        </w:tcBorders>
        <w:shd w:val="clear" w:color="auto" w:fill="FFFFFF"/>
      </w:tcPr>
    </w:tblStylePr>
  </w:style>
  <w:style w:type="table" w:customStyle="1" w:styleId="TableDTAHeaderColumn">
    <w:name w:val="Table DTA Header Column"/>
    <w:basedOn w:val="TableDTAHeaderRowColumn"/>
    <w:uiPriority w:val="99"/>
    <w:rsid w:val="009C30A9"/>
    <w:rPr>
      <w:rFonts w:ascii="Helvetica" w:hAnsi="Helvetica"/>
    </w:rPr>
    <w:tblPr/>
    <w:tcPr>
      <w:shd w:val="clear" w:color="auto" w:fill="FFFFFF"/>
    </w:tcPr>
    <w:tblStylePr w:type="firstRow">
      <w:pPr>
        <w:keepNext/>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l2br w:val="nil"/>
          <w:tr2bl w:val="nil"/>
        </w:tcBorders>
        <w:shd w:val="clear" w:color="auto" w:fill="FFFFFF"/>
      </w:tcPr>
    </w:tblStylePr>
    <w:tblStylePr w:type="firstCol">
      <w:pPr>
        <w:jc w:val="left"/>
      </w:pPr>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jc w:val="left"/>
      </w:pPr>
      <w:rPr>
        <w:rFonts w:cs="Times New Roman"/>
      </w:rPr>
      <w:tblPr/>
      <w:tcPr>
        <w:shd w:val="clear" w:color="auto" w:fill="FFFFFF"/>
      </w:tcPr>
    </w:tblStylePr>
    <w:tblStylePr w:type="nwCell">
      <w:rPr>
        <w:rFonts w:cs="Times New Roman"/>
        <w:b/>
        <w:color w:val="414141"/>
      </w:rPr>
      <w:tblPr/>
      <w:tcPr>
        <w:tcBorders>
          <w:top w:val="single" w:sz="4" w:space="0" w:color="BFBFBF"/>
          <w:left w:val="nil"/>
          <w:bottom w:val="nil"/>
          <w:right w:val="single" w:sz="4" w:space="0" w:color="BFBFBF"/>
          <w:insideH w:val="nil"/>
          <w:insideV w:val="nil"/>
          <w:tl2br w:val="nil"/>
          <w:tr2bl w:val="nil"/>
        </w:tcBorders>
        <w:shd w:val="clear" w:color="auto" w:fill="FFFFFF"/>
      </w:tcPr>
    </w:tblStylePr>
  </w:style>
  <w:style w:type="character" w:styleId="SubtleReference">
    <w:name w:val="Subtle Reference"/>
    <w:aliases w:val="SR-DO NOT USE"/>
    <w:basedOn w:val="DefaultParagraphFont"/>
    <w:uiPriority w:val="31"/>
    <w:qFormat/>
    <w:rsid w:val="009C30A9"/>
    <w:rPr>
      <w:smallCaps/>
      <w:color w:val="5A5A5A" w:themeColor="text1" w:themeTint="A5"/>
    </w:rPr>
  </w:style>
  <w:style w:type="character" w:styleId="SubtleEmphasis">
    <w:name w:val="Subtle Emphasis"/>
    <w:aliases w:val="SE-DO NOT USE"/>
    <w:basedOn w:val="DefaultParagraphFont"/>
    <w:uiPriority w:val="19"/>
    <w:qFormat/>
    <w:rsid w:val="009C30A9"/>
    <w:rPr>
      <w:i/>
      <w:color w:val="404040" w:themeColor="text1" w:themeTint="BF"/>
    </w:rPr>
  </w:style>
  <w:style w:type="character" w:styleId="IntenseReference">
    <w:name w:val="Intense Reference"/>
    <w:aliases w:val="IR-DO NOT USE"/>
    <w:basedOn w:val="DefaultParagraphFont"/>
    <w:uiPriority w:val="32"/>
    <w:qFormat/>
    <w:rsid w:val="009C30A9"/>
    <w:rPr>
      <w:b/>
      <w:smallCaps/>
      <w:color w:val="4472C4" w:themeColor="accent1"/>
      <w:spacing w:val="5"/>
    </w:rPr>
  </w:style>
  <w:style w:type="table" w:styleId="PlainTable2">
    <w:name w:val="Plain Table 2"/>
    <w:basedOn w:val="TableNormal"/>
    <w:uiPriority w:val="42"/>
    <w:rsid w:val="009C30A9"/>
    <w:rPr>
      <w:lang w:val="en-US"/>
    </w:rPr>
    <w:tblPr>
      <w:tblStyleRowBandSize w:val="1"/>
      <w:tblStyleColBandSize w:val="1"/>
      <w:tblBorders>
        <w:top w:val="single" w:sz="4" w:space="0" w:color="9F9F9F"/>
        <w:bottom w:val="single" w:sz="4" w:space="0" w:color="9F9F9F"/>
      </w:tblBorders>
    </w:tblPr>
    <w:tblStylePr w:type="firstRow">
      <w:rPr>
        <w:rFonts w:cs="Times New Roman"/>
        <w:b/>
        <w:bCs/>
      </w:rPr>
      <w:tblPr/>
      <w:tcPr>
        <w:tcBorders>
          <w:bottom w:val="single" w:sz="4" w:space="0" w:color="9F9F9F"/>
        </w:tcBorders>
      </w:tcPr>
    </w:tblStylePr>
    <w:tblStylePr w:type="lastRow">
      <w:rPr>
        <w:rFonts w:cs="Times New Roman"/>
        <w:b/>
        <w:bCs/>
      </w:rPr>
      <w:tblPr/>
      <w:tcPr>
        <w:tcBorders>
          <w:top w:val="single" w:sz="4" w:space="0" w:color="9F9F9F"/>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9F9F9F"/>
          <w:right w:val="single" w:sz="4" w:space="0" w:color="9F9F9F"/>
        </w:tcBorders>
      </w:tcPr>
    </w:tblStylePr>
    <w:tblStylePr w:type="band2Vert">
      <w:rPr>
        <w:rFonts w:cs="Times New Roman"/>
      </w:rPr>
      <w:tblPr/>
      <w:tcPr>
        <w:tcBorders>
          <w:left w:val="single" w:sz="4" w:space="0" w:color="9F9F9F"/>
          <w:right w:val="single" w:sz="4" w:space="0" w:color="9F9F9F"/>
        </w:tcBorders>
      </w:tcPr>
    </w:tblStylePr>
    <w:tblStylePr w:type="band1Horz">
      <w:rPr>
        <w:rFonts w:cs="Times New Roman"/>
      </w:rPr>
      <w:tblPr/>
      <w:tcPr>
        <w:tcBorders>
          <w:top w:val="single" w:sz="4" w:space="0" w:color="9F9F9F"/>
          <w:bottom w:val="single" w:sz="4" w:space="0" w:color="9F9F9F"/>
        </w:tcBorders>
      </w:tcPr>
    </w:tblStylePr>
  </w:style>
  <w:style w:type="paragraph" w:styleId="BlockText">
    <w:name w:val="Block Text"/>
    <w:aliases w:val="BLT-DO NOT USE"/>
    <w:basedOn w:val="BalloonText"/>
    <w:semiHidden/>
    <w:rsid w:val="009C30A9"/>
    <w:rPr>
      <w:rFonts w:ascii="Arial" w:hAnsi="Arial" w:cs="Arial"/>
      <w:sz w:val="20"/>
      <w:szCs w:val="20"/>
      <w:lang w:val="en-US"/>
    </w:rPr>
  </w:style>
  <w:style w:type="paragraph" w:styleId="BodyTextFirstIndent">
    <w:name w:val="Body Text First Indent"/>
    <w:aliases w:val="B1-DO NOT USE"/>
    <w:basedOn w:val="BodyText3"/>
    <w:link w:val="BodyTextFirstIndentChar"/>
    <w:semiHidden/>
    <w:rsid w:val="009C30A9"/>
  </w:style>
  <w:style w:type="character" w:customStyle="1" w:styleId="BodyTextFirstIndentChar">
    <w:name w:val="Body Text First Indent Char"/>
    <w:aliases w:val="B1-DO NOT USE Char"/>
    <w:basedOn w:val="BodyTextChar"/>
    <w:link w:val="BodyTextFirstIndent"/>
    <w:semiHidden/>
    <w:rsid w:val="009C30A9"/>
    <w:rPr>
      <w:rFonts w:ascii="Arial" w:hAnsi="Arial" w:cs="Arial"/>
      <w:lang w:val="en-US" w:eastAsia="en-AU"/>
    </w:rPr>
  </w:style>
  <w:style w:type="paragraph" w:styleId="BodyTextIndent">
    <w:name w:val="Body Text Indent"/>
    <w:aliases w:val="B3-DO NOT USE"/>
    <w:basedOn w:val="Normal"/>
    <w:link w:val="BodyTextIndentChar"/>
    <w:semiHidden/>
    <w:rsid w:val="009C30A9"/>
    <w:rPr>
      <w:rFonts w:cs="Arial"/>
      <w:lang w:val="en-US"/>
    </w:rPr>
  </w:style>
  <w:style w:type="character" w:customStyle="1" w:styleId="BodyTextIndentChar">
    <w:name w:val="Body Text Indent Char"/>
    <w:aliases w:val="B3-DO NOT USE Char"/>
    <w:basedOn w:val="DefaultParagraphFont"/>
    <w:link w:val="BodyTextIndent"/>
    <w:semiHidden/>
    <w:rsid w:val="009C30A9"/>
    <w:rPr>
      <w:rFonts w:ascii="Arial" w:hAnsi="Arial" w:cs="Arial"/>
      <w:lang w:val="en-US" w:eastAsia="en-AU"/>
    </w:rPr>
  </w:style>
  <w:style w:type="paragraph" w:styleId="BodyTextFirstIndent2">
    <w:name w:val="Body Text First Indent 2"/>
    <w:aliases w:val="B2-DO NOT USE"/>
    <w:basedOn w:val="BodyTextFirstIndent"/>
    <w:link w:val="BodyTextFirstIndent2Char"/>
    <w:semiHidden/>
    <w:rsid w:val="009C30A9"/>
  </w:style>
  <w:style w:type="character" w:customStyle="1" w:styleId="BodyTextFirstIndent2Char">
    <w:name w:val="Body Text First Indent 2 Char"/>
    <w:aliases w:val="B2-DO NOT USE Char"/>
    <w:basedOn w:val="BodyTextIndentChar"/>
    <w:link w:val="BodyTextFirstIndent2"/>
    <w:semiHidden/>
    <w:rsid w:val="009C30A9"/>
    <w:rPr>
      <w:rFonts w:ascii="Arial" w:hAnsi="Arial" w:cs="Arial"/>
      <w:lang w:val="en-US" w:eastAsia="en-AU"/>
    </w:rPr>
  </w:style>
  <w:style w:type="paragraph" w:styleId="BodyTextIndent2">
    <w:name w:val="Body Text Indent 2"/>
    <w:aliases w:val="B4-DO NOT USE"/>
    <w:basedOn w:val="BodyTextIndent"/>
    <w:link w:val="BodyTextIndent2Char"/>
    <w:semiHidden/>
    <w:rsid w:val="009C30A9"/>
  </w:style>
  <w:style w:type="character" w:customStyle="1" w:styleId="BodyTextIndent2Char">
    <w:name w:val="Body Text Indent 2 Char"/>
    <w:aliases w:val="B4-DO NOT USE Char"/>
    <w:basedOn w:val="DefaultParagraphFont"/>
    <w:link w:val="BodyTextIndent2"/>
    <w:semiHidden/>
    <w:rsid w:val="009C30A9"/>
    <w:rPr>
      <w:rFonts w:ascii="Arial" w:hAnsi="Arial" w:cs="Arial"/>
      <w:lang w:val="en-US" w:eastAsia="en-AU"/>
    </w:rPr>
  </w:style>
  <w:style w:type="paragraph" w:styleId="BodyTextIndent3">
    <w:name w:val="Body Text Indent 3"/>
    <w:aliases w:val="B5-DO NOT USE"/>
    <w:basedOn w:val="BodyTextIndent2"/>
    <w:link w:val="BodyTextIndent3Char"/>
    <w:semiHidden/>
    <w:rsid w:val="009C30A9"/>
  </w:style>
  <w:style w:type="character" w:customStyle="1" w:styleId="BodyTextIndent3Char">
    <w:name w:val="Body Text Indent 3 Char"/>
    <w:aliases w:val="B5-DO NOT USE Char"/>
    <w:basedOn w:val="DefaultParagraphFont"/>
    <w:link w:val="BodyTextIndent3"/>
    <w:semiHidden/>
    <w:rsid w:val="009C30A9"/>
    <w:rPr>
      <w:rFonts w:ascii="Arial" w:hAnsi="Arial" w:cs="Arial"/>
      <w:lang w:val="en-US" w:eastAsia="en-AU"/>
    </w:rPr>
  </w:style>
  <w:style w:type="table" w:styleId="TableGridLight">
    <w:name w:val="Grid Table Light"/>
    <w:basedOn w:val="TableNormal"/>
    <w:uiPriority w:val="40"/>
    <w:rsid w:val="009C30A9"/>
    <w:rPr>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NoSpacingChar">
    <w:name w:val="No Spacing Char"/>
    <w:aliases w:val="NS-DO NOT USE Char"/>
    <w:basedOn w:val="DefaultParagraphFont"/>
    <w:link w:val="NoSpacing"/>
    <w:uiPriority w:val="1"/>
    <w:locked/>
    <w:rsid w:val="009C30A9"/>
    <w:rPr>
      <w:rFonts w:asciiTheme="minorHAnsi" w:hAnsiTheme="minorHAnsi" w:cstheme="minorBidi"/>
    </w:rPr>
  </w:style>
  <w:style w:type="table" w:styleId="ListTable3-Accent1">
    <w:name w:val="List Table 3 Accent 1"/>
    <w:basedOn w:val="TableNormal"/>
    <w:uiPriority w:val="48"/>
    <w:rsid w:val="009C30A9"/>
    <w:rPr>
      <w:rFonts w:cs="Arial"/>
      <w:color w:val="000000"/>
      <w:lang w:val="en-US"/>
    </w:rPr>
    <w:tblPr>
      <w:tblStyleRowBandSize w:val="1"/>
      <w:tblStyleColBandSize w:val="1"/>
      <w:tblBorders>
        <w:top w:val="single" w:sz="4" w:space="0" w:color="45C2F0"/>
        <w:left w:val="single" w:sz="4" w:space="0" w:color="45C2F0"/>
        <w:bottom w:val="single" w:sz="4" w:space="0" w:color="45C2F0"/>
        <w:right w:val="single" w:sz="4" w:space="0" w:color="45C2F0"/>
      </w:tblBorders>
    </w:tblPr>
    <w:tblStylePr w:type="firstRow">
      <w:rPr>
        <w:rFonts w:cs="Arial"/>
        <w:b/>
        <w:bCs/>
        <w:color w:val="FFFFFF"/>
      </w:rPr>
      <w:tblPr/>
      <w:tcPr>
        <w:shd w:val="clear" w:color="auto" w:fill="45C2F0"/>
      </w:tcPr>
    </w:tblStylePr>
    <w:tblStylePr w:type="lastRow">
      <w:rPr>
        <w:rFonts w:cs="Arial"/>
        <w:b/>
        <w:bCs/>
      </w:rPr>
      <w:tblPr/>
      <w:tcPr>
        <w:tcBorders>
          <w:top w:val="double" w:sz="4" w:space="0" w:color="45C2F0"/>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45C2F0"/>
          <w:right w:val="single" w:sz="4" w:space="0" w:color="45C2F0"/>
        </w:tcBorders>
      </w:tcPr>
    </w:tblStylePr>
    <w:tblStylePr w:type="band1Horz">
      <w:rPr>
        <w:rFonts w:cs="Arial"/>
      </w:rPr>
      <w:tblPr/>
      <w:tcPr>
        <w:tcBorders>
          <w:top w:val="single" w:sz="4" w:space="0" w:color="45C2F0"/>
          <w:bottom w:val="single" w:sz="4" w:space="0" w:color="45C2F0"/>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45C2F0"/>
          <w:left w:val="nil"/>
        </w:tcBorders>
      </w:tcPr>
    </w:tblStylePr>
    <w:tblStylePr w:type="swCell">
      <w:rPr>
        <w:rFonts w:cs="Arial"/>
      </w:rPr>
      <w:tblPr/>
      <w:tcPr>
        <w:tcBorders>
          <w:top w:val="double" w:sz="4" w:space="0" w:color="45C2F0"/>
          <w:right w:val="nil"/>
        </w:tcBorders>
      </w:tcPr>
    </w:tblStylePr>
  </w:style>
  <w:style w:type="table" w:styleId="ListTable3-Accent3">
    <w:name w:val="List Table 3 Accent 3"/>
    <w:basedOn w:val="TableNormal"/>
    <w:uiPriority w:val="48"/>
    <w:rsid w:val="009C30A9"/>
    <w:rPr>
      <w:rFonts w:cs="Arial"/>
      <w:color w:val="000000"/>
      <w:lang w:val="en-US"/>
    </w:rPr>
    <w:tblPr>
      <w:tblStyleRowBandSize w:val="1"/>
      <w:tblStyleColBandSize w:val="1"/>
      <w:tblBorders>
        <w:top w:val="single" w:sz="4" w:space="0" w:color="C81978"/>
        <w:left w:val="single" w:sz="4" w:space="0" w:color="C81978"/>
        <w:bottom w:val="single" w:sz="4" w:space="0" w:color="C81978"/>
        <w:right w:val="single" w:sz="4" w:space="0" w:color="C81978"/>
      </w:tblBorders>
    </w:tblPr>
    <w:tblStylePr w:type="firstRow">
      <w:rPr>
        <w:rFonts w:cs="Arial"/>
        <w:b/>
        <w:bCs/>
        <w:color w:val="FFFFFF"/>
      </w:rPr>
      <w:tblPr/>
      <w:tcPr>
        <w:shd w:val="clear" w:color="auto" w:fill="C81978"/>
      </w:tcPr>
    </w:tblStylePr>
    <w:tblStylePr w:type="lastRow">
      <w:rPr>
        <w:rFonts w:cs="Arial"/>
        <w:b/>
        <w:bCs/>
      </w:rPr>
      <w:tblPr/>
      <w:tcPr>
        <w:tcBorders>
          <w:top w:val="double" w:sz="4" w:space="0" w:color="C81978"/>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C81978"/>
          <w:right w:val="single" w:sz="4" w:space="0" w:color="C81978"/>
        </w:tcBorders>
      </w:tcPr>
    </w:tblStylePr>
    <w:tblStylePr w:type="band1Horz">
      <w:rPr>
        <w:rFonts w:cs="Arial"/>
      </w:rPr>
      <w:tblPr/>
      <w:tcPr>
        <w:tcBorders>
          <w:top w:val="single" w:sz="4" w:space="0" w:color="C81978"/>
          <w:bottom w:val="single" w:sz="4" w:space="0" w:color="C81978"/>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C81978"/>
          <w:left w:val="nil"/>
        </w:tcBorders>
      </w:tcPr>
    </w:tblStylePr>
    <w:tblStylePr w:type="swCell">
      <w:rPr>
        <w:rFonts w:cs="Arial"/>
      </w:rPr>
      <w:tblPr/>
      <w:tcPr>
        <w:tcBorders>
          <w:top w:val="double" w:sz="4" w:space="0" w:color="C81978"/>
          <w:right w:val="nil"/>
        </w:tcBorders>
      </w:tcPr>
    </w:tblStylePr>
  </w:style>
  <w:style w:type="table" w:styleId="ListTable4-Accent3">
    <w:name w:val="List Table 4 Accent 3"/>
    <w:basedOn w:val="TableNormal"/>
    <w:uiPriority w:val="49"/>
    <w:rsid w:val="009C30A9"/>
    <w:rPr>
      <w:rFonts w:cs="Arial"/>
      <w:color w:val="000000"/>
      <w:lang w:val="en-US"/>
    </w:rPr>
    <w:tblPr>
      <w:tblStyleRowBandSize w:val="1"/>
      <w:tblStyleColBandSize w:val="1"/>
      <w:tblBorders>
        <w:top w:val="single" w:sz="4" w:space="0" w:color="EC67AE"/>
        <w:left w:val="single" w:sz="4" w:space="0" w:color="EC67AE"/>
        <w:bottom w:val="single" w:sz="4" w:space="0" w:color="EC67AE"/>
        <w:right w:val="single" w:sz="4" w:space="0" w:color="EC67AE"/>
        <w:insideH w:val="single" w:sz="4" w:space="0" w:color="EC67AE"/>
      </w:tblBorders>
    </w:tblPr>
    <w:tblStylePr w:type="firstRow">
      <w:rPr>
        <w:rFonts w:cs="Arial"/>
        <w:b/>
        <w:bCs/>
        <w:color w:val="FFFFFF"/>
      </w:rPr>
      <w:tblPr/>
      <w:tcPr>
        <w:tcBorders>
          <w:top w:val="single" w:sz="4" w:space="0" w:color="C81978"/>
          <w:left w:val="single" w:sz="4" w:space="0" w:color="C81978"/>
          <w:bottom w:val="single" w:sz="4" w:space="0" w:color="C81978"/>
          <w:right w:val="single" w:sz="4" w:space="0" w:color="C81978"/>
          <w:insideH w:val="nil"/>
        </w:tcBorders>
        <w:shd w:val="clear" w:color="auto" w:fill="C81978"/>
      </w:tcPr>
    </w:tblStylePr>
    <w:tblStylePr w:type="lastRow">
      <w:rPr>
        <w:rFonts w:cs="Arial"/>
        <w:b/>
        <w:bCs/>
      </w:rPr>
      <w:tblPr/>
      <w:tcPr>
        <w:tcBorders>
          <w:top w:val="double" w:sz="4" w:space="0" w:color="EC67AE"/>
        </w:tcBorders>
      </w:tcPr>
    </w:tblStylePr>
    <w:tblStylePr w:type="firstCol">
      <w:rPr>
        <w:rFonts w:cs="Arial"/>
        <w:b/>
        <w:bCs/>
      </w:rPr>
    </w:tblStylePr>
    <w:tblStylePr w:type="lastCol">
      <w:rPr>
        <w:rFonts w:cs="Arial"/>
        <w:b/>
        <w:bCs/>
      </w:rPr>
    </w:tblStylePr>
    <w:tblStylePr w:type="band1Vert">
      <w:rPr>
        <w:rFonts w:cs="Arial"/>
      </w:rPr>
      <w:tblPr/>
      <w:tcPr>
        <w:shd w:val="clear" w:color="auto" w:fill="F8CCE4"/>
      </w:tcPr>
    </w:tblStylePr>
    <w:tblStylePr w:type="band1Horz">
      <w:rPr>
        <w:rFonts w:cs="Arial"/>
      </w:rPr>
      <w:tblPr/>
      <w:tcPr>
        <w:shd w:val="clear" w:color="auto" w:fill="F8CCE4"/>
      </w:tcPr>
    </w:tblStylePr>
  </w:style>
  <w:style w:type="character" w:customStyle="1" w:styleId="ListParagraphChar">
    <w:name w:val="List Paragraph Char"/>
    <w:aliases w:val="LP-DO NOT USE Char"/>
    <w:link w:val="ListParagraph"/>
    <w:uiPriority w:val="34"/>
    <w:locked/>
    <w:rsid w:val="009C30A9"/>
    <w:rPr>
      <w:rFonts w:ascii="Arial" w:hAnsi="Arial"/>
      <w:lang w:eastAsia="en-AU"/>
    </w:rPr>
  </w:style>
  <w:style w:type="paragraph" w:styleId="Revision">
    <w:name w:val="Revision"/>
    <w:hidden/>
    <w:uiPriority w:val="99"/>
    <w:semiHidden/>
    <w:rsid w:val="009C30A9"/>
    <w:rPr>
      <w:rFonts w:cs="Arial"/>
      <w:color w:val="000000"/>
      <w:sz w:val="24"/>
      <w:szCs w:val="24"/>
      <w:lang w:eastAsia="en-AU"/>
    </w:rPr>
  </w:style>
  <w:style w:type="table" w:customStyle="1" w:styleId="TableGrid10">
    <w:name w:val="Table Grid1"/>
    <w:basedOn w:val="TableNormal"/>
    <w:next w:val="TableGrid"/>
    <w:uiPriority w:val="39"/>
    <w:rsid w:val="009C30A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9C30A9"/>
    <w:rPr>
      <w:rFonts w:cs="Times New Roman"/>
      <w:color w:val="2B579A"/>
      <w:shd w:val="clear" w:color="auto" w:fill="E1DFDD"/>
    </w:rPr>
  </w:style>
  <w:style w:type="table" w:customStyle="1" w:styleId="oobe-Table-Navy">
    <w:name w:val="oobe-Table-Navy"/>
    <w:basedOn w:val="TableNormal"/>
    <w:uiPriority w:val="99"/>
    <w:rsid w:val="009C30A9"/>
    <w:rPr>
      <w:lang w:eastAsia="en-AU"/>
    </w:rPr>
    <w:tblPr>
      <w:tblBorders>
        <w:top w:val="single" w:sz="4" w:space="0" w:color="091C33"/>
        <w:left w:val="dotted" w:sz="4" w:space="0" w:color="091C33"/>
        <w:bottom w:val="single" w:sz="4" w:space="0" w:color="091C33"/>
        <w:right w:val="dotted" w:sz="4" w:space="0" w:color="091C33"/>
        <w:insideH w:val="dotted" w:sz="4" w:space="0" w:color="091C33"/>
        <w:insideV w:val="single" w:sz="4" w:space="0" w:color="091C33"/>
      </w:tblBorders>
    </w:tblPr>
    <w:tblStylePr w:type="firstRow">
      <w:rPr>
        <w:rFonts w:cs="Times New Roman"/>
      </w:rPr>
      <w:tblPr/>
      <w:tcPr>
        <w:tcBorders>
          <w:bottom w:val="single" w:sz="4" w:space="0" w:color="091C33"/>
          <w:insideV w:val="single" w:sz="4" w:space="0" w:color="F8F8F8"/>
        </w:tcBorders>
        <w:shd w:val="clear" w:color="auto" w:fill="091C33"/>
      </w:tcPr>
    </w:tblStylePr>
  </w:style>
  <w:style w:type="table" w:customStyle="1" w:styleId="TableDTAHeaderRow1">
    <w:name w:val="Table DTA Header Row1"/>
    <w:basedOn w:val="TableNormal"/>
    <w:rsid w:val="009C30A9"/>
    <w:pPr>
      <w:spacing w:before="20" w:after="20" w:line="200" w:lineRule="atLeast"/>
    </w:pPr>
    <w:rPr>
      <w:rFonts w:ascii="Helvetica"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style>
  <w:style w:type="paragraph" w:customStyle="1" w:styleId="StyleTableTextLeftBodyArial">
    <w:name w:val="Style Table Text Left + +Body (Arial)"/>
    <w:basedOn w:val="TableTextLeft"/>
    <w:rsid w:val="009C30A9"/>
    <w:rPr>
      <w:rFonts w:asciiTheme="minorHAnsi" w:hAnsiTheme="minorHAnsi"/>
      <w:lang w:val="en-US"/>
    </w:rPr>
  </w:style>
  <w:style w:type="table" w:styleId="ListTable1Light-Accent6">
    <w:name w:val="List Table 1 Light Accent 6"/>
    <w:basedOn w:val="TableNormal"/>
    <w:uiPriority w:val="46"/>
    <w:rsid w:val="009C30A9"/>
    <w:rPr>
      <w:lang w:val="en-US"/>
    </w:rPr>
    <w:tblPr>
      <w:tblStyleRowBandSize w:val="1"/>
      <w:tblStyleColBandSize w:val="1"/>
    </w:tblPr>
    <w:tblStylePr w:type="firstRow">
      <w:rPr>
        <w:rFonts w:cs="Times New Roman"/>
        <w:b/>
        <w:bCs/>
      </w:rPr>
      <w:tblPr/>
      <w:tcPr>
        <w:tcBorders>
          <w:bottom w:val="single" w:sz="4" w:space="0" w:color="A8D08D" w:themeColor="accent6" w:themeTint="99"/>
        </w:tcBorders>
      </w:tcPr>
    </w:tblStylePr>
    <w:tblStylePr w:type="lastRow">
      <w:rPr>
        <w:rFonts w:cs="Times New Roman"/>
        <w:b/>
        <w:bCs/>
      </w:rPr>
      <w:tblPr/>
      <w:tcPr>
        <w:tcBorders>
          <w:top w:val="single" w:sz="4" w:space="0" w:color="A8D08D" w:themeColor="accent6" w:themeTint="9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2EFD9" w:themeFill="accent6" w:themeFillTint="33"/>
      </w:tcPr>
    </w:tblStylePr>
    <w:tblStylePr w:type="band1Horz">
      <w:rPr>
        <w:rFonts w:cs="Times New Roman"/>
      </w:rPr>
      <w:tblPr/>
      <w:tcPr>
        <w:shd w:val="clear" w:color="auto" w:fill="E2EFD9" w:themeFill="accent6" w:themeFillTint="33"/>
      </w:tcPr>
    </w:tblStylePr>
  </w:style>
  <w:style w:type="numbering" w:styleId="1ai">
    <w:name w:val="Outline List 1"/>
    <w:basedOn w:val="NoList"/>
    <w:semiHidden/>
    <w:unhideWhenUsed/>
    <w:rsid w:val="009C30A9"/>
    <w:pPr>
      <w:numPr>
        <w:numId w:val="30"/>
      </w:numPr>
    </w:pPr>
  </w:style>
  <w:style w:type="numbering" w:styleId="111111">
    <w:name w:val="Outline List 2"/>
    <w:basedOn w:val="NoList"/>
    <w:semiHidden/>
    <w:unhideWhenUsed/>
    <w:rsid w:val="009C30A9"/>
    <w:pPr>
      <w:numPr>
        <w:numId w:val="29"/>
      </w:numPr>
    </w:pPr>
  </w:style>
  <w:style w:type="numbering" w:styleId="ArticleSection">
    <w:name w:val="Outline List 3"/>
    <w:basedOn w:val="NoList"/>
    <w:semiHidden/>
    <w:unhideWhenUsed/>
    <w:rsid w:val="009C30A9"/>
    <w:pPr>
      <w:numPr>
        <w:numId w:val="31"/>
      </w:numPr>
    </w:pPr>
  </w:style>
  <w:style w:type="table" w:customStyle="1" w:styleId="Table">
    <w:name w:val="Table"/>
    <w:basedOn w:val="TableDTAHeaderRow"/>
    <w:uiPriority w:val="99"/>
    <w:rsid w:val="0003192D"/>
    <w:tbl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61513">
      <w:bodyDiv w:val="1"/>
      <w:marLeft w:val="0"/>
      <w:marRight w:val="0"/>
      <w:marTop w:val="0"/>
      <w:marBottom w:val="0"/>
      <w:divBdr>
        <w:top w:val="none" w:sz="0" w:space="0" w:color="auto"/>
        <w:left w:val="none" w:sz="0" w:space="0" w:color="auto"/>
        <w:bottom w:val="none" w:sz="0" w:space="0" w:color="auto"/>
        <w:right w:val="none" w:sz="0" w:space="0" w:color="auto"/>
      </w:divBdr>
      <w:divsChild>
        <w:div w:id="200216243">
          <w:marLeft w:val="60"/>
          <w:marRight w:val="60"/>
          <w:marTop w:val="0"/>
          <w:marBottom w:val="0"/>
          <w:divBdr>
            <w:top w:val="none" w:sz="0" w:space="0" w:color="auto"/>
            <w:left w:val="none" w:sz="0" w:space="0" w:color="auto"/>
            <w:bottom w:val="none" w:sz="0" w:space="0" w:color="auto"/>
            <w:right w:val="none" w:sz="0" w:space="0" w:color="auto"/>
          </w:divBdr>
        </w:div>
        <w:div w:id="440808835">
          <w:marLeft w:val="60"/>
          <w:marRight w:val="60"/>
          <w:marTop w:val="0"/>
          <w:marBottom w:val="0"/>
          <w:divBdr>
            <w:top w:val="none" w:sz="0" w:space="0" w:color="auto"/>
            <w:left w:val="none" w:sz="0" w:space="0" w:color="auto"/>
            <w:bottom w:val="none" w:sz="0" w:space="0" w:color="auto"/>
            <w:right w:val="none" w:sz="0" w:space="0" w:color="auto"/>
          </w:divBdr>
          <w:divsChild>
            <w:div w:id="1313868685">
              <w:marLeft w:val="0"/>
              <w:marRight w:val="0"/>
              <w:marTop w:val="0"/>
              <w:marBottom w:val="0"/>
              <w:divBdr>
                <w:top w:val="none" w:sz="0" w:space="0" w:color="auto"/>
                <w:left w:val="none" w:sz="0" w:space="0" w:color="auto"/>
                <w:bottom w:val="none" w:sz="0" w:space="0" w:color="auto"/>
                <w:right w:val="none" w:sz="0" w:space="0" w:color="auto"/>
              </w:divBdr>
              <w:divsChild>
                <w:div w:id="1949391900">
                  <w:marLeft w:val="0"/>
                  <w:marRight w:val="0"/>
                  <w:marTop w:val="0"/>
                  <w:marBottom w:val="0"/>
                  <w:divBdr>
                    <w:top w:val="none" w:sz="0" w:space="0" w:color="auto"/>
                    <w:left w:val="none" w:sz="0" w:space="0" w:color="auto"/>
                    <w:bottom w:val="none" w:sz="0" w:space="0" w:color="auto"/>
                    <w:right w:val="none" w:sz="0" w:space="0" w:color="auto"/>
                  </w:divBdr>
                  <w:divsChild>
                    <w:div w:id="1585527435">
                      <w:marLeft w:val="0"/>
                      <w:marRight w:val="0"/>
                      <w:marTop w:val="0"/>
                      <w:marBottom w:val="0"/>
                      <w:divBdr>
                        <w:top w:val="none" w:sz="0" w:space="0" w:color="auto"/>
                        <w:left w:val="none" w:sz="0" w:space="0" w:color="auto"/>
                        <w:bottom w:val="none" w:sz="0" w:space="0" w:color="auto"/>
                        <w:right w:val="none" w:sz="0" w:space="0" w:color="auto"/>
                      </w:divBdr>
                      <w:divsChild>
                        <w:div w:id="44260634">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76825220">
      <w:bodyDiv w:val="1"/>
      <w:marLeft w:val="0"/>
      <w:marRight w:val="0"/>
      <w:marTop w:val="0"/>
      <w:marBottom w:val="0"/>
      <w:divBdr>
        <w:top w:val="none" w:sz="0" w:space="0" w:color="auto"/>
        <w:left w:val="none" w:sz="0" w:space="0" w:color="auto"/>
        <w:bottom w:val="none" w:sz="0" w:space="0" w:color="auto"/>
        <w:right w:val="none" w:sz="0" w:space="0" w:color="auto"/>
      </w:divBdr>
      <w:divsChild>
        <w:div w:id="1599675971">
          <w:marLeft w:val="0"/>
          <w:marRight w:val="0"/>
          <w:marTop w:val="0"/>
          <w:marBottom w:val="0"/>
          <w:divBdr>
            <w:top w:val="none" w:sz="0" w:space="0" w:color="auto"/>
            <w:left w:val="none" w:sz="0" w:space="0" w:color="auto"/>
            <w:bottom w:val="none" w:sz="0" w:space="0" w:color="auto"/>
            <w:right w:val="none" w:sz="0" w:space="0" w:color="auto"/>
          </w:divBdr>
        </w:div>
        <w:div w:id="1979794996">
          <w:marLeft w:val="0"/>
          <w:marRight w:val="0"/>
          <w:marTop w:val="0"/>
          <w:marBottom w:val="0"/>
          <w:divBdr>
            <w:top w:val="none" w:sz="0" w:space="0" w:color="auto"/>
            <w:left w:val="none" w:sz="0" w:space="0" w:color="auto"/>
            <w:bottom w:val="none" w:sz="0" w:space="0" w:color="auto"/>
            <w:right w:val="none" w:sz="0" w:space="0" w:color="auto"/>
          </w:divBdr>
          <w:divsChild>
            <w:div w:id="1609971762">
              <w:marLeft w:val="0"/>
              <w:marRight w:val="0"/>
              <w:marTop w:val="0"/>
              <w:marBottom w:val="0"/>
              <w:divBdr>
                <w:top w:val="none" w:sz="0" w:space="0" w:color="auto"/>
                <w:left w:val="none" w:sz="0" w:space="0" w:color="auto"/>
                <w:bottom w:val="none" w:sz="0" w:space="0" w:color="auto"/>
                <w:right w:val="none" w:sz="0" w:space="0" w:color="auto"/>
              </w:divBdr>
              <w:divsChild>
                <w:div w:id="879365594">
                  <w:marLeft w:val="0"/>
                  <w:marRight w:val="0"/>
                  <w:marTop w:val="0"/>
                  <w:marBottom w:val="0"/>
                  <w:divBdr>
                    <w:top w:val="none" w:sz="0" w:space="0" w:color="auto"/>
                    <w:left w:val="none" w:sz="0" w:space="0" w:color="auto"/>
                    <w:bottom w:val="none" w:sz="0" w:space="0" w:color="auto"/>
                    <w:right w:val="none" w:sz="0" w:space="0" w:color="auto"/>
                  </w:divBdr>
                  <w:divsChild>
                    <w:div w:id="1914658127">
                      <w:marLeft w:val="0"/>
                      <w:marRight w:val="0"/>
                      <w:marTop w:val="0"/>
                      <w:marBottom w:val="0"/>
                      <w:divBdr>
                        <w:top w:val="none" w:sz="0" w:space="0" w:color="auto"/>
                        <w:left w:val="none" w:sz="0" w:space="0" w:color="auto"/>
                        <w:bottom w:val="none" w:sz="0" w:space="0" w:color="auto"/>
                        <w:right w:val="none" w:sz="0" w:space="0" w:color="auto"/>
                      </w:divBdr>
                      <w:divsChild>
                        <w:div w:id="105539698">
                          <w:marLeft w:val="0"/>
                          <w:marRight w:val="0"/>
                          <w:marTop w:val="0"/>
                          <w:marBottom w:val="0"/>
                          <w:divBdr>
                            <w:top w:val="none" w:sz="0" w:space="0" w:color="auto"/>
                            <w:left w:val="none" w:sz="0" w:space="0" w:color="auto"/>
                            <w:bottom w:val="none" w:sz="0" w:space="0" w:color="auto"/>
                            <w:right w:val="none" w:sz="0" w:space="0" w:color="auto"/>
                          </w:divBdr>
                          <w:divsChild>
                            <w:div w:id="612632506">
                              <w:marLeft w:val="0"/>
                              <w:marRight w:val="0"/>
                              <w:marTop w:val="0"/>
                              <w:marBottom w:val="0"/>
                              <w:divBdr>
                                <w:top w:val="none" w:sz="0" w:space="0" w:color="auto"/>
                                <w:left w:val="none" w:sz="0" w:space="0" w:color="auto"/>
                                <w:bottom w:val="none" w:sz="0" w:space="0" w:color="auto"/>
                                <w:right w:val="none" w:sz="0" w:space="0" w:color="auto"/>
                              </w:divBdr>
                              <w:divsChild>
                                <w:div w:id="105122584">
                                  <w:marLeft w:val="0"/>
                                  <w:marRight w:val="0"/>
                                  <w:marTop w:val="0"/>
                                  <w:marBottom w:val="0"/>
                                  <w:divBdr>
                                    <w:top w:val="none" w:sz="0" w:space="0" w:color="auto"/>
                                    <w:left w:val="none" w:sz="0" w:space="0" w:color="auto"/>
                                    <w:bottom w:val="none" w:sz="0" w:space="0" w:color="auto"/>
                                    <w:right w:val="none" w:sz="0" w:space="0" w:color="auto"/>
                                  </w:divBdr>
                                  <w:divsChild>
                                    <w:div w:id="169488568">
                                      <w:marLeft w:val="0"/>
                                      <w:marRight w:val="0"/>
                                      <w:marTop w:val="0"/>
                                      <w:marBottom w:val="0"/>
                                      <w:divBdr>
                                        <w:top w:val="none" w:sz="0" w:space="0" w:color="auto"/>
                                        <w:left w:val="none" w:sz="0" w:space="0" w:color="auto"/>
                                        <w:bottom w:val="none" w:sz="0" w:space="0" w:color="auto"/>
                                        <w:right w:val="none" w:sz="0" w:space="0" w:color="auto"/>
                                      </w:divBdr>
                                      <w:divsChild>
                                        <w:div w:id="272245456">
                                          <w:marLeft w:val="0"/>
                                          <w:marRight w:val="0"/>
                                          <w:marTop w:val="0"/>
                                          <w:marBottom w:val="0"/>
                                          <w:divBdr>
                                            <w:top w:val="none" w:sz="0" w:space="0" w:color="auto"/>
                                            <w:left w:val="none" w:sz="0" w:space="0" w:color="auto"/>
                                            <w:bottom w:val="none" w:sz="0" w:space="0" w:color="auto"/>
                                            <w:right w:val="none" w:sz="0" w:space="0" w:color="auto"/>
                                          </w:divBdr>
                                          <w:divsChild>
                                            <w:div w:id="2051418806">
                                              <w:marLeft w:val="0"/>
                                              <w:marRight w:val="0"/>
                                              <w:marTop w:val="0"/>
                                              <w:marBottom w:val="0"/>
                                              <w:divBdr>
                                                <w:top w:val="none" w:sz="0" w:space="0" w:color="auto"/>
                                                <w:left w:val="none" w:sz="0" w:space="0" w:color="auto"/>
                                                <w:bottom w:val="none" w:sz="0" w:space="0" w:color="auto"/>
                                                <w:right w:val="none" w:sz="0" w:space="0" w:color="auto"/>
                                              </w:divBdr>
                                              <w:divsChild>
                                                <w:div w:id="981272726">
                                                  <w:marLeft w:val="0"/>
                                                  <w:marRight w:val="0"/>
                                                  <w:marTop w:val="0"/>
                                                  <w:marBottom w:val="0"/>
                                                  <w:divBdr>
                                                    <w:top w:val="none" w:sz="0" w:space="0" w:color="auto"/>
                                                    <w:left w:val="none" w:sz="0" w:space="0" w:color="auto"/>
                                                    <w:bottom w:val="none" w:sz="0" w:space="0" w:color="auto"/>
                                                    <w:right w:val="none" w:sz="0" w:space="0" w:color="auto"/>
                                                  </w:divBdr>
                                                  <w:divsChild>
                                                    <w:div w:id="1769816413">
                                                      <w:marLeft w:val="0"/>
                                                      <w:marRight w:val="0"/>
                                                      <w:marTop w:val="0"/>
                                                      <w:marBottom w:val="0"/>
                                                      <w:divBdr>
                                                        <w:top w:val="none" w:sz="0" w:space="0" w:color="auto"/>
                                                        <w:left w:val="none" w:sz="0" w:space="0" w:color="auto"/>
                                                        <w:bottom w:val="none" w:sz="0" w:space="0" w:color="auto"/>
                                                        <w:right w:val="none" w:sz="0" w:space="0" w:color="auto"/>
                                                      </w:divBdr>
                                                      <w:divsChild>
                                                        <w:div w:id="14040444">
                                                          <w:marLeft w:val="0"/>
                                                          <w:marRight w:val="0"/>
                                                          <w:marTop w:val="0"/>
                                                          <w:marBottom w:val="0"/>
                                                          <w:divBdr>
                                                            <w:top w:val="none" w:sz="0" w:space="0" w:color="auto"/>
                                                            <w:left w:val="none" w:sz="0" w:space="0" w:color="auto"/>
                                                            <w:bottom w:val="none" w:sz="0" w:space="0" w:color="auto"/>
                                                            <w:right w:val="none" w:sz="0" w:space="0" w:color="auto"/>
                                                          </w:divBdr>
                                                          <w:divsChild>
                                                            <w:div w:id="1985229584">
                                                              <w:marLeft w:val="0"/>
                                                              <w:marRight w:val="0"/>
                                                              <w:marTop w:val="0"/>
                                                              <w:marBottom w:val="0"/>
                                                              <w:divBdr>
                                                                <w:top w:val="none" w:sz="0" w:space="0" w:color="auto"/>
                                                                <w:left w:val="none" w:sz="0" w:space="0" w:color="auto"/>
                                                                <w:bottom w:val="none" w:sz="0" w:space="0" w:color="auto"/>
                                                                <w:right w:val="none" w:sz="0" w:space="0" w:color="auto"/>
                                                              </w:divBdr>
                                                              <w:divsChild>
                                                                <w:div w:id="1117872111">
                                                                  <w:marLeft w:val="0"/>
                                                                  <w:marRight w:val="0"/>
                                                                  <w:marTop w:val="0"/>
                                                                  <w:marBottom w:val="0"/>
                                                                  <w:divBdr>
                                                                    <w:top w:val="none" w:sz="0" w:space="0" w:color="auto"/>
                                                                    <w:left w:val="none" w:sz="0" w:space="0" w:color="auto"/>
                                                                    <w:bottom w:val="none" w:sz="0" w:space="0" w:color="auto"/>
                                                                    <w:right w:val="none" w:sz="0" w:space="0" w:color="auto"/>
                                                                  </w:divBdr>
                                                                  <w:divsChild>
                                                                    <w:div w:id="466162527">
                                                                      <w:marLeft w:val="0"/>
                                                                      <w:marRight w:val="0"/>
                                                                      <w:marTop w:val="0"/>
                                                                      <w:marBottom w:val="0"/>
                                                                      <w:divBdr>
                                                                        <w:top w:val="none" w:sz="0" w:space="0" w:color="auto"/>
                                                                        <w:left w:val="none" w:sz="0" w:space="0" w:color="auto"/>
                                                                        <w:bottom w:val="none" w:sz="0" w:space="0" w:color="auto"/>
                                                                        <w:right w:val="none" w:sz="0" w:space="0" w:color="auto"/>
                                                                      </w:divBdr>
                                                                      <w:divsChild>
                                                                        <w:div w:id="2120181988">
                                                                          <w:marLeft w:val="0"/>
                                                                          <w:marRight w:val="0"/>
                                                                          <w:marTop w:val="0"/>
                                                                          <w:marBottom w:val="0"/>
                                                                          <w:divBdr>
                                                                            <w:top w:val="none" w:sz="0" w:space="0" w:color="auto"/>
                                                                            <w:left w:val="none" w:sz="0" w:space="0" w:color="auto"/>
                                                                            <w:bottom w:val="none" w:sz="0" w:space="0" w:color="auto"/>
                                                                            <w:right w:val="none" w:sz="0" w:space="0" w:color="auto"/>
                                                                          </w:divBdr>
                                                                          <w:divsChild>
                                                                            <w:div w:id="1430470924">
                                                                              <w:marLeft w:val="0"/>
                                                                              <w:marRight w:val="0"/>
                                                                              <w:marTop w:val="0"/>
                                                                              <w:marBottom w:val="0"/>
                                                                              <w:divBdr>
                                                                                <w:top w:val="none" w:sz="0" w:space="0" w:color="auto"/>
                                                                                <w:left w:val="none" w:sz="0" w:space="0" w:color="auto"/>
                                                                                <w:bottom w:val="none" w:sz="0" w:space="0" w:color="auto"/>
                                                                                <w:right w:val="none" w:sz="0" w:space="0" w:color="auto"/>
                                                                              </w:divBdr>
                                                                              <w:divsChild>
                                                                                <w:div w:id="1347947793">
                                                                                  <w:marLeft w:val="0"/>
                                                                                  <w:marRight w:val="0"/>
                                                                                  <w:marTop w:val="0"/>
                                                                                  <w:marBottom w:val="0"/>
                                                                                  <w:divBdr>
                                                                                    <w:top w:val="none" w:sz="0" w:space="0" w:color="auto"/>
                                                                                    <w:left w:val="none" w:sz="0" w:space="0" w:color="auto"/>
                                                                                    <w:bottom w:val="none" w:sz="0" w:space="0" w:color="auto"/>
                                                                                    <w:right w:val="none" w:sz="0" w:space="0" w:color="auto"/>
                                                                                  </w:divBdr>
                                                                                  <w:divsChild>
                                                                                    <w:div w:id="1071468825">
                                                                                      <w:marLeft w:val="0"/>
                                                                                      <w:marRight w:val="0"/>
                                                                                      <w:marTop w:val="0"/>
                                                                                      <w:marBottom w:val="0"/>
                                                                                      <w:divBdr>
                                                                                        <w:top w:val="none" w:sz="0" w:space="0" w:color="auto"/>
                                                                                        <w:left w:val="none" w:sz="0" w:space="0" w:color="auto"/>
                                                                                        <w:bottom w:val="none" w:sz="0" w:space="0" w:color="auto"/>
                                                                                        <w:right w:val="none" w:sz="0" w:space="0" w:color="auto"/>
                                                                                      </w:divBdr>
                                                                                      <w:divsChild>
                                                                                        <w:div w:id="671879007">
                                                                                          <w:marLeft w:val="0"/>
                                                                                          <w:marRight w:val="0"/>
                                                                                          <w:marTop w:val="0"/>
                                                                                          <w:marBottom w:val="0"/>
                                                                                          <w:divBdr>
                                                                                            <w:top w:val="none" w:sz="0" w:space="0" w:color="auto"/>
                                                                                            <w:left w:val="none" w:sz="0" w:space="0" w:color="auto"/>
                                                                                            <w:bottom w:val="none" w:sz="0" w:space="0" w:color="auto"/>
                                                                                            <w:right w:val="none" w:sz="0" w:space="0" w:color="auto"/>
                                                                                          </w:divBdr>
                                                                                          <w:divsChild>
                                                                                            <w:div w:id="569118535">
                                                                                              <w:marLeft w:val="0"/>
                                                                                              <w:marRight w:val="0"/>
                                                                                              <w:marTop w:val="0"/>
                                                                                              <w:marBottom w:val="0"/>
                                                                                              <w:divBdr>
                                                                                                <w:top w:val="none" w:sz="0" w:space="0" w:color="auto"/>
                                                                                                <w:left w:val="none" w:sz="0" w:space="0" w:color="auto"/>
                                                                                                <w:bottom w:val="none" w:sz="0" w:space="0" w:color="auto"/>
                                                                                                <w:right w:val="none" w:sz="0" w:space="0" w:color="auto"/>
                                                                                              </w:divBdr>
                                                                                              <w:divsChild>
                                                                                                <w:div w:id="184485609">
                                                                                                  <w:marLeft w:val="0"/>
                                                                                                  <w:marRight w:val="0"/>
                                                                                                  <w:marTop w:val="0"/>
                                                                                                  <w:marBottom w:val="0"/>
                                                                                                  <w:divBdr>
                                                                                                    <w:top w:val="none" w:sz="0" w:space="0" w:color="auto"/>
                                                                                                    <w:left w:val="none" w:sz="0" w:space="0" w:color="auto"/>
                                                                                                    <w:bottom w:val="none" w:sz="0" w:space="0" w:color="auto"/>
                                                                                                    <w:right w:val="none" w:sz="0" w:space="0" w:color="auto"/>
                                                                                                  </w:divBdr>
                                                                                                  <w:divsChild>
                                                                                                    <w:div w:id="7170536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81335">
      <w:bodyDiv w:val="1"/>
      <w:marLeft w:val="0"/>
      <w:marRight w:val="0"/>
      <w:marTop w:val="0"/>
      <w:marBottom w:val="0"/>
      <w:divBdr>
        <w:top w:val="none" w:sz="0" w:space="0" w:color="auto"/>
        <w:left w:val="none" w:sz="0" w:space="0" w:color="auto"/>
        <w:bottom w:val="none" w:sz="0" w:space="0" w:color="auto"/>
        <w:right w:val="none" w:sz="0" w:space="0" w:color="auto"/>
      </w:divBdr>
    </w:div>
    <w:div w:id="97141139">
      <w:bodyDiv w:val="1"/>
      <w:marLeft w:val="0"/>
      <w:marRight w:val="0"/>
      <w:marTop w:val="0"/>
      <w:marBottom w:val="0"/>
      <w:divBdr>
        <w:top w:val="none" w:sz="0" w:space="0" w:color="auto"/>
        <w:left w:val="none" w:sz="0" w:space="0" w:color="auto"/>
        <w:bottom w:val="none" w:sz="0" w:space="0" w:color="auto"/>
        <w:right w:val="none" w:sz="0" w:space="0" w:color="auto"/>
      </w:divBdr>
    </w:div>
    <w:div w:id="137959010">
      <w:bodyDiv w:val="1"/>
      <w:marLeft w:val="0"/>
      <w:marRight w:val="0"/>
      <w:marTop w:val="0"/>
      <w:marBottom w:val="0"/>
      <w:divBdr>
        <w:top w:val="none" w:sz="0" w:space="0" w:color="auto"/>
        <w:left w:val="none" w:sz="0" w:space="0" w:color="auto"/>
        <w:bottom w:val="none" w:sz="0" w:space="0" w:color="auto"/>
        <w:right w:val="none" w:sz="0" w:space="0" w:color="auto"/>
      </w:divBdr>
    </w:div>
    <w:div w:id="162404081">
      <w:bodyDiv w:val="1"/>
      <w:marLeft w:val="0"/>
      <w:marRight w:val="0"/>
      <w:marTop w:val="0"/>
      <w:marBottom w:val="0"/>
      <w:divBdr>
        <w:top w:val="none" w:sz="0" w:space="0" w:color="auto"/>
        <w:left w:val="none" w:sz="0" w:space="0" w:color="auto"/>
        <w:bottom w:val="none" w:sz="0" w:space="0" w:color="auto"/>
        <w:right w:val="none" w:sz="0" w:space="0" w:color="auto"/>
      </w:divBdr>
    </w:div>
    <w:div w:id="178011453">
      <w:bodyDiv w:val="1"/>
      <w:marLeft w:val="0"/>
      <w:marRight w:val="0"/>
      <w:marTop w:val="0"/>
      <w:marBottom w:val="0"/>
      <w:divBdr>
        <w:top w:val="none" w:sz="0" w:space="0" w:color="auto"/>
        <w:left w:val="none" w:sz="0" w:space="0" w:color="auto"/>
        <w:bottom w:val="none" w:sz="0" w:space="0" w:color="auto"/>
        <w:right w:val="none" w:sz="0" w:space="0" w:color="auto"/>
      </w:divBdr>
      <w:divsChild>
        <w:div w:id="62456799">
          <w:marLeft w:val="0"/>
          <w:marRight w:val="0"/>
          <w:marTop w:val="0"/>
          <w:marBottom w:val="0"/>
          <w:divBdr>
            <w:top w:val="none" w:sz="0" w:space="0" w:color="auto"/>
            <w:left w:val="none" w:sz="0" w:space="0" w:color="auto"/>
            <w:bottom w:val="none" w:sz="0" w:space="0" w:color="auto"/>
            <w:right w:val="none" w:sz="0" w:space="0" w:color="auto"/>
          </w:divBdr>
          <w:divsChild>
            <w:div w:id="1891384558">
              <w:marLeft w:val="0"/>
              <w:marRight w:val="0"/>
              <w:marTop w:val="0"/>
              <w:marBottom w:val="0"/>
              <w:divBdr>
                <w:top w:val="none" w:sz="0" w:space="0" w:color="auto"/>
                <w:left w:val="none" w:sz="0" w:space="0" w:color="auto"/>
                <w:bottom w:val="none" w:sz="0" w:space="0" w:color="auto"/>
                <w:right w:val="none" w:sz="0" w:space="0" w:color="auto"/>
              </w:divBdr>
              <w:divsChild>
                <w:div w:id="252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1679">
          <w:marLeft w:val="0"/>
          <w:marRight w:val="0"/>
          <w:marTop w:val="45"/>
          <w:marBottom w:val="60"/>
          <w:divBdr>
            <w:top w:val="none" w:sz="0" w:space="0" w:color="auto"/>
            <w:left w:val="none" w:sz="0" w:space="0" w:color="auto"/>
            <w:bottom w:val="none" w:sz="0" w:space="0" w:color="auto"/>
            <w:right w:val="none" w:sz="0" w:space="0" w:color="auto"/>
          </w:divBdr>
        </w:div>
      </w:divsChild>
    </w:div>
    <w:div w:id="198861818">
      <w:bodyDiv w:val="1"/>
      <w:marLeft w:val="0"/>
      <w:marRight w:val="0"/>
      <w:marTop w:val="0"/>
      <w:marBottom w:val="0"/>
      <w:divBdr>
        <w:top w:val="none" w:sz="0" w:space="0" w:color="auto"/>
        <w:left w:val="none" w:sz="0" w:space="0" w:color="auto"/>
        <w:bottom w:val="none" w:sz="0" w:space="0" w:color="auto"/>
        <w:right w:val="none" w:sz="0" w:space="0" w:color="auto"/>
      </w:divBdr>
    </w:div>
    <w:div w:id="237447946">
      <w:bodyDiv w:val="1"/>
      <w:marLeft w:val="0"/>
      <w:marRight w:val="0"/>
      <w:marTop w:val="0"/>
      <w:marBottom w:val="0"/>
      <w:divBdr>
        <w:top w:val="none" w:sz="0" w:space="0" w:color="auto"/>
        <w:left w:val="none" w:sz="0" w:space="0" w:color="auto"/>
        <w:bottom w:val="none" w:sz="0" w:space="0" w:color="auto"/>
        <w:right w:val="none" w:sz="0" w:space="0" w:color="auto"/>
      </w:divBdr>
    </w:div>
    <w:div w:id="359941705">
      <w:bodyDiv w:val="1"/>
      <w:marLeft w:val="0"/>
      <w:marRight w:val="0"/>
      <w:marTop w:val="0"/>
      <w:marBottom w:val="0"/>
      <w:divBdr>
        <w:top w:val="none" w:sz="0" w:space="0" w:color="auto"/>
        <w:left w:val="none" w:sz="0" w:space="0" w:color="auto"/>
        <w:bottom w:val="none" w:sz="0" w:space="0" w:color="auto"/>
        <w:right w:val="none" w:sz="0" w:space="0" w:color="auto"/>
      </w:divBdr>
      <w:divsChild>
        <w:div w:id="766192127">
          <w:marLeft w:val="0"/>
          <w:marRight w:val="0"/>
          <w:marTop w:val="0"/>
          <w:marBottom w:val="0"/>
          <w:divBdr>
            <w:top w:val="none" w:sz="0" w:space="0" w:color="auto"/>
            <w:left w:val="none" w:sz="0" w:space="0" w:color="auto"/>
            <w:bottom w:val="none" w:sz="0" w:space="0" w:color="auto"/>
            <w:right w:val="none" w:sz="0" w:space="0" w:color="auto"/>
          </w:divBdr>
          <w:divsChild>
            <w:div w:id="347681530">
              <w:marLeft w:val="0"/>
              <w:marRight w:val="0"/>
              <w:marTop w:val="0"/>
              <w:marBottom w:val="0"/>
              <w:divBdr>
                <w:top w:val="none" w:sz="0" w:space="0" w:color="auto"/>
                <w:left w:val="none" w:sz="0" w:space="0" w:color="auto"/>
                <w:bottom w:val="none" w:sz="0" w:space="0" w:color="auto"/>
                <w:right w:val="none" w:sz="0" w:space="0" w:color="auto"/>
              </w:divBdr>
            </w:div>
          </w:divsChild>
        </w:div>
        <w:div w:id="428742164">
          <w:marLeft w:val="0"/>
          <w:marRight w:val="0"/>
          <w:marTop w:val="0"/>
          <w:marBottom w:val="0"/>
          <w:divBdr>
            <w:top w:val="none" w:sz="0" w:space="0" w:color="auto"/>
            <w:left w:val="none" w:sz="0" w:space="0" w:color="auto"/>
            <w:bottom w:val="none" w:sz="0" w:space="0" w:color="auto"/>
            <w:right w:val="none" w:sz="0" w:space="0" w:color="auto"/>
          </w:divBdr>
          <w:divsChild>
            <w:div w:id="660043685">
              <w:marLeft w:val="0"/>
              <w:marRight w:val="0"/>
              <w:marTop w:val="0"/>
              <w:marBottom w:val="0"/>
              <w:divBdr>
                <w:top w:val="none" w:sz="0" w:space="0" w:color="auto"/>
                <w:left w:val="none" w:sz="0" w:space="0" w:color="auto"/>
                <w:bottom w:val="none" w:sz="0" w:space="0" w:color="auto"/>
                <w:right w:val="none" w:sz="0" w:space="0" w:color="auto"/>
              </w:divBdr>
            </w:div>
          </w:divsChild>
        </w:div>
        <w:div w:id="1519200462">
          <w:marLeft w:val="0"/>
          <w:marRight w:val="0"/>
          <w:marTop w:val="0"/>
          <w:marBottom w:val="0"/>
          <w:divBdr>
            <w:top w:val="none" w:sz="0" w:space="0" w:color="auto"/>
            <w:left w:val="none" w:sz="0" w:space="0" w:color="auto"/>
            <w:bottom w:val="none" w:sz="0" w:space="0" w:color="auto"/>
            <w:right w:val="none" w:sz="0" w:space="0" w:color="auto"/>
          </w:divBdr>
          <w:divsChild>
            <w:div w:id="251625146">
              <w:marLeft w:val="0"/>
              <w:marRight w:val="0"/>
              <w:marTop w:val="0"/>
              <w:marBottom w:val="0"/>
              <w:divBdr>
                <w:top w:val="none" w:sz="0" w:space="0" w:color="auto"/>
                <w:left w:val="none" w:sz="0" w:space="0" w:color="auto"/>
                <w:bottom w:val="none" w:sz="0" w:space="0" w:color="auto"/>
                <w:right w:val="none" w:sz="0" w:space="0" w:color="auto"/>
              </w:divBdr>
            </w:div>
          </w:divsChild>
        </w:div>
        <w:div w:id="1290478796">
          <w:marLeft w:val="0"/>
          <w:marRight w:val="0"/>
          <w:marTop w:val="0"/>
          <w:marBottom w:val="0"/>
          <w:divBdr>
            <w:top w:val="none" w:sz="0" w:space="0" w:color="auto"/>
            <w:left w:val="none" w:sz="0" w:space="0" w:color="auto"/>
            <w:bottom w:val="none" w:sz="0" w:space="0" w:color="auto"/>
            <w:right w:val="none" w:sz="0" w:space="0" w:color="auto"/>
          </w:divBdr>
          <w:divsChild>
            <w:div w:id="1823934136">
              <w:marLeft w:val="0"/>
              <w:marRight w:val="0"/>
              <w:marTop w:val="0"/>
              <w:marBottom w:val="0"/>
              <w:divBdr>
                <w:top w:val="none" w:sz="0" w:space="0" w:color="auto"/>
                <w:left w:val="none" w:sz="0" w:space="0" w:color="auto"/>
                <w:bottom w:val="none" w:sz="0" w:space="0" w:color="auto"/>
                <w:right w:val="none" w:sz="0" w:space="0" w:color="auto"/>
              </w:divBdr>
            </w:div>
          </w:divsChild>
        </w:div>
        <w:div w:id="1247573309">
          <w:marLeft w:val="0"/>
          <w:marRight w:val="0"/>
          <w:marTop w:val="0"/>
          <w:marBottom w:val="0"/>
          <w:divBdr>
            <w:top w:val="none" w:sz="0" w:space="0" w:color="auto"/>
            <w:left w:val="none" w:sz="0" w:space="0" w:color="auto"/>
            <w:bottom w:val="none" w:sz="0" w:space="0" w:color="auto"/>
            <w:right w:val="none" w:sz="0" w:space="0" w:color="auto"/>
          </w:divBdr>
          <w:divsChild>
            <w:div w:id="695816189">
              <w:marLeft w:val="0"/>
              <w:marRight w:val="0"/>
              <w:marTop w:val="0"/>
              <w:marBottom w:val="0"/>
              <w:divBdr>
                <w:top w:val="none" w:sz="0" w:space="0" w:color="auto"/>
                <w:left w:val="none" w:sz="0" w:space="0" w:color="auto"/>
                <w:bottom w:val="none" w:sz="0" w:space="0" w:color="auto"/>
                <w:right w:val="none" w:sz="0" w:space="0" w:color="auto"/>
              </w:divBdr>
            </w:div>
          </w:divsChild>
        </w:div>
        <w:div w:id="1517619269">
          <w:marLeft w:val="0"/>
          <w:marRight w:val="0"/>
          <w:marTop w:val="0"/>
          <w:marBottom w:val="0"/>
          <w:divBdr>
            <w:top w:val="none" w:sz="0" w:space="0" w:color="auto"/>
            <w:left w:val="none" w:sz="0" w:space="0" w:color="auto"/>
            <w:bottom w:val="none" w:sz="0" w:space="0" w:color="auto"/>
            <w:right w:val="none" w:sz="0" w:space="0" w:color="auto"/>
          </w:divBdr>
          <w:divsChild>
            <w:div w:id="12837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54763">
      <w:bodyDiv w:val="1"/>
      <w:marLeft w:val="0"/>
      <w:marRight w:val="0"/>
      <w:marTop w:val="0"/>
      <w:marBottom w:val="0"/>
      <w:divBdr>
        <w:top w:val="none" w:sz="0" w:space="0" w:color="auto"/>
        <w:left w:val="none" w:sz="0" w:space="0" w:color="auto"/>
        <w:bottom w:val="none" w:sz="0" w:space="0" w:color="auto"/>
        <w:right w:val="none" w:sz="0" w:space="0" w:color="auto"/>
      </w:divBdr>
    </w:div>
    <w:div w:id="410470721">
      <w:bodyDiv w:val="1"/>
      <w:marLeft w:val="0"/>
      <w:marRight w:val="0"/>
      <w:marTop w:val="0"/>
      <w:marBottom w:val="0"/>
      <w:divBdr>
        <w:top w:val="none" w:sz="0" w:space="0" w:color="auto"/>
        <w:left w:val="none" w:sz="0" w:space="0" w:color="auto"/>
        <w:bottom w:val="none" w:sz="0" w:space="0" w:color="auto"/>
        <w:right w:val="none" w:sz="0" w:space="0" w:color="auto"/>
      </w:divBdr>
    </w:div>
    <w:div w:id="427579856">
      <w:bodyDiv w:val="1"/>
      <w:marLeft w:val="0"/>
      <w:marRight w:val="0"/>
      <w:marTop w:val="0"/>
      <w:marBottom w:val="0"/>
      <w:divBdr>
        <w:top w:val="none" w:sz="0" w:space="0" w:color="auto"/>
        <w:left w:val="none" w:sz="0" w:space="0" w:color="auto"/>
        <w:bottom w:val="none" w:sz="0" w:space="0" w:color="auto"/>
        <w:right w:val="none" w:sz="0" w:space="0" w:color="auto"/>
      </w:divBdr>
      <w:divsChild>
        <w:div w:id="1236892314">
          <w:marLeft w:val="0"/>
          <w:marRight w:val="0"/>
          <w:marTop w:val="0"/>
          <w:marBottom w:val="0"/>
          <w:divBdr>
            <w:top w:val="none" w:sz="0" w:space="0" w:color="auto"/>
            <w:left w:val="none" w:sz="0" w:space="0" w:color="auto"/>
            <w:bottom w:val="none" w:sz="0" w:space="0" w:color="auto"/>
            <w:right w:val="none" w:sz="0" w:space="0" w:color="auto"/>
          </w:divBdr>
          <w:divsChild>
            <w:div w:id="1993945574">
              <w:marLeft w:val="0"/>
              <w:marRight w:val="0"/>
              <w:marTop w:val="0"/>
              <w:marBottom w:val="0"/>
              <w:divBdr>
                <w:top w:val="none" w:sz="0" w:space="0" w:color="auto"/>
                <w:left w:val="none" w:sz="0" w:space="0" w:color="auto"/>
                <w:bottom w:val="none" w:sz="0" w:space="0" w:color="auto"/>
                <w:right w:val="none" w:sz="0" w:space="0" w:color="auto"/>
              </w:divBdr>
            </w:div>
          </w:divsChild>
        </w:div>
        <w:div w:id="1379864700">
          <w:marLeft w:val="0"/>
          <w:marRight w:val="0"/>
          <w:marTop w:val="45"/>
          <w:marBottom w:val="60"/>
          <w:divBdr>
            <w:top w:val="none" w:sz="0" w:space="0" w:color="auto"/>
            <w:left w:val="none" w:sz="0" w:space="0" w:color="auto"/>
            <w:bottom w:val="none" w:sz="0" w:space="0" w:color="auto"/>
            <w:right w:val="none" w:sz="0" w:space="0" w:color="auto"/>
          </w:divBdr>
        </w:div>
      </w:divsChild>
    </w:div>
    <w:div w:id="457339646">
      <w:bodyDiv w:val="1"/>
      <w:marLeft w:val="0"/>
      <w:marRight w:val="0"/>
      <w:marTop w:val="0"/>
      <w:marBottom w:val="0"/>
      <w:divBdr>
        <w:top w:val="none" w:sz="0" w:space="0" w:color="auto"/>
        <w:left w:val="none" w:sz="0" w:space="0" w:color="auto"/>
        <w:bottom w:val="none" w:sz="0" w:space="0" w:color="auto"/>
        <w:right w:val="none" w:sz="0" w:space="0" w:color="auto"/>
      </w:divBdr>
    </w:div>
    <w:div w:id="518932344">
      <w:bodyDiv w:val="1"/>
      <w:marLeft w:val="0"/>
      <w:marRight w:val="0"/>
      <w:marTop w:val="0"/>
      <w:marBottom w:val="0"/>
      <w:divBdr>
        <w:top w:val="none" w:sz="0" w:space="0" w:color="auto"/>
        <w:left w:val="none" w:sz="0" w:space="0" w:color="auto"/>
        <w:bottom w:val="none" w:sz="0" w:space="0" w:color="auto"/>
        <w:right w:val="none" w:sz="0" w:space="0" w:color="auto"/>
      </w:divBdr>
    </w:div>
    <w:div w:id="546796159">
      <w:bodyDiv w:val="1"/>
      <w:marLeft w:val="0"/>
      <w:marRight w:val="0"/>
      <w:marTop w:val="0"/>
      <w:marBottom w:val="0"/>
      <w:divBdr>
        <w:top w:val="none" w:sz="0" w:space="0" w:color="auto"/>
        <w:left w:val="none" w:sz="0" w:space="0" w:color="auto"/>
        <w:bottom w:val="none" w:sz="0" w:space="0" w:color="auto"/>
        <w:right w:val="none" w:sz="0" w:space="0" w:color="auto"/>
      </w:divBdr>
      <w:divsChild>
        <w:div w:id="44567687">
          <w:marLeft w:val="0"/>
          <w:marRight w:val="0"/>
          <w:marTop w:val="0"/>
          <w:marBottom w:val="0"/>
          <w:divBdr>
            <w:top w:val="none" w:sz="0" w:space="0" w:color="auto"/>
            <w:left w:val="none" w:sz="0" w:space="0" w:color="auto"/>
            <w:bottom w:val="none" w:sz="0" w:space="0" w:color="auto"/>
            <w:right w:val="none" w:sz="0" w:space="0" w:color="auto"/>
          </w:divBdr>
          <w:divsChild>
            <w:div w:id="1843621672">
              <w:marLeft w:val="0"/>
              <w:marRight w:val="0"/>
              <w:marTop w:val="0"/>
              <w:marBottom w:val="0"/>
              <w:divBdr>
                <w:top w:val="none" w:sz="0" w:space="0" w:color="auto"/>
                <w:left w:val="none" w:sz="0" w:space="0" w:color="auto"/>
                <w:bottom w:val="none" w:sz="0" w:space="0" w:color="auto"/>
                <w:right w:val="none" w:sz="0" w:space="0" w:color="auto"/>
              </w:divBdr>
              <w:divsChild>
                <w:div w:id="10946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4149">
          <w:marLeft w:val="0"/>
          <w:marRight w:val="0"/>
          <w:marTop w:val="0"/>
          <w:marBottom w:val="60"/>
          <w:divBdr>
            <w:top w:val="none" w:sz="0" w:space="0" w:color="auto"/>
            <w:left w:val="none" w:sz="0" w:space="0" w:color="auto"/>
            <w:bottom w:val="none" w:sz="0" w:space="0" w:color="auto"/>
            <w:right w:val="none" w:sz="0" w:space="0" w:color="auto"/>
          </w:divBdr>
        </w:div>
      </w:divsChild>
    </w:div>
    <w:div w:id="603342082">
      <w:bodyDiv w:val="1"/>
      <w:marLeft w:val="0"/>
      <w:marRight w:val="0"/>
      <w:marTop w:val="0"/>
      <w:marBottom w:val="0"/>
      <w:divBdr>
        <w:top w:val="none" w:sz="0" w:space="0" w:color="auto"/>
        <w:left w:val="none" w:sz="0" w:space="0" w:color="auto"/>
        <w:bottom w:val="none" w:sz="0" w:space="0" w:color="auto"/>
        <w:right w:val="none" w:sz="0" w:space="0" w:color="auto"/>
      </w:divBdr>
    </w:div>
    <w:div w:id="649215932">
      <w:bodyDiv w:val="1"/>
      <w:marLeft w:val="0"/>
      <w:marRight w:val="0"/>
      <w:marTop w:val="0"/>
      <w:marBottom w:val="0"/>
      <w:divBdr>
        <w:top w:val="none" w:sz="0" w:space="0" w:color="auto"/>
        <w:left w:val="none" w:sz="0" w:space="0" w:color="auto"/>
        <w:bottom w:val="none" w:sz="0" w:space="0" w:color="auto"/>
        <w:right w:val="none" w:sz="0" w:space="0" w:color="auto"/>
      </w:divBdr>
    </w:div>
    <w:div w:id="748621120">
      <w:bodyDiv w:val="1"/>
      <w:marLeft w:val="0"/>
      <w:marRight w:val="0"/>
      <w:marTop w:val="0"/>
      <w:marBottom w:val="0"/>
      <w:divBdr>
        <w:top w:val="none" w:sz="0" w:space="0" w:color="auto"/>
        <w:left w:val="none" w:sz="0" w:space="0" w:color="auto"/>
        <w:bottom w:val="none" w:sz="0" w:space="0" w:color="auto"/>
        <w:right w:val="none" w:sz="0" w:space="0" w:color="auto"/>
      </w:divBdr>
      <w:divsChild>
        <w:div w:id="983194755">
          <w:marLeft w:val="0"/>
          <w:marRight w:val="0"/>
          <w:marTop w:val="2250"/>
          <w:marBottom w:val="0"/>
          <w:divBdr>
            <w:top w:val="none" w:sz="0" w:space="0" w:color="auto"/>
            <w:left w:val="none" w:sz="0" w:space="0" w:color="auto"/>
            <w:bottom w:val="none" w:sz="0" w:space="0" w:color="auto"/>
            <w:right w:val="none" w:sz="0" w:space="0" w:color="auto"/>
          </w:divBdr>
          <w:divsChild>
            <w:div w:id="352729404">
              <w:marLeft w:val="0"/>
              <w:marRight w:val="0"/>
              <w:marTop w:val="0"/>
              <w:marBottom w:val="0"/>
              <w:divBdr>
                <w:top w:val="none" w:sz="0" w:space="0" w:color="auto"/>
                <w:left w:val="none" w:sz="0" w:space="0" w:color="auto"/>
                <w:bottom w:val="none" w:sz="0" w:space="0" w:color="auto"/>
                <w:right w:val="none" w:sz="0" w:space="0" w:color="auto"/>
              </w:divBdr>
            </w:div>
          </w:divsChild>
        </w:div>
        <w:div w:id="2034501076">
          <w:marLeft w:val="0"/>
          <w:marRight w:val="0"/>
          <w:marTop w:val="0"/>
          <w:marBottom w:val="0"/>
          <w:divBdr>
            <w:top w:val="none" w:sz="0" w:space="0" w:color="auto"/>
            <w:left w:val="none" w:sz="0" w:space="0" w:color="auto"/>
            <w:bottom w:val="none" w:sz="0" w:space="0" w:color="auto"/>
            <w:right w:val="none" w:sz="0" w:space="0" w:color="auto"/>
          </w:divBdr>
        </w:div>
      </w:divsChild>
    </w:div>
    <w:div w:id="770858238">
      <w:bodyDiv w:val="1"/>
      <w:marLeft w:val="0"/>
      <w:marRight w:val="0"/>
      <w:marTop w:val="0"/>
      <w:marBottom w:val="0"/>
      <w:divBdr>
        <w:top w:val="none" w:sz="0" w:space="0" w:color="auto"/>
        <w:left w:val="none" w:sz="0" w:space="0" w:color="auto"/>
        <w:bottom w:val="none" w:sz="0" w:space="0" w:color="auto"/>
        <w:right w:val="none" w:sz="0" w:space="0" w:color="auto"/>
      </w:divBdr>
    </w:div>
    <w:div w:id="796605273">
      <w:bodyDiv w:val="1"/>
      <w:marLeft w:val="0"/>
      <w:marRight w:val="0"/>
      <w:marTop w:val="0"/>
      <w:marBottom w:val="0"/>
      <w:divBdr>
        <w:top w:val="none" w:sz="0" w:space="0" w:color="auto"/>
        <w:left w:val="none" w:sz="0" w:space="0" w:color="auto"/>
        <w:bottom w:val="none" w:sz="0" w:space="0" w:color="auto"/>
        <w:right w:val="none" w:sz="0" w:space="0" w:color="auto"/>
      </w:divBdr>
    </w:div>
    <w:div w:id="851148674">
      <w:bodyDiv w:val="1"/>
      <w:marLeft w:val="0"/>
      <w:marRight w:val="0"/>
      <w:marTop w:val="0"/>
      <w:marBottom w:val="0"/>
      <w:divBdr>
        <w:top w:val="none" w:sz="0" w:space="0" w:color="auto"/>
        <w:left w:val="none" w:sz="0" w:space="0" w:color="auto"/>
        <w:bottom w:val="none" w:sz="0" w:space="0" w:color="auto"/>
        <w:right w:val="none" w:sz="0" w:space="0" w:color="auto"/>
      </w:divBdr>
      <w:divsChild>
        <w:div w:id="881207455">
          <w:marLeft w:val="0"/>
          <w:marRight w:val="0"/>
          <w:marTop w:val="45"/>
          <w:marBottom w:val="60"/>
          <w:divBdr>
            <w:top w:val="none" w:sz="0" w:space="0" w:color="auto"/>
            <w:left w:val="none" w:sz="0" w:space="0" w:color="auto"/>
            <w:bottom w:val="none" w:sz="0" w:space="0" w:color="auto"/>
            <w:right w:val="none" w:sz="0" w:space="0" w:color="auto"/>
          </w:divBdr>
        </w:div>
        <w:div w:id="1579755174">
          <w:marLeft w:val="0"/>
          <w:marRight w:val="0"/>
          <w:marTop w:val="0"/>
          <w:marBottom w:val="0"/>
          <w:divBdr>
            <w:top w:val="none" w:sz="0" w:space="0" w:color="auto"/>
            <w:left w:val="none" w:sz="0" w:space="0" w:color="auto"/>
            <w:bottom w:val="none" w:sz="0" w:space="0" w:color="auto"/>
            <w:right w:val="none" w:sz="0" w:space="0" w:color="auto"/>
          </w:divBdr>
          <w:divsChild>
            <w:div w:id="177889015">
              <w:marLeft w:val="0"/>
              <w:marRight w:val="0"/>
              <w:marTop w:val="0"/>
              <w:marBottom w:val="0"/>
              <w:divBdr>
                <w:top w:val="none" w:sz="0" w:space="0" w:color="auto"/>
                <w:left w:val="none" w:sz="0" w:space="0" w:color="auto"/>
                <w:bottom w:val="none" w:sz="0" w:space="0" w:color="auto"/>
                <w:right w:val="none" w:sz="0" w:space="0" w:color="auto"/>
              </w:divBdr>
              <w:divsChild>
                <w:div w:id="16893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82746">
      <w:bodyDiv w:val="1"/>
      <w:marLeft w:val="0"/>
      <w:marRight w:val="0"/>
      <w:marTop w:val="0"/>
      <w:marBottom w:val="0"/>
      <w:divBdr>
        <w:top w:val="none" w:sz="0" w:space="0" w:color="auto"/>
        <w:left w:val="none" w:sz="0" w:space="0" w:color="auto"/>
        <w:bottom w:val="none" w:sz="0" w:space="0" w:color="auto"/>
        <w:right w:val="none" w:sz="0" w:space="0" w:color="auto"/>
      </w:divBdr>
      <w:divsChild>
        <w:div w:id="667170156">
          <w:marLeft w:val="0"/>
          <w:marRight w:val="0"/>
          <w:marTop w:val="0"/>
          <w:marBottom w:val="0"/>
          <w:divBdr>
            <w:top w:val="none" w:sz="0" w:space="0" w:color="auto"/>
            <w:left w:val="none" w:sz="0" w:space="0" w:color="auto"/>
            <w:bottom w:val="none" w:sz="0" w:space="0" w:color="auto"/>
            <w:right w:val="none" w:sz="0" w:space="0" w:color="auto"/>
          </w:divBdr>
          <w:divsChild>
            <w:div w:id="1747149462">
              <w:marLeft w:val="0"/>
              <w:marRight w:val="0"/>
              <w:marTop w:val="0"/>
              <w:marBottom w:val="0"/>
              <w:divBdr>
                <w:top w:val="none" w:sz="0" w:space="0" w:color="auto"/>
                <w:left w:val="none" w:sz="0" w:space="0" w:color="auto"/>
                <w:bottom w:val="none" w:sz="0" w:space="0" w:color="auto"/>
                <w:right w:val="none" w:sz="0" w:space="0" w:color="auto"/>
              </w:divBdr>
              <w:divsChild>
                <w:div w:id="251744851">
                  <w:marLeft w:val="0"/>
                  <w:marRight w:val="0"/>
                  <w:marTop w:val="0"/>
                  <w:marBottom w:val="0"/>
                  <w:divBdr>
                    <w:top w:val="none" w:sz="0" w:space="0" w:color="auto"/>
                    <w:left w:val="none" w:sz="0" w:space="0" w:color="auto"/>
                    <w:bottom w:val="none" w:sz="0" w:space="0" w:color="auto"/>
                    <w:right w:val="none" w:sz="0" w:space="0" w:color="auto"/>
                  </w:divBdr>
                  <w:divsChild>
                    <w:div w:id="160472681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30122">
          <w:marLeft w:val="0"/>
          <w:marRight w:val="0"/>
          <w:marTop w:val="0"/>
          <w:marBottom w:val="0"/>
          <w:divBdr>
            <w:top w:val="none" w:sz="0" w:space="0" w:color="auto"/>
            <w:left w:val="none" w:sz="0" w:space="0" w:color="auto"/>
            <w:bottom w:val="none" w:sz="0" w:space="0" w:color="auto"/>
            <w:right w:val="none" w:sz="0" w:space="0" w:color="auto"/>
          </w:divBdr>
          <w:divsChild>
            <w:div w:id="2485879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880704991">
      <w:bodyDiv w:val="1"/>
      <w:marLeft w:val="0"/>
      <w:marRight w:val="0"/>
      <w:marTop w:val="0"/>
      <w:marBottom w:val="0"/>
      <w:divBdr>
        <w:top w:val="none" w:sz="0" w:space="0" w:color="auto"/>
        <w:left w:val="none" w:sz="0" w:space="0" w:color="auto"/>
        <w:bottom w:val="none" w:sz="0" w:space="0" w:color="auto"/>
        <w:right w:val="none" w:sz="0" w:space="0" w:color="auto"/>
      </w:divBdr>
      <w:divsChild>
        <w:div w:id="166095707">
          <w:marLeft w:val="75"/>
          <w:marRight w:val="0"/>
          <w:marTop w:val="0"/>
          <w:marBottom w:val="0"/>
          <w:divBdr>
            <w:top w:val="none" w:sz="0" w:space="0" w:color="auto"/>
            <w:left w:val="none" w:sz="0" w:space="0" w:color="auto"/>
            <w:bottom w:val="none" w:sz="0" w:space="0" w:color="auto"/>
            <w:right w:val="none" w:sz="0" w:space="0" w:color="auto"/>
          </w:divBdr>
        </w:div>
        <w:div w:id="194395598">
          <w:marLeft w:val="75"/>
          <w:marRight w:val="0"/>
          <w:marTop w:val="0"/>
          <w:marBottom w:val="0"/>
          <w:divBdr>
            <w:top w:val="none" w:sz="0" w:space="0" w:color="auto"/>
            <w:left w:val="none" w:sz="0" w:space="0" w:color="auto"/>
            <w:bottom w:val="none" w:sz="0" w:space="0" w:color="auto"/>
            <w:right w:val="none" w:sz="0" w:space="0" w:color="auto"/>
          </w:divBdr>
        </w:div>
        <w:div w:id="705831248">
          <w:marLeft w:val="75"/>
          <w:marRight w:val="0"/>
          <w:marTop w:val="0"/>
          <w:marBottom w:val="0"/>
          <w:divBdr>
            <w:top w:val="none" w:sz="0" w:space="0" w:color="auto"/>
            <w:left w:val="none" w:sz="0" w:space="0" w:color="auto"/>
            <w:bottom w:val="none" w:sz="0" w:space="0" w:color="auto"/>
            <w:right w:val="none" w:sz="0" w:space="0" w:color="auto"/>
          </w:divBdr>
        </w:div>
        <w:div w:id="745804643">
          <w:marLeft w:val="75"/>
          <w:marRight w:val="0"/>
          <w:marTop w:val="0"/>
          <w:marBottom w:val="0"/>
          <w:divBdr>
            <w:top w:val="none" w:sz="0" w:space="0" w:color="auto"/>
            <w:left w:val="none" w:sz="0" w:space="0" w:color="auto"/>
            <w:bottom w:val="none" w:sz="0" w:space="0" w:color="auto"/>
            <w:right w:val="none" w:sz="0" w:space="0" w:color="auto"/>
          </w:divBdr>
        </w:div>
        <w:div w:id="915942539">
          <w:marLeft w:val="75"/>
          <w:marRight w:val="0"/>
          <w:marTop w:val="0"/>
          <w:marBottom w:val="0"/>
          <w:divBdr>
            <w:top w:val="none" w:sz="0" w:space="0" w:color="auto"/>
            <w:left w:val="none" w:sz="0" w:space="0" w:color="auto"/>
            <w:bottom w:val="none" w:sz="0" w:space="0" w:color="auto"/>
            <w:right w:val="none" w:sz="0" w:space="0" w:color="auto"/>
          </w:divBdr>
        </w:div>
        <w:div w:id="972907130">
          <w:marLeft w:val="75"/>
          <w:marRight w:val="0"/>
          <w:marTop w:val="0"/>
          <w:marBottom w:val="0"/>
          <w:divBdr>
            <w:top w:val="none" w:sz="0" w:space="0" w:color="auto"/>
            <w:left w:val="none" w:sz="0" w:space="0" w:color="auto"/>
            <w:bottom w:val="none" w:sz="0" w:space="0" w:color="auto"/>
            <w:right w:val="none" w:sz="0" w:space="0" w:color="auto"/>
          </w:divBdr>
        </w:div>
        <w:div w:id="1089235379">
          <w:marLeft w:val="75"/>
          <w:marRight w:val="0"/>
          <w:marTop w:val="0"/>
          <w:marBottom w:val="0"/>
          <w:divBdr>
            <w:top w:val="none" w:sz="0" w:space="0" w:color="auto"/>
            <w:left w:val="none" w:sz="0" w:space="0" w:color="auto"/>
            <w:bottom w:val="none" w:sz="0" w:space="0" w:color="auto"/>
            <w:right w:val="none" w:sz="0" w:space="0" w:color="auto"/>
          </w:divBdr>
        </w:div>
        <w:div w:id="1128628102">
          <w:marLeft w:val="75"/>
          <w:marRight w:val="0"/>
          <w:marTop w:val="0"/>
          <w:marBottom w:val="0"/>
          <w:divBdr>
            <w:top w:val="none" w:sz="0" w:space="0" w:color="auto"/>
            <w:left w:val="none" w:sz="0" w:space="0" w:color="auto"/>
            <w:bottom w:val="none" w:sz="0" w:space="0" w:color="auto"/>
            <w:right w:val="none" w:sz="0" w:space="0" w:color="auto"/>
          </w:divBdr>
        </w:div>
        <w:div w:id="1193959235">
          <w:marLeft w:val="75"/>
          <w:marRight w:val="0"/>
          <w:marTop w:val="0"/>
          <w:marBottom w:val="0"/>
          <w:divBdr>
            <w:top w:val="none" w:sz="0" w:space="0" w:color="auto"/>
            <w:left w:val="none" w:sz="0" w:space="0" w:color="auto"/>
            <w:bottom w:val="none" w:sz="0" w:space="0" w:color="auto"/>
            <w:right w:val="none" w:sz="0" w:space="0" w:color="auto"/>
          </w:divBdr>
        </w:div>
        <w:div w:id="1231303734">
          <w:marLeft w:val="75"/>
          <w:marRight w:val="0"/>
          <w:marTop w:val="0"/>
          <w:marBottom w:val="0"/>
          <w:divBdr>
            <w:top w:val="none" w:sz="0" w:space="0" w:color="auto"/>
            <w:left w:val="none" w:sz="0" w:space="0" w:color="auto"/>
            <w:bottom w:val="none" w:sz="0" w:space="0" w:color="auto"/>
            <w:right w:val="none" w:sz="0" w:space="0" w:color="auto"/>
          </w:divBdr>
        </w:div>
        <w:div w:id="1772236538">
          <w:marLeft w:val="75"/>
          <w:marRight w:val="0"/>
          <w:marTop w:val="0"/>
          <w:marBottom w:val="0"/>
          <w:divBdr>
            <w:top w:val="none" w:sz="0" w:space="0" w:color="auto"/>
            <w:left w:val="none" w:sz="0" w:space="0" w:color="auto"/>
            <w:bottom w:val="none" w:sz="0" w:space="0" w:color="auto"/>
            <w:right w:val="none" w:sz="0" w:space="0" w:color="auto"/>
          </w:divBdr>
        </w:div>
        <w:div w:id="1791898804">
          <w:marLeft w:val="75"/>
          <w:marRight w:val="0"/>
          <w:marTop w:val="0"/>
          <w:marBottom w:val="0"/>
          <w:divBdr>
            <w:top w:val="none" w:sz="0" w:space="0" w:color="auto"/>
            <w:left w:val="none" w:sz="0" w:space="0" w:color="auto"/>
            <w:bottom w:val="none" w:sz="0" w:space="0" w:color="auto"/>
            <w:right w:val="none" w:sz="0" w:space="0" w:color="auto"/>
          </w:divBdr>
        </w:div>
        <w:div w:id="1851410796">
          <w:marLeft w:val="75"/>
          <w:marRight w:val="0"/>
          <w:marTop w:val="0"/>
          <w:marBottom w:val="0"/>
          <w:divBdr>
            <w:top w:val="none" w:sz="0" w:space="0" w:color="auto"/>
            <w:left w:val="none" w:sz="0" w:space="0" w:color="auto"/>
            <w:bottom w:val="none" w:sz="0" w:space="0" w:color="auto"/>
            <w:right w:val="none" w:sz="0" w:space="0" w:color="auto"/>
          </w:divBdr>
        </w:div>
        <w:div w:id="1958367393">
          <w:marLeft w:val="75"/>
          <w:marRight w:val="0"/>
          <w:marTop w:val="0"/>
          <w:marBottom w:val="0"/>
          <w:divBdr>
            <w:top w:val="none" w:sz="0" w:space="0" w:color="auto"/>
            <w:left w:val="none" w:sz="0" w:space="0" w:color="auto"/>
            <w:bottom w:val="none" w:sz="0" w:space="0" w:color="auto"/>
            <w:right w:val="none" w:sz="0" w:space="0" w:color="auto"/>
          </w:divBdr>
        </w:div>
        <w:div w:id="2107770731">
          <w:marLeft w:val="75"/>
          <w:marRight w:val="0"/>
          <w:marTop w:val="0"/>
          <w:marBottom w:val="0"/>
          <w:divBdr>
            <w:top w:val="none" w:sz="0" w:space="0" w:color="auto"/>
            <w:left w:val="none" w:sz="0" w:space="0" w:color="auto"/>
            <w:bottom w:val="none" w:sz="0" w:space="0" w:color="auto"/>
            <w:right w:val="none" w:sz="0" w:space="0" w:color="auto"/>
          </w:divBdr>
        </w:div>
      </w:divsChild>
    </w:div>
    <w:div w:id="909851153">
      <w:bodyDiv w:val="1"/>
      <w:marLeft w:val="0"/>
      <w:marRight w:val="0"/>
      <w:marTop w:val="0"/>
      <w:marBottom w:val="0"/>
      <w:divBdr>
        <w:top w:val="none" w:sz="0" w:space="0" w:color="auto"/>
        <w:left w:val="none" w:sz="0" w:space="0" w:color="auto"/>
        <w:bottom w:val="none" w:sz="0" w:space="0" w:color="auto"/>
        <w:right w:val="none" w:sz="0" w:space="0" w:color="auto"/>
      </w:divBdr>
    </w:div>
    <w:div w:id="909853853">
      <w:bodyDiv w:val="1"/>
      <w:marLeft w:val="0"/>
      <w:marRight w:val="0"/>
      <w:marTop w:val="0"/>
      <w:marBottom w:val="0"/>
      <w:divBdr>
        <w:top w:val="none" w:sz="0" w:space="0" w:color="auto"/>
        <w:left w:val="none" w:sz="0" w:space="0" w:color="auto"/>
        <w:bottom w:val="none" w:sz="0" w:space="0" w:color="auto"/>
        <w:right w:val="none" w:sz="0" w:space="0" w:color="auto"/>
      </w:divBdr>
      <w:divsChild>
        <w:div w:id="542329685">
          <w:marLeft w:val="0"/>
          <w:marRight w:val="0"/>
          <w:marTop w:val="300"/>
          <w:marBottom w:val="150"/>
          <w:divBdr>
            <w:top w:val="none" w:sz="0" w:space="0" w:color="auto"/>
            <w:left w:val="none" w:sz="0" w:space="0" w:color="auto"/>
            <w:bottom w:val="none" w:sz="0" w:space="0" w:color="auto"/>
            <w:right w:val="none" w:sz="0" w:space="0" w:color="auto"/>
          </w:divBdr>
        </w:div>
        <w:div w:id="855002139">
          <w:marLeft w:val="0"/>
          <w:marRight w:val="0"/>
          <w:marTop w:val="0"/>
          <w:marBottom w:val="0"/>
          <w:divBdr>
            <w:top w:val="none" w:sz="0" w:space="0" w:color="auto"/>
            <w:left w:val="none" w:sz="0" w:space="0" w:color="auto"/>
            <w:bottom w:val="none" w:sz="0" w:space="0" w:color="auto"/>
            <w:right w:val="none" w:sz="0" w:space="0" w:color="auto"/>
          </w:divBdr>
          <w:divsChild>
            <w:div w:id="1560021731">
              <w:marLeft w:val="0"/>
              <w:marRight w:val="0"/>
              <w:marTop w:val="0"/>
              <w:marBottom w:val="0"/>
              <w:divBdr>
                <w:top w:val="none" w:sz="0" w:space="0" w:color="auto"/>
                <w:left w:val="none" w:sz="0" w:space="0" w:color="auto"/>
                <w:bottom w:val="none" w:sz="0" w:space="0" w:color="auto"/>
                <w:right w:val="none" w:sz="0" w:space="0" w:color="auto"/>
              </w:divBdr>
              <w:divsChild>
                <w:div w:id="1545753365">
                  <w:marLeft w:val="0"/>
                  <w:marRight w:val="0"/>
                  <w:marTop w:val="0"/>
                  <w:marBottom w:val="0"/>
                  <w:divBdr>
                    <w:top w:val="none" w:sz="0" w:space="0" w:color="auto"/>
                    <w:left w:val="none" w:sz="0" w:space="0" w:color="auto"/>
                    <w:bottom w:val="none" w:sz="0" w:space="0" w:color="auto"/>
                    <w:right w:val="none" w:sz="0" w:space="0" w:color="auto"/>
                  </w:divBdr>
                  <w:divsChild>
                    <w:div w:id="773553386">
                      <w:marLeft w:val="0"/>
                      <w:marRight w:val="0"/>
                      <w:marTop w:val="0"/>
                      <w:marBottom w:val="0"/>
                      <w:divBdr>
                        <w:top w:val="none" w:sz="0" w:space="0" w:color="auto"/>
                        <w:left w:val="none" w:sz="0" w:space="0" w:color="auto"/>
                        <w:bottom w:val="none" w:sz="0" w:space="0" w:color="auto"/>
                        <w:right w:val="none" w:sz="0" w:space="0" w:color="auto"/>
                      </w:divBdr>
                      <w:divsChild>
                        <w:div w:id="1930506011">
                          <w:marLeft w:val="0"/>
                          <w:marRight w:val="0"/>
                          <w:marTop w:val="0"/>
                          <w:marBottom w:val="0"/>
                          <w:divBdr>
                            <w:top w:val="none" w:sz="0" w:space="0" w:color="auto"/>
                            <w:left w:val="none" w:sz="0" w:space="0" w:color="auto"/>
                            <w:bottom w:val="none" w:sz="0" w:space="0" w:color="auto"/>
                            <w:right w:val="none" w:sz="0" w:space="0" w:color="auto"/>
                          </w:divBdr>
                          <w:divsChild>
                            <w:div w:id="1090812466">
                              <w:marLeft w:val="0"/>
                              <w:marRight w:val="0"/>
                              <w:marTop w:val="0"/>
                              <w:marBottom w:val="0"/>
                              <w:divBdr>
                                <w:top w:val="none" w:sz="0" w:space="0" w:color="auto"/>
                                <w:left w:val="none" w:sz="0" w:space="0" w:color="auto"/>
                                <w:bottom w:val="none" w:sz="0" w:space="0" w:color="auto"/>
                                <w:right w:val="none" w:sz="0" w:space="0" w:color="auto"/>
                              </w:divBdr>
                              <w:divsChild>
                                <w:div w:id="607202239">
                                  <w:marLeft w:val="0"/>
                                  <w:marRight w:val="0"/>
                                  <w:marTop w:val="0"/>
                                  <w:marBottom w:val="0"/>
                                  <w:divBdr>
                                    <w:top w:val="none" w:sz="0" w:space="0" w:color="EDEBE9"/>
                                    <w:left w:val="none" w:sz="0" w:space="3" w:color="EDEBE9"/>
                                    <w:bottom w:val="single" w:sz="6" w:space="0" w:color="EDEBE9"/>
                                    <w:right w:val="none" w:sz="0" w:space="3" w:color="EDEBE9"/>
                                  </w:divBdr>
                                  <w:divsChild>
                                    <w:div w:id="1178543197">
                                      <w:marLeft w:val="60"/>
                                      <w:marRight w:val="60"/>
                                      <w:marTop w:val="0"/>
                                      <w:marBottom w:val="0"/>
                                      <w:divBdr>
                                        <w:top w:val="none" w:sz="0" w:space="0" w:color="auto"/>
                                        <w:left w:val="none" w:sz="0" w:space="0" w:color="auto"/>
                                        <w:bottom w:val="none" w:sz="0" w:space="0" w:color="auto"/>
                                        <w:right w:val="none" w:sz="0" w:space="0" w:color="auto"/>
                                      </w:divBdr>
                                      <w:divsChild>
                                        <w:div w:id="6363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3276756">
      <w:bodyDiv w:val="1"/>
      <w:marLeft w:val="0"/>
      <w:marRight w:val="0"/>
      <w:marTop w:val="0"/>
      <w:marBottom w:val="0"/>
      <w:divBdr>
        <w:top w:val="none" w:sz="0" w:space="0" w:color="auto"/>
        <w:left w:val="none" w:sz="0" w:space="0" w:color="auto"/>
        <w:bottom w:val="none" w:sz="0" w:space="0" w:color="auto"/>
        <w:right w:val="none" w:sz="0" w:space="0" w:color="auto"/>
      </w:divBdr>
      <w:divsChild>
        <w:div w:id="533277567">
          <w:marLeft w:val="60"/>
          <w:marRight w:val="60"/>
          <w:marTop w:val="0"/>
          <w:marBottom w:val="0"/>
          <w:divBdr>
            <w:top w:val="none" w:sz="0" w:space="0" w:color="auto"/>
            <w:left w:val="none" w:sz="0" w:space="0" w:color="auto"/>
            <w:bottom w:val="none" w:sz="0" w:space="0" w:color="auto"/>
            <w:right w:val="none" w:sz="0" w:space="0" w:color="auto"/>
          </w:divBdr>
          <w:divsChild>
            <w:div w:id="892354548">
              <w:marLeft w:val="0"/>
              <w:marRight w:val="0"/>
              <w:marTop w:val="0"/>
              <w:marBottom w:val="0"/>
              <w:divBdr>
                <w:top w:val="none" w:sz="0" w:space="0" w:color="auto"/>
                <w:left w:val="none" w:sz="0" w:space="0" w:color="auto"/>
                <w:bottom w:val="none" w:sz="0" w:space="0" w:color="auto"/>
                <w:right w:val="none" w:sz="0" w:space="0" w:color="auto"/>
              </w:divBdr>
              <w:divsChild>
                <w:div w:id="1596398465">
                  <w:marLeft w:val="0"/>
                  <w:marRight w:val="0"/>
                  <w:marTop w:val="0"/>
                  <w:marBottom w:val="0"/>
                  <w:divBdr>
                    <w:top w:val="none" w:sz="0" w:space="0" w:color="auto"/>
                    <w:left w:val="none" w:sz="0" w:space="0" w:color="auto"/>
                    <w:bottom w:val="none" w:sz="0" w:space="0" w:color="auto"/>
                    <w:right w:val="none" w:sz="0" w:space="0" w:color="auto"/>
                  </w:divBdr>
                  <w:divsChild>
                    <w:div w:id="33426689">
                      <w:marLeft w:val="0"/>
                      <w:marRight w:val="0"/>
                      <w:marTop w:val="0"/>
                      <w:marBottom w:val="0"/>
                      <w:divBdr>
                        <w:top w:val="none" w:sz="0" w:space="0" w:color="auto"/>
                        <w:left w:val="none" w:sz="0" w:space="0" w:color="auto"/>
                        <w:bottom w:val="none" w:sz="0" w:space="0" w:color="auto"/>
                        <w:right w:val="none" w:sz="0" w:space="0" w:color="auto"/>
                      </w:divBdr>
                      <w:divsChild>
                        <w:div w:id="9050681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190265817">
          <w:marLeft w:val="60"/>
          <w:marRight w:val="60"/>
          <w:marTop w:val="0"/>
          <w:marBottom w:val="0"/>
          <w:divBdr>
            <w:top w:val="none" w:sz="0" w:space="0" w:color="auto"/>
            <w:left w:val="none" w:sz="0" w:space="0" w:color="auto"/>
            <w:bottom w:val="none" w:sz="0" w:space="0" w:color="auto"/>
            <w:right w:val="none" w:sz="0" w:space="0" w:color="auto"/>
          </w:divBdr>
        </w:div>
      </w:divsChild>
    </w:div>
    <w:div w:id="954139427">
      <w:bodyDiv w:val="1"/>
      <w:marLeft w:val="0"/>
      <w:marRight w:val="0"/>
      <w:marTop w:val="0"/>
      <w:marBottom w:val="0"/>
      <w:divBdr>
        <w:top w:val="none" w:sz="0" w:space="0" w:color="auto"/>
        <w:left w:val="none" w:sz="0" w:space="0" w:color="auto"/>
        <w:bottom w:val="none" w:sz="0" w:space="0" w:color="auto"/>
        <w:right w:val="none" w:sz="0" w:space="0" w:color="auto"/>
      </w:divBdr>
      <w:divsChild>
        <w:div w:id="958607492">
          <w:marLeft w:val="0"/>
          <w:marRight w:val="0"/>
          <w:marTop w:val="0"/>
          <w:marBottom w:val="0"/>
          <w:divBdr>
            <w:top w:val="none" w:sz="0" w:space="0" w:color="auto"/>
            <w:left w:val="none" w:sz="0" w:space="0" w:color="auto"/>
            <w:bottom w:val="none" w:sz="0" w:space="0" w:color="auto"/>
            <w:right w:val="none" w:sz="0" w:space="0" w:color="auto"/>
          </w:divBdr>
          <w:divsChild>
            <w:div w:id="126244208">
              <w:marLeft w:val="0"/>
              <w:marRight w:val="0"/>
              <w:marTop w:val="0"/>
              <w:marBottom w:val="0"/>
              <w:divBdr>
                <w:top w:val="none" w:sz="0" w:space="0" w:color="auto"/>
                <w:left w:val="none" w:sz="0" w:space="0" w:color="auto"/>
                <w:bottom w:val="none" w:sz="0" w:space="0" w:color="auto"/>
                <w:right w:val="none" w:sz="0" w:space="0" w:color="auto"/>
              </w:divBdr>
            </w:div>
          </w:divsChild>
        </w:div>
        <w:div w:id="768426461">
          <w:marLeft w:val="0"/>
          <w:marRight w:val="0"/>
          <w:marTop w:val="0"/>
          <w:marBottom w:val="0"/>
          <w:divBdr>
            <w:top w:val="none" w:sz="0" w:space="0" w:color="auto"/>
            <w:left w:val="none" w:sz="0" w:space="0" w:color="auto"/>
            <w:bottom w:val="none" w:sz="0" w:space="0" w:color="auto"/>
            <w:right w:val="none" w:sz="0" w:space="0" w:color="auto"/>
          </w:divBdr>
          <w:divsChild>
            <w:div w:id="1264150850">
              <w:marLeft w:val="0"/>
              <w:marRight w:val="0"/>
              <w:marTop w:val="0"/>
              <w:marBottom w:val="0"/>
              <w:divBdr>
                <w:top w:val="none" w:sz="0" w:space="0" w:color="auto"/>
                <w:left w:val="none" w:sz="0" w:space="0" w:color="auto"/>
                <w:bottom w:val="none" w:sz="0" w:space="0" w:color="auto"/>
                <w:right w:val="none" w:sz="0" w:space="0" w:color="auto"/>
              </w:divBdr>
            </w:div>
          </w:divsChild>
        </w:div>
        <w:div w:id="1157503341">
          <w:marLeft w:val="0"/>
          <w:marRight w:val="0"/>
          <w:marTop w:val="0"/>
          <w:marBottom w:val="0"/>
          <w:divBdr>
            <w:top w:val="none" w:sz="0" w:space="0" w:color="auto"/>
            <w:left w:val="none" w:sz="0" w:space="0" w:color="auto"/>
            <w:bottom w:val="none" w:sz="0" w:space="0" w:color="auto"/>
            <w:right w:val="none" w:sz="0" w:space="0" w:color="auto"/>
          </w:divBdr>
          <w:divsChild>
            <w:div w:id="1585214260">
              <w:marLeft w:val="0"/>
              <w:marRight w:val="0"/>
              <w:marTop w:val="0"/>
              <w:marBottom w:val="0"/>
              <w:divBdr>
                <w:top w:val="none" w:sz="0" w:space="0" w:color="auto"/>
                <w:left w:val="none" w:sz="0" w:space="0" w:color="auto"/>
                <w:bottom w:val="none" w:sz="0" w:space="0" w:color="auto"/>
                <w:right w:val="none" w:sz="0" w:space="0" w:color="auto"/>
              </w:divBdr>
            </w:div>
          </w:divsChild>
        </w:div>
        <w:div w:id="544605937">
          <w:marLeft w:val="0"/>
          <w:marRight w:val="0"/>
          <w:marTop w:val="0"/>
          <w:marBottom w:val="0"/>
          <w:divBdr>
            <w:top w:val="none" w:sz="0" w:space="0" w:color="auto"/>
            <w:left w:val="none" w:sz="0" w:space="0" w:color="auto"/>
            <w:bottom w:val="none" w:sz="0" w:space="0" w:color="auto"/>
            <w:right w:val="none" w:sz="0" w:space="0" w:color="auto"/>
          </w:divBdr>
          <w:divsChild>
            <w:div w:id="1950038688">
              <w:marLeft w:val="0"/>
              <w:marRight w:val="0"/>
              <w:marTop w:val="0"/>
              <w:marBottom w:val="0"/>
              <w:divBdr>
                <w:top w:val="none" w:sz="0" w:space="0" w:color="auto"/>
                <w:left w:val="none" w:sz="0" w:space="0" w:color="auto"/>
                <w:bottom w:val="none" w:sz="0" w:space="0" w:color="auto"/>
                <w:right w:val="none" w:sz="0" w:space="0" w:color="auto"/>
              </w:divBdr>
            </w:div>
          </w:divsChild>
        </w:div>
        <w:div w:id="1462461270">
          <w:marLeft w:val="0"/>
          <w:marRight w:val="0"/>
          <w:marTop w:val="0"/>
          <w:marBottom w:val="0"/>
          <w:divBdr>
            <w:top w:val="none" w:sz="0" w:space="0" w:color="auto"/>
            <w:left w:val="none" w:sz="0" w:space="0" w:color="auto"/>
            <w:bottom w:val="none" w:sz="0" w:space="0" w:color="auto"/>
            <w:right w:val="none" w:sz="0" w:space="0" w:color="auto"/>
          </w:divBdr>
          <w:divsChild>
            <w:div w:id="1427266045">
              <w:marLeft w:val="0"/>
              <w:marRight w:val="0"/>
              <w:marTop w:val="0"/>
              <w:marBottom w:val="0"/>
              <w:divBdr>
                <w:top w:val="none" w:sz="0" w:space="0" w:color="auto"/>
                <w:left w:val="none" w:sz="0" w:space="0" w:color="auto"/>
                <w:bottom w:val="none" w:sz="0" w:space="0" w:color="auto"/>
                <w:right w:val="none" w:sz="0" w:space="0" w:color="auto"/>
              </w:divBdr>
            </w:div>
          </w:divsChild>
        </w:div>
        <w:div w:id="1820683916">
          <w:marLeft w:val="0"/>
          <w:marRight w:val="0"/>
          <w:marTop w:val="0"/>
          <w:marBottom w:val="0"/>
          <w:divBdr>
            <w:top w:val="none" w:sz="0" w:space="0" w:color="auto"/>
            <w:left w:val="none" w:sz="0" w:space="0" w:color="auto"/>
            <w:bottom w:val="none" w:sz="0" w:space="0" w:color="auto"/>
            <w:right w:val="none" w:sz="0" w:space="0" w:color="auto"/>
          </w:divBdr>
          <w:divsChild>
            <w:div w:id="3127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3692">
      <w:bodyDiv w:val="1"/>
      <w:marLeft w:val="0"/>
      <w:marRight w:val="0"/>
      <w:marTop w:val="0"/>
      <w:marBottom w:val="0"/>
      <w:divBdr>
        <w:top w:val="none" w:sz="0" w:space="0" w:color="auto"/>
        <w:left w:val="none" w:sz="0" w:space="0" w:color="auto"/>
        <w:bottom w:val="none" w:sz="0" w:space="0" w:color="auto"/>
        <w:right w:val="none" w:sz="0" w:space="0" w:color="auto"/>
      </w:divBdr>
    </w:div>
    <w:div w:id="988679940">
      <w:bodyDiv w:val="1"/>
      <w:marLeft w:val="0"/>
      <w:marRight w:val="0"/>
      <w:marTop w:val="0"/>
      <w:marBottom w:val="0"/>
      <w:divBdr>
        <w:top w:val="none" w:sz="0" w:space="0" w:color="auto"/>
        <w:left w:val="none" w:sz="0" w:space="0" w:color="auto"/>
        <w:bottom w:val="none" w:sz="0" w:space="0" w:color="auto"/>
        <w:right w:val="none" w:sz="0" w:space="0" w:color="auto"/>
      </w:divBdr>
    </w:div>
    <w:div w:id="1039625886">
      <w:bodyDiv w:val="1"/>
      <w:marLeft w:val="0"/>
      <w:marRight w:val="0"/>
      <w:marTop w:val="0"/>
      <w:marBottom w:val="0"/>
      <w:divBdr>
        <w:top w:val="none" w:sz="0" w:space="0" w:color="auto"/>
        <w:left w:val="none" w:sz="0" w:space="0" w:color="auto"/>
        <w:bottom w:val="none" w:sz="0" w:space="0" w:color="auto"/>
        <w:right w:val="none" w:sz="0" w:space="0" w:color="auto"/>
      </w:divBdr>
    </w:div>
    <w:div w:id="1051227610">
      <w:bodyDiv w:val="1"/>
      <w:marLeft w:val="0"/>
      <w:marRight w:val="0"/>
      <w:marTop w:val="0"/>
      <w:marBottom w:val="0"/>
      <w:divBdr>
        <w:top w:val="none" w:sz="0" w:space="0" w:color="auto"/>
        <w:left w:val="none" w:sz="0" w:space="0" w:color="auto"/>
        <w:bottom w:val="none" w:sz="0" w:space="0" w:color="auto"/>
        <w:right w:val="none" w:sz="0" w:space="0" w:color="auto"/>
      </w:divBdr>
    </w:div>
    <w:div w:id="1056733559">
      <w:bodyDiv w:val="1"/>
      <w:marLeft w:val="0"/>
      <w:marRight w:val="0"/>
      <w:marTop w:val="0"/>
      <w:marBottom w:val="0"/>
      <w:divBdr>
        <w:top w:val="none" w:sz="0" w:space="0" w:color="auto"/>
        <w:left w:val="none" w:sz="0" w:space="0" w:color="auto"/>
        <w:bottom w:val="none" w:sz="0" w:space="0" w:color="auto"/>
        <w:right w:val="none" w:sz="0" w:space="0" w:color="auto"/>
      </w:divBdr>
    </w:div>
    <w:div w:id="1106582943">
      <w:bodyDiv w:val="1"/>
      <w:marLeft w:val="0"/>
      <w:marRight w:val="0"/>
      <w:marTop w:val="0"/>
      <w:marBottom w:val="0"/>
      <w:divBdr>
        <w:top w:val="none" w:sz="0" w:space="0" w:color="auto"/>
        <w:left w:val="none" w:sz="0" w:space="0" w:color="auto"/>
        <w:bottom w:val="none" w:sz="0" w:space="0" w:color="auto"/>
        <w:right w:val="none" w:sz="0" w:space="0" w:color="auto"/>
      </w:divBdr>
      <w:divsChild>
        <w:div w:id="2133093800">
          <w:marLeft w:val="0"/>
          <w:marRight w:val="0"/>
          <w:marTop w:val="0"/>
          <w:marBottom w:val="0"/>
          <w:divBdr>
            <w:top w:val="none" w:sz="0" w:space="0" w:color="auto"/>
            <w:left w:val="none" w:sz="0" w:space="0" w:color="auto"/>
            <w:bottom w:val="none" w:sz="0" w:space="0" w:color="auto"/>
            <w:right w:val="none" w:sz="0" w:space="0" w:color="auto"/>
          </w:divBdr>
          <w:divsChild>
            <w:div w:id="754059915">
              <w:marLeft w:val="0"/>
              <w:marRight w:val="0"/>
              <w:marTop w:val="0"/>
              <w:marBottom w:val="0"/>
              <w:divBdr>
                <w:top w:val="none" w:sz="0" w:space="0" w:color="auto"/>
                <w:left w:val="none" w:sz="0" w:space="0" w:color="auto"/>
                <w:bottom w:val="none" w:sz="0" w:space="0" w:color="auto"/>
                <w:right w:val="none" w:sz="0" w:space="0" w:color="auto"/>
              </w:divBdr>
            </w:div>
          </w:divsChild>
        </w:div>
        <w:div w:id="1527403214">
          <w:marLeft w:val="0"/>
          <w:marRight w:val="0"/>
          <w:marTop w:val="0"/>
          <w:marBottom w:val="0"/>
          <w:divBdr>
            <w:top w:val="none" w:sz="0" w:space="0" w:color="auto"/>
            <w:left w:val="none" w:sz="0" w:space="0" w:color="auto"/>
            <w:bottom w:val="none" w:sz="0" w:space="0" w:color="auto"/>
            <w:right w:val="none" w:sz="0" w:space="0" w:color="auto"/>
          </w:divBdr>
          <w:divsChild>
            <w:div w:id="1885946373">
              <w:marLeft w:val="0"/>
              <w:marRight w:val="0"/>
              <w:marTop w:val="0"/>
              <w:marBottom w:val="0"/>
              <w:divBdr>
                <w:top w:val="none" w:sz="0" w:space="0" w:color="auto"/>
                <w:left w:val="none" w:sz="0" w:space="0" w:color="auto"/>
                <w:bottom w:val="none" w:sz="0" w:space="0" w:color="auto"/>
                <w:right w:val="none" w:sz="0" w:space="0" w:color="auto"/>
              </w:divBdr>
            </w:div>
          </w:divsChild>
        </w:div>
        <w:div w:id="137843705">
          <w:marLeft w:val="0"/>
          <w:marRight w:val="0"/>
          <w:marTop w:val="0"/>
          <w:marBottom w:val="0"/>
          <w:divBdr>
            <w:top w:val="none" w:sz="0" w:space="0" w:color="auto"/>
            <w:left w:val="none" w:sz="0" w:space="0" w:color="auto"/>
            <w:bottom w:val="none" w:sz="0" w:space="0" w:color="auto"/>
            <w:right w:val="none" w:sz="0" w:space="0" w:color="auto"/>
          </w:divBdr>
          <w:divsChild>
            <w:div w:id="939532761">
              <w:marLeft w:val="0"/>
              <w:marRight w:val="0"/>
              <w:marTop w:val="0"/>
              <w:marBottom w:val="0"/>
              <w:divBdr>
                <w:top w:val="none" w:sz="0" w:space="0" w:color="auto"/>
                <w:left w:val="none" w:sz="0" w:space="0" w:color="auto"/>
                <w:bottom w:val="none" w:sz="0" w:space="0" w:color="auto"/>
                <w:right w:val="none" w:sz="0" w:space="0" w:color="auto"/>
              </w:divBdr>
            </w:div>
          </w:divsChild>
        </w:div>
        <w:div w:id="818494565">
          <w:marLeft w:val="0"/>
          <w:marRight w:val="0"/>
          <w:marTop w:val="0"/>
          <w:marBottom w:val="0"/>
          <w:divBdr>
            <w:top w:val="none" w:sz="0" w:space="0" w:color="auto"/>
            <w:left w:val="none" w:sz="0" w:space="0" w:color="auto"/>
            <w:bottom w:val="none" w:sz="0" w:space="0" w:color="auto"/>
            <w:right w:val="none" w:sz="0" w:space="0" w:color="auto"/>
          </w:divBdr>
          <w:divsChild>
            <w:div w:id="633483902">
              <w:marLeft w:val="0"/>
              <w:marRight w:val="0"/>
              <w:marTop w:val="0"/>
              <w:marBottom w:val="0"/>
              <w:divBdr>
                <w:top w:val="none" w:sz="0" w:space="0" w:color="auto"/>
                <w:left w:val="none" w:sz="0" w:space="0" w:color="auto"/>
                <w:bottom w:val="none" w:sz="0" w:space="0" w:color="auto"/>
                <w:right w:val="none" w:sz="0" w:space="0" w:color="auto"/>
              </w:divBdr>
            </w:div>
          </w:divsChild>
        </w:div>
        <w:div w:id="1436056271">
          <w:marLeft w:val="0"/>
          <w:marRight w:val="0"/>
          <w:marTop w:val="0"/>
          <w:marBottom w:val="0"/>
          <w:divBdr>
            <w:top w:val="none" w:sz="0" w:space="0" w:color="auto"/>
            <w:left w:val="none" w:sz="0" w:space="0" w:color="auto"/>
            <w:bottom w:val="none" w:sz="0" w:space="0" w:color="auto"/>
            <w:right w:val="none" w:sz="0" w:space="0" w:color="auto"/>
          </w:divBdr>
          <w:divsChild>
            <w:div w:id="1989359695">
              <w:marLeft w:val="0"/>
              <w:marRight w:val="0"/>
              <w:marTop w:val="0"/>
              <w:marBottom w:val="0"/>
              <w:divBdr>
                <w:top w:val="none" w:sz="0" w:space="0" w:color="auto"/>
                <w:left w:val="none" w:sz="0" w:space="0" w:color="auto"/>
                <w:bottom w:val="none" w:sz="0" w:space="0" w:color="auto"/>
                <w:right w:val="none" w:sz="0" w:space="0" w:color="auto"/>
              </w:divBdr>
            </w:div>
          </w:divsChild>
        </w:div>
        <w:div w:id="357776182">
          <w:marLeft w:val="0"/>
          <w:marRight w:val="0"/>
          <w:marTop w:val="0"/>
          <w:marBottom w:val="0"/>
          <w:divBdr>
            <w:top w:val="none" w:sz="0" w:space="0" w:color="auto"/>
            <w:left w:val="none" w:sz="0" w:space="0" w:color="auto"/>
            <w:bottom w:val="none" w:sz="0" w:space="0" w:color="auto"/>
            <w:right w:val="none" w:sz="0" w:space="0" w:color="auto"/>
          </w:divBdr>
          <w:divsChild>
            <w:div w:id="24335496">
              <w:marLeft w:val="0"/>
              <w:marRight w:val="0"/>
              <w:marTop w:val="0"/>
              <w:marBottom w:val="0"/>
              <w:divBdr>
                <w:top w:val="none" w:sz="0" w:space="0" w:color="auto"/>
                <w:left w:val="none" w:sz="0" w:space="0" w:color="auto"/>
                <w:bottom w:val="none" w:sz="0" w:space="0" w:color="auto"/>
                <w:right w:val="none" w:sz="0" w:space="0" w:color="auto"/>
              </w:divBdr>
            </w:div>
          </w:divsChild>
        </w:div>
        <w:div w:id="836113147">
          <w:marLeft w:val="0"/>
          <w:marRight w:val="0"/>
          <w:marTop w:val="0"/>
          <w:marBottom w:val="0"/>
          <w:divBdr>
            <w:top w:val="none" w:sz="0" w:space="0" w:color="auto"/>
            <w:left w:val="none" w:sz="0" w:space="0" w:color="auto"/>
            <w:bottom w:val="none" w:sz="0" w:space="0" w:color="auto"/>
            <w:right w:val="none" w:sz="0" w:space="0" w:color="auto"/>
          </w:divBdr>
          <w:divsChild>
            <w:div w:id="623075369">
              <w:marLeft w:val="0"/>
              <w:marRight w:val="0"/>
              <w:marTop w:val="0"/>
              <w:marBottom w:val="0"/>
              <w:divBdr>
                <w:top w:val="none" w:sz="0" w:space="0" w:color="auto"/>
                <w:left w:val="none" w:sz="0" w:space="0" w:color="auto"/>
                <w:bottom w:val="none" w:sz="0" w:space="0" w:color="auto"/>
                <w:right w:val="none" w:sz="0" w:space="0" w:color="auto"/>
              </w:divBdr>
            </w:div>
          </w:divsChild>
        </w:div>
        <w:div w:id="1497260002">
          <w:marLeft w:val="0"/>
          <w:marRight w:val="0"/>
          <w:marTop w:val="0"/>
          <w:marBottom w:val="0"/>
          <w:divBdr>
            <w:top w:val="none" w:sz="0" w:space="0" w:color="auto"/>
            <w:left w:val="none" w:sz="0" w:space="0" w:color="auto"/>
            <w:bottom w:val="none" w:sz="0" w:space="0" w:color="auto"/>
            <w:right w:val="none" w:sz="0" w:space="0" w:color="auto"/>
          </w:divBdr>
          <w:divsChild>
            <w:div w:id="899557781">
              <w:marLeft w:val="0"/>
              <w:marRight w:val="0"/>
              <w:marTop w:val="0"/>
              <w:marBottom w:val="0"/>
              <w:divBdr>
                <w:top w:val="none" w:sz="0" w:space="0" w:color="auto"/>
                <w:left w:val="none" w:sz="0" w:space="0" w:color="auto"/>
                <w:bottom w:val="none" w:sz="0" w:space="0" w:color="auto"/>
                <w:right w:val="none" w:sz="0" w:space="0" w:color="auto"/>
              </w:divBdr>
            </w:div>
          </w:divsChild>
        </w:div>
        <w:div w:id="1005742375">
          <w:marLeft w:val="0"/>
          <w:marRight w:val="0"/>
          <w:marTop w:val="0"/>
          <w:marBottom w:val="0"/>
          <w:divBdr>
            <w:top w:val="none" w:sz="0" w:space="0" w:color="auto"/>
            <w:left w:val="none" w:sz="0" w:space="0" w:color="auto"/>
            <w:bottom w:val="none" w:sz="0" w:space="0" w:color="auto"/>
            <w:right w:val="none" w:sz="0" w:space="0" w:color="auto"/>
          </w:divBdr>
          <w:divsChild>
            <w:div w:id="1950580126">
              <w:marLeft w:val="0"/>
              <w:marRight w:val="0"/>
              <w:marTop w:val="0"/>
              <w:marBottom w:val="0"/>
              <w:divBdr>
                <w:top w:val="none" w:sz="0" w:space="0" w:color="auto"/>
                <w:left w:val="none" w:sz="0" w:space="0" w:color="auto"/>
                <w:bottom w:val="none" w:sz="0" w:space="0" w:color="auto"/>
                <w:right w:val="none" w:sz="0" w:space="0" w:color="auto"/>
              </w:divBdr>
            </w:div>
          </w:divsChild>
        </w:div>
        <w:div w:id="441807675">
          <w:marLeft w:val="0"/>
          <w:marRight w:val="0"/>
          <w:marTop w:val="0"/>
          <w:marBottom w:val="0"/>
          <w:divBdr>
            <w:top w:val="none" w:sz="0" w:space="0" w:color="auto"/>
            <w:left w:val="none" w:sz="0" w:space="0" w:color="auto"/>
            <w:bottom w:val="none" w:sz="0" w:space="0" w:color="auto"/>
            <w:right w:val="none" w:sz="0" w:space="0" w:color="auto"/>
          </w:divBdr>
          <w:divsChild>
            <w:div w:id="818500481">
              <w:marLeft w:val="0"/>
              <w:marRight w:val="0"/>
              <w:marTop w:val="0"/>
              <w:marBottom w:val="0"/>
              <w:divBdr>
                <w:top w:val="none" w:sz="0" w:space="0" w:color="auto"/>
                <w:left w:val="none" w:sz="0" w:space="0" w:color="auto"/>
                <w:bottom w:val="none" w:sz="0" w:space="0" w:color="auto"/>
                <w:right w:val="none" w:sz="0" w:space="0" w:color="auto"/>
              </w:divBdr>
            </w:div>
          </w:divsChild>
        </w:div>
        <w:div w:id="756052826">
          <w:marLeft w:val="0"/>
          <w:marRight w:val="0"/>
          <w:marTop w:val="0"/>
          <w:marBottom w:val="0"/>
          <w:divBdr>
            <w:top w:val="none" w:sz="0" w:space="0" w:color="auto"/>
            <w:left w:val="none" w:sz="0" w:space="0" w:color="auto"/>
            <w:bottom w:val="none" w:sz="0" w:space="0" w:color="auto"/>
            <w:right w:val="none" w:sz="0" w:space="0" w:color="auto"/>
          </w:divBdr>
          <w:divsChild>
            <w:div w:id="1211380834">
              <w:marLeft w:val="0"/>
              <w:marRight w:val="0"/>
              <w:marTop w:val="0"/>
              <w:marBottom w:val="0"/>
              <w:divBdr>
                <w:top w:val="none" w:sz="0" w:space="0" w:color="auto"/>
                <w:left w:val="none" w:sz="0" w:space="0" w:color="auto"/>
                <w:bottom w:val="none" w:sz="0" w:space="0" w:color="auto"/>
                <w:right w:val="none" w:sz="0" w:space="0" w:color="auto"/>
              </w:divBdr>
            </w:div>
          </w:divsChild>
        </w:div>
        <w:div w:id="794131901">
          <w:marLeft w:val="0"/>
          <w:marRight w:val="0"/>
          <w:marTop w:val="0"/>
          <w:marBottom w:val="0"/>
          <w:divBdr>
            <w:top w:val="none" w:sz="0" w:space="0" w:color="auto"/>
            <w:left w:val="none" w:sz="0" w:space="0" w:color="auto"/>
            <w:bottom w:val="none" w:sz="0" w:space="0" w:color="auto"/>
            <w:right w:val="none" w:sz="0" w:space="0" w:color="auto"/>
          </w:divBdr>
          <w:divsChild>
            <w:div w:id="1635334189">
              <w:marLeft w:val="0"/>
              <w:marRight w:val="0"/>
              <w:marTop w:val="0"/>
              <w:marBottom w:val="0"/>
              <w:divBdr>
                <w:top w:val="none" w:sz="0" w:space="0" w:color="auto"/>
                <w:left w:val="none" w:sz="0" w:space="0" w:color="auto"/>
                <w:bottom w:val="none" w:sz="0" w:space="0" w:color="auto"/>
                <w:right w:val="none" w:sz="0" w:space="0" w:color="auto"/>
              </w:divBdr>
            </w:div>
          </w:divsChild>
        </w:div>
        <w:div w:id="184751779">
          <w:marLeft w:val="0"/>
          <w:marRight w:val="0"/>
          <w:marTop w:val="0"/>
          <w:marBottom w:val="0"/>
          <w:divBdr>
            <w:top w:val="none" w:sz="0" w:space="0" w:color="auto"/>
            <w:left w:val="none" w:sz="0" w:space="0" w:color="auto"/>
            <w:bottom w:val="none" w:sz="0" w:space="0" w:color="auto"/>
            <w:right w:val="none" w:sz="0" w:space="0" w:color="auto"/>
          </w:divBdr>
          <w:divsChild>
            <w:div w:id="1739934082">
              <w:marLeft w:val="0"/>
              <w:marRight w:val="0"/>
              <w:marTop w:val="0"/>
              <w:marBottom w:val="0"/>
              <w:divBdr>
                <w:top w:val="none" w:sz="0" w:space="0" w:color="auto"/>
                <w:left w:val="none" w:sz="0" w:space="0" w:color="auto"/>
                <w:bottom w:val="none" w:sz="0" w:space="0" w:color="auto"/>
                <w:right w:val="none" w:sz="0" w:space="0" w:color="auto"/>
              </w:divBdr>
            </w:div>
          </w:divsChild>
        </w:div>
        <w:div w:id="455686598">
          <w:marLeft w:val="0"/>
          <w:marRight w:val="0"/>
          <w:marTop w:val="0"/>
          <w:marBottom w:val="0"/>
          <w:divBdr>
            <w:top w:val="none" w:sz="0" w:space="0" w:color="auto"/>
            <w:left w:val="none" w:sz="0" w:space="0" w:color="auto"/>
            <w:bottom w:val="none" w:sz="0" w:space="0" w:color="auto"/>
            <w:right w:val="none" w:sz="0" w:space="0" w:color="auto"/>
          </w:divBdr>
          <w:divsChild>
            <w:div w:id="1837570194">
              <w:marLeft w:val="0"/>
              <w:marRight w:val="0"/>
              <w:marTop w:val="0"/>
              <w:marBottom w:val="0"/>
              <w:divBdr>
                <w:top w:val="none" w:sz="0" w:space="0" w:color="auto"/>
                <w:left w:val="none" w:sz="0" w:space="0" w:color="auto"/>
                <w:bottom w:val="none" w:sz="0" w:space="0" w:color="auto"/>
                <w:right w:val="none" w:sz="0" w:space="0" w:color="auto"/>
              </w:divBdr>
            </w:div>
          </w:divsChild>
        </w:div>
        <w:div w:id="1181703292">
          <w:marLeft w:val="0"/>
          <w:marRight w:val="0"/>
          <w:marTop w:val="0"/>
          <w:marBottom w:val="0"/>
          <w:divBdr>
            <w:top w:val="none" w:sz="0" w:space="0" w:color="auto"/>
            <w:left w:val="none" w:sz="0" w:space="0" w:color="auto"/>
            <w:bottom w:val="none" w:sz="0" w:space="0" w:color="auto"/>
            <w:right w:val="none" w:sz="0" w:space="0" w:color="auto"/>
          </w:divBdr>
          <w:divsChild>
            <w:div w:id="1750544906">
              <w:marLeft w:val="0"/>
              <w:marRight w:val="0"/>
              <w:marTop w:val="0"/>
              <w:marBottom w:val="0"/>
              <w:divBdr>
                <w:top w:val="none" w:sz="0" w:space="0" w:color="auto"/>
                <w:left w:val="none" w:sz="0" w:space="0" w:color="auto"/>
                <w:bottom w:val="none" w:sz="0" w:space="0" w:color="auto"/>
                <w:right w:val="none" w:sz="0" w:space="0" w:color="auto"/>
              </w:divBdr>
            </w:div>
          </w:divsChild>
        </w:div>
        <w:div w:id="624624313">
          <w:marLeft w:val="0"/>
          <w:marRight w:val="0"/>
          <w:marTop w:val="0"/>
          <w:marBottom w:val="0"/>
          <w:divBdr>
            <w:top w:val="none" w:sz="0" w:space="0" w:color="auto"/>
            <w:left w:val="none" w:sz="0" w:space="0" w:color="auto"/>
            <w:bottom w:val="none" w:sz="0" w:space="0" w:color="auto"/>
            <w:right w:val="none" w:sz="0" w:space="0" w:color="auto"/>
          </w:divBdr>
          <w:divsChild>
            <w:div w:id="572739751">
              <w:marLeft w:val="0"/>
              <w:marRight w:val="0"/>
              <w:marTop w:val="0"/>
              <w:marBottom w:val="0"/>
              <w:divBdr>
                <w:top w:val="none" w:sz="0" w:space="0" w:color="auto"/>
                <w:left w:val="none" w:sz="0" w:space="0" w:color="auto"/>
                <w:bottom w:val="none" w:sz="0" w:space="0" w:color="auto"/>
                <w:right w:val="none" w:sz="0" w:space="0" w:color="auto"/>
              </w:divBdr>
            </w:div>
          </w:divsChild>
        </w:div>
        <w:div w:id="138573066">
          <w:marLeft w:val="0"/>
          <w:marRight w:val="0"/>
          <w:marTop w:val="0"/>
          <w:marBottom w:val="0"/>
          <w:divBdr>
            <w:top w:val="none" w:sz="0" w:space="0" w:color="auto"/>
            <w:left w:val="none" w:sz="0" w:space="0" w:color="auto"/>
            <w:bottom w:val="none" w:sz="0" w:space="0" w:color="auto"/>
            <w:right w:val="none" w:sz="0" w:space="0" w:color="auto"/>
          </w:divBdr>
          <w:divsChild>
            <w:div w:id="55473023">
              <w:marLeft w:val="0"/>
              <w:marRight w:val="0"/>
              <w:marTop w:val="0"/>
              <w:marBottom w:val="0"/>
              <w:divBdr>
                <w:top w:val="none" w:sz="0" w:space="0" w:color="auto"/>
                <w:left w:val="none" w:sz="0" w:space="0" w:color="auto"/>
                <w:bottom w:val="none" w:sz="0" w:space="0" w:color="auto"/>
                <w:right w:val="none" w:sz="0" w:space="0" w:color="auto"/>
              </w:divBdr>
            </w:div>
          </w:divsChild>
        </w:div>
        <w:div w:id="1992825801">
          <w:marLeft w:val="0"/>
          <w:marRight w:val="0"/>
          <w:marTop w:val="0"/>
          <w:marBottom w:val="0"/>
          <w:divBdr>
            <w:top w:val="none" w:sz="0" w:space="0" w:color="auto"/>
            <w:left w:val="none" w:sz="0" w:space="0" w:color="auto"/>
            <w:bottom w:val="none" w:sz="0" w:space="0" w:color="auto"/>
            <w:right w:val="none" w:sz="0" w:space="0" w:color="auto"/>
          </w:divBdr>
          <w:divsChild>
            <w:div w:id="925453674">
              <w:marLeft w:val="0"/>
              <w:marRight w:val="0"/>
              <w:marTop w:val="0"/>
              <w:marBottom w:val="0"/>
              <w:divBdr>
                <w:top w:val="none" w:sz="0" w:space="0" w:color="auto"/>
                <w:left w:val="none" w:sz="0" w:space="0" w:color="auto"/>
                <w:bottom w:val="none" w:sz="0" w:space="0" w:color="auto"/>
                <w:right w:val="none" w:sz="0" w:space="0" w:color="auto"/>
              </w:divBdr>
            </w:div>
          </w:divsChild>
        </w:div>
        <w:div w:id="706367344">
          <w:marLeft w:val="0"/>
          <w:marRight w:val="0"/>
          <w:marTop w:val="0"/>
          <w:marBottom w:val="0"/>
          <w:divBdr>
            <w:top w:val="none" w:sz="0" w:space="0" w:color="auto"/>
            <w:left w:val="none" w:sz="0" w:space="0" w:color="auto"/>
            <w:bottom w:val="none" w:sz="0" w:space="0" w:color="auto"/>
            <w:right w:val="none" w:sz="0" w:space="0" w:color="auto"/>
          </w:divBdr>
          <w:divsChild>
            <w:div w:id="128330990">
              <w:marLeft w:val="0"/>
              <w:marRight w:val="0"/>
              <w:marTop w:val="0"/>
              <w:marBottom w:val="0"/>
              <w:divBdr>
                <w:top w:val="none" w:sz="0" w:space="0" w:color="auto"/>
                <w:left w:val="none" w:sz="0" w:space="0" w:color="auto"/>
                <w:bottom w:val="none" w:sz="0" w:space="0" w:color="auto"/>
                <w:right w:val="none" w:sz="0" w:space="0" w:color="auto"/>
              </w:divBdr>
            </w:div>
          </w:divsChild>
        </w:div>
        <w:div w:id="1677732226">
          <w:marLeft w:val="0"/>
          <w:marRight w:val="0"/>
          <w:marTop w:val="0"/>
          <w:marBottom w:val="0"/>
          <w:divBdr>
            <w:top w:val="none" w:sz="0" w:space="0" w:color="auto"/>
            <w:left w:val="none" w:sz="0" w:space="0" w:color="auto"/>
            <w:bottom w:val="none" w:sz="0" w:space="0" w:color="auto"/>
            <w:right w:val="none" w:sz="0" w:space="0" w:color="auto"/>
          </w:divBdr>
          <w:divsChild>
            <w:div w:id="330305076">
              <w:marLeft w:val="0"/>
              <w:marRight w:val="0"/>
              <w:marTop w:val="0"/>
              <w:marBottom w:val="0"/>
              <w:divBdr>
                <w:top w:val="none" w:sz="0" w:space="0" w:color="auto"/>
                <w:left w:val="none" w:sz="0" w:space="0" w:color="auto"/>
                <w:bottom w:val="none" w:sz="0" w:space="0" w:color="auto"/>
                <w:right w:val="none" w:sz="0" w:space="0" w:color="auto"/>
              </w:divBdr>
            </w:div>
          </w:divsChild>
        </w:div>
        <w:div w:id="44331315">
          <w:marLeft w:val="0"/>
          <w:marRight w:val="0"/>
          <w:marTop w:val="0"/>
          <w:marBottom w:val="0"/>
          <w:divBdr>
            <w:top w:val="none" w:sz="0" w:space="0" w:color="auto"/>
            <w:left w:val="none" w:sz="0" w:space="0" w:color="auto"/>
            <w:bottom w:val="none" w:sz="0" w:space="0" w:color="auto"/>
            <w:right w:val="none" w:sz="0" w:space="0" w:color="auto"/>
          </w:divBdr>
          <w:divsChild>
            <w:div w:id="2137789658">
              <w:marLeft w:val="0"/>
              <w:marRight w:val="0"/>
              <w:marTop w:val="0"/>
              <w:marBottom w:val="0"/>
              <w:divBdr>
                <w:top w:val="none" w:sz="0" w:space="0" w:color="auto"/>
                <w:left w:val="none" w:sz="0" w:space="0" w:color="auto"/>
                <w:bottom w:val="none" w:sz="0" w:space="0" w:color="auto"/>
                <w:right w:val="none" w:sz="0" w:space="0" w:color="auto"/>
              </w:divBdr>
            </w:div>
          </w:divsChild>
        </w:div>
        <w:div w:id="211813868">
          <w:marLeft w:val="0"/>
          <w:marRight w:val="0"/>
          <w:marTop w:val="0"/>
          <w:marBottom w:val="0"/>
          <w:divBdr>
            <w:top w:val="none" w:sz="0" w:space="0" w:color="auto"/>
            <w:left w:val="none" w:sz="0" w:space="0" w:color="auto"/>
            <w:bottom w:val="none" w:sz="0" w:space="0" w:color="auto"/>
            <w:right w:val="none" w:sz="0" w:space="0" w:color="auto"/>
          </w:divBdr>
          <w:divsChild>
            <w:div w:id="1761022467">
              <w:marLeft w:val="0"/>
              <w:marRight w:val="0"/>
              <w:marTop w:val="0"/>
              <w:marBottom w:val="0"/>
              <w:divBdr>
                <w:top w:val="none" w:sz="0" w:space="0" w:color="auto"/>
                <w:left w:val="none" w:sz="0" w:space="0" w:color="auto"/>
                <w:bottom w:val="none" w:sz="0" w:space="0" w:color="auto"/>
                <w:right w:val="none" w:sz="0" w:space="0" w:color="auto"/>
              </w:divBdr>
            </w:div>
          </w:divsChild>
        </w:div>
        <w:div w:id="1635258097">
          <w:marLeft w:val="0"/>
          <w:marRight w:val="0"/>
          <w:marTop w:val="0"/>
          <w:marBottom w:val="0"/>
          <w:divBdr>
            <w:top w:val="none" w:sz="0" w:space="0" w:color="auto"/>
            <w:left w:val="none" w:sz="0" w:space="0" w:color="auto"/>
            <w:bottom w:val="none" w:sz="0" w:space="0" w:color="auto"/>
            <w:right w:val="none" w:sz="0" w:space="0" w:color="auto"/>
          </w:divBdr>
          <w:divsChild>
            <w:div w:id="940995755">
              <w:marLeft w:val="0"/>
              <w:marRight w:val="0"/>
              <w:marTop w:val="0"/>
              <w:marBottom w:val="0"/>
              <w:divBdr>
                <w:top w:val="none" w:sz="0" w:space="0" w:color="auto"/>
                <w:left w:val="none" w:sz="0" w:space="0" w:color="auto"/>
                <w:bottom w:val="none" w:sz="0" w:space="0" w:color="auto"/>
                <w:right w:val="none" w:sz="0" w:space="0" w:color="auto"/>
              </w:divBdr>
            </w:div>
          </w:divsChild>
        </w:div>
        <w:div w:id="925000334">
          <w:marLeft w:val="0"/>
          <w:marRight w:val="0"/>
          <w:marTop w:val="0"/>
          <w:marBottom w:val="0"/>
          <w:divBdr>
            <w:top w:val="none" w:sz="0" w:space="0" w:color="auto"/>
            <w:left w:val="none" w:sz="0" w:space="0" w:color="auto"/>
            <w:bottom w:val="none" w:sz="0" w:space="0" w:color="auto"/>
            <w:right w:val="none" w:sz="0" w:space="0" w:color="auto"/>
          </w:divBdr>
          <w:divsChild>
            <w:div w:id="794517716">
              <w:marLeft w:val="0"/>
              <w:marRight w:val="0"/>
              <w:marTop w:val="0"/>
              <w:marBottom w:val="0"/>
              <w:divBdr>
                <w:top w:val="none" w:sz="0" w:space="0" w:color="auto"/>
                <w:left w:val="none" w:sz="0" w:space="0" w:color="auto"/>
                <w:bottom w:val="none" w:sz="0" w:space="0" w:color="auto"/>
                <w:right w:val="none" w:sz="0" w:space="0" w:color="auto"/>
              </w:divBdr>
            </w:div>
          </w:divsChild>
        </w:div>
        <w:div w:id="1996909756">
          <w:marLeft w:val="0"/>
          <w:marRight w:val="0"/>
          <w:marTop w:val="0"/>
          <w:marBottom w:val="0"/>
          <w:divBdr>
            <w:top w:val="none" w:sz="0" w:space="0" w:color="auto"/>
            <w:left w:val="none" w:sz="0" w:space="0" w:color="auto"/>
            <w:bottom w:val="none" w:sz="0" w:space="0" w:color="auto"/>
            <w:right w:val="none" w:sz="0" w:space="0" w:color="auto"/>
          </w:divBdr>
          <w:divsChild>
            <w:div w:id="2086370906">
              <w:marLeft w:val="0"/>
              <w:marRight w:val="0"/>
              <w:marTop w:val="0"/>
              <w:marBottom w:val="0"/>
              <w:divBdr>
                <w:top w:val="none" w:sz="0" w:space="0" w:color="auto"/>
                <w:left w:val="none" w:sz="0" w:space="0" w:color="auto"/>
                <w:bottom w:val="none" w:sz="0" w:space="0" w:color="auto"/>
                <w:right w:val="none" w:sz="0" w:space="0" w:color="auto"/>
              </w:divBdr>
            </w:div>
          </w:divsChild>
        </w:div>
        <w:div w:id="627853786">
          <w:marLeft w:val="0"/>
          <w:marRight w:val="0"/>
          <w:marTop w:val="0"/>
          <w:marBottom w:val="0"/>
          <w:divBdr>
            <w:top w:val="none" w:sz="0" w:space="0" w:color="auto"/>
            <w:left w:val="none" w:sz="0" w:space="0" w:color="auto"/>
            <w:bottom w:val="none" w:sz="0" w:space="0" w:color="auto"/>
            <w:right w:val="none" w:sz="0" w:space="0" w:color="auto"/>
          </w:divBdr>
          <w:divsChild>
            <w:div w:id="226844172">
              <w:marLeft w:val="0"/>
              <w:marRight w:val="0"/>
              <w:marTop w:val="0"/>
              <w:marBottom w:val="0"/>
              <w:divBdr>
                <w:top w:val="none" w:sz="0" w:space="0" w:color="auto"/>
                <w:left w:val="none" w:sz="0" w:space="0" w:color="auto"/>
                <w:bottom w:val="none" w:sz="0" w:space="0" w:color="auto"/>
                <w:right w:val="none" w:sz="0" w:space="0" w:color="auto"/>
              </w:divBdr>
            </w:div>
          </w:divsChild>
        </w:div>
        <w:div w:id="658340556">
          <w:marLeft w:val="0"/>
          <w:marRight w:val="0"/>
          <w:marTop w:val="0"/>
          <w:marBottom w:val="0"/>
          <w:divBdr>
            <w:top w:val="none" w:sz="0" w:space="0" w:color="auto"/>
            <w:left w:val="none" w:sz="0" w:space="0" w:color="auto"/>
            <w:bottom w:val="none" w:sz="0" w:space="0" w:color="auto"/>
            <w:right w:val="none" w:sz="0" w:space="0" w:color="auto"/>
          </w:divBdr>
          <w:divsChild>
            <w:div w:id="1352028447">
              <w:marLeft w:val="0"/>
              <w:marRight w:val="0"/>
              <w:marTop w:val="0"/>
              <w:marBottom w:val="0"/>
              <w:divBdr>
                <w:top w:val="none" w:sz="0" w:space="0" w:color="auto"/>
                <w:left w:val="none" w:sz="0" w:space="0" w:color="auto"/>
                <w:bottom w:val="none" w:sz="0" w:space="0" w:color="auto"/>
                <w:right w:val="none" w:sz="0" w:space="0" w:color="auto"/>
              </w:divBdr>
            </w:div>
          </w:divsChild>
        </w:div>
        <w:div w:id="2078241133">
          <w:marLeft w:val="0"/>
          <w:marRight w:val="0"/>
          <w:marTop w:val="0"/>
          <w:marBottom w:val="0"/>
          <w:divBdr>
            <w:top w:val="none" w:sz="0" w:space="0" w:color="auto"/>
            <w:left w:val="none" w:sz="0" w:space="0" w:color="auto"/>
            <w:bottom w:val="none" w:sz="0" w:space="0" w:color="auto"/>
            <w:right w:val="none" w:sz="0" w:space="0" w:color="auto"/>
          </w:divBdr>
          <w:divsChild>
            <w:div w:id="917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47519">
      <w:bodyDiv w:val="1"/>
      <w:marLeft w:val="0"/>
      <w:marRight w:val="0"/>
      <w:marTop w:val="0"/>
      <w:marBottom w:val="0"/>
      <w:divBdr>
        <w:top w:val="none" w:sz="0" w:space="0" w:color="auto"/>
        <w:left w:val="none" w:sz="0" w:space="0" w:color="auto"/>
        <w:bottom w:val="none" w:sz="0" w:space="0" w:color="auto"/>
        <w:right w:val="none" w:sz="0" w:space="0" w:color="auto"/>
      </w:divBdr>
    </w:div>
    <w:div w:id="1273980858">
      <w:bodyDiv w:val="1"/>
      <w:marLeft w:val="0"/>
      <w:marRight w:val="0"/>
      <w:marTop w:val="0"/>
      <w:marBottom w:val="0"/>
      <w:divBdr>
        <w:top w:val="none" w:sz="0" w:space="0" w:color="auto"/>
        <w:left w:val="none" w:sz="0" w:space="0" w:color="auto"/>
        <w:bottom w:val="none" w:sz="0" w:space="0" w:color="auto"/>
        <w:right w:val="none" w:sz="0" w:space="0" w:color="auto"/>
      </w:divBdr>
    </w:div>
    <w:div w:id="1342124475">
      <w:bodyDiv w:val="1"/>
      <w:marLeft w:val="0"/>
      <w:marRight w:val="0"/>
      <w:marTop w:val="0"/>
      <w:marBottom w:val="0"/>
      <w:divBdr>
        <w:top w:val="none" w:sz="0" w:space="0" w:color="auto"/>
        <w:left w:val="none" w:sz="0" w:space="0" w:color="auto"/>
        <w:bottom w:val="none" w:sz="0" w:space="0" w:color="auto"/>
        <w:right w:val="none" w:sz="0" w:space="0" w:color="auto"/>
      </w:divBdr>
    </w:div>
    <w:div w:id="1457990959">
      <w:bodyDiv w:val="1"/>
      <w:marLeft w:val="0"/>
      <w:marRight w:val="0"/>
      <w:marTop w:val="0"/>
      <w:marBottom w:val="0"/>
      <w:divBdr>
        <w:top w:val="none" w:sz="0" w:space="0" w:color="auto"/>
        <w:left w:val="none" w:sz="0" w:space="0" w:color="auto"/>
        <w:bottom w:val="none" w:sz="0" w:space="0" w:color="auto"/>
        <w:right w:val="none" w:sz="0" w:space="0" w:color="auto"/>
      </w:divBdr>
      <w:divsChild>
        <w:div w:id="173109215">
          <w:marLeft w:val="0"/>
          <w:marRight w:val="0"/>
          <w:marTop w:val="0"/>
          <w:marBottom w:val="0"/>
          <w:divBdr>
            <w:top w:val="none" w:sz="0" w:space="0" w:color="auto"/>
            <w:left w:val="none" w:sz="0" w:space="0" w:color="auto"/>
            <w:bottom w:val="none" w:sz="0" w:space="0" w:color="auto"/>
            <w:right w:val="none" w:sz="0" w:space="0" w:color="auto"/>
          </w:divBdr>
        </w:div>
        <w:div w:id="249319650">
          <w:marLeft w:val="0"/>
          <w:marRight w:val="0"/>
          <w:marTop w:val="0"/>
          <w:marBottom w:val="0"/>
          <w:divBdr>
            <w:top w:val="none" w:sz="0" w:space="0" w:color="auto"/>
            <w:left w:val="none" w:sz="0" w:space="0" w:color="auto"/>
            <w:bottom w:val="none" w:sz="0" w:space="0" w:color="auto"/>
            <w:right w:val="none" w:sz="0" w:space="0" w:color="auto"/>
          </w:divBdr>
        </w:div>
        <w:div w:id="361128319">
          <w:marLeft w:val="0"/>
          <w:marRight w:val="0"/>
          <w:marTop w:val="0"/>
          <w:marBottom w:val="0"/>
          <w:divBdr>
            <w:top w:val="none" w:sz="0" w:space="0" w:color="auto"/>
            <w:left w:val="none" w:sz="0" w:space="0" w:color="auto"/>
            <w:bottom w:val="none" w:sz="0" w:space="0" w:color="auto"/>
            <w:right w:val="none" w:sz="0" w:space="0" w:color="auto"/>
          </w:divBdr>
        </w:div>
        <w:div w:id="363483667">
          <w:marLeft w:val="0"/>
          <w:marRight w:val="0"/>
          <w:marTop w:val="0"/>
          <w:marBottom w:val="0"/>
          <w:divBdr>
            <w:top w:val="none" w:sz="0" w:space="0" w:color="auto"/>
            <w:left w:val="none" w:sz="0" w:space="0" w:color="auto"/>
            <w:bottom w:val="none" w:sz="0" w:space="0" w:color="auto"/>
            <w:right w:val="none" w:sz="0" w:space="0" w:color="auto"/>
          </w:divBdr>
        </w:div>
        <w:div w:id="397751218">
          <w:marLeft w:val="0"/>
          <w:marRight w:val="0"/>
          <w:marTop w:val="0"/>
          <w:marBottom w:val="0"/>
          <w:divBdr>
            <w:top w:val="none" w:sz="0" w:space="0" w:color="auto"/>
            <w:left w:val="none" w:sz="0" w:space="0" w:color="auto"/>
            <w:bottom w:val="none" w:sz="0" w:space="0" w:color="auto"/>
            <w:right w:val="none" w:sz="0" w:space="0" w:color="auto"/>
          </w:divBdr>
        </w:div>
        <w:div w:id="399796277">
          <w:marLeft w:val="0"/>
          <w:marRight w:val="0"/>
          <w:marTop w:val="0"/>
          <w:marBottom w:val="0"/>
          <w:divBdr>
            <w:top w:val="none" w:sz="0" w:space="0" w:color="auto"/>
            <w:left w:val="none" w:sz="0" w:space="0" w:color="auto"/>
            <w:bottom w:val="none" w:sz="0" w:space="0" w:color="auto"/>
            <w:right w:val="none" w:sz="0" w:space="0" w:color="auto"/>
          </w:divBdr>
        </w:div>
        <w:div w:id="505636902">
          <w:marLeft w:val="0"/>
          <w:marRight w:val="0"/>
          <w:marTop w:val="0"/>
          <w:marBottom w:val="0"/>
          <w:divBdr>
            <w:top w:val="none" w:sz="0" w:space="0" w:color="auto"/>
            <w:left w:val="none" w:sz="0" w:space="0" w:color="auto"/>
            <w:bottom w:val="none" w:sz="0" w:space="0" w:color="auto"/>
            <w:right w:val="none" w:sz="0" w:space="0" w:color="auto"/>
          </w:divBdr>
        </w:div>
        <w:div w:id="509024503">
          <w:marLeft w:val="0"/>
          <w:marRight w:val="0"/>
          <w:marTop w:val="0"/>
          <w:marBottom w:val="0"/>
          <w:divBdr>
            <w:top w:val="none" w:sz="0" w:space="0" w:color="auto"/>
            <w:left w:val="none" w:sz="0" w:space="0" w:color="auto"/>
            <w:bottom w:val="none" w:sz="0" w:space="0" w:color="auto"/>
            <w:right w:val="none" w:sz="0" w:space="0" w:color="auto"/>
          </w:divBdr>
        </w:div>
        <w:div w:id="662129186">
          <w:marLeft w:val="0"/>
          <w:marRight w:val="0"/>
          <w:marTop w:val="0"/>
          <w:marBottom w:val="0"/>
          <w:divBdr>
            <w:top w:val="none" w:sz="0" w:space="0" w:color="auto"/>
            <w:left w:val="none" w:sz="0" w:space="0" w:color="auto"/>
            <w:bottom w:val="none" w:sz="0" w:space="0" w:color="auto"/>
            <w:right w:val="none" w:sz="0" w:space="0" w:color="auto"/>
          </w:divBdr>
        </w:div>
        <w:div w:id="663122360">
          <w:marLeft w:val="0"/>
          <w:marRight w:val="0"/>
          <w:marTop w:val="0"/>
          <w:marBottom w:val="0"/>
          <w:divBdr>
            <w:top w:val="none" w:sz="0" w:space="0" w:color="auto"/>
            <w:left w:val="none" w:sz="0" w:space="0" w:color="auto"/>
            <w:bottom w:val="none" w:sz="0" w:space="0" w:color="auto"/>
            <w:right w:val="none" w:sz="0" w:space="0" w:color="auto"/>
          </w:divBdr>
        </w:div>
        <w:div w:id="928077455">
          <w:marLeft w:val="0"/>
          <w:marRight w:val="0"/>
          <w:marTop w:val="0"/>
          <w:marBottom w:val="0"/>
          <w:divBdr>
            <w:top w:val="none" w:sz="0" w:space="0" w:color="auto"/>
            <w:left w:val="none" w:sz="0" w:space="0" w:color="auto"/>
            <w:bottom w:val="none" w:sz="0" w:space="0" w:color="auto"/>
            <w:right w:val="none" w:sz="0" w:space="0" w:color="auto"/>
          </w:divBdr>
        </w:div>
        <w:div w:id="952712716">
          <w:marLeft w:val="0"/>
          <w:marRight w:val="0"/>
          <w:marTop w:val="0"/>
          <w:marBottom w:val="0"/>
          <w:divBdr>
            <w:top w:val="none" w:sz="0" w:space="0" w:color="auto"/>
            <w:left w:val="none" w:sz="0" w:space="0" w:color="auto"/>
            <w:bottom w:val="none" w:sz="0" w:space="0" w:color="auto"/>
            <w:right w:val="none" w:sz="0" w:space="0" w:color="auto"/>
          </w:divBdr>
        </w:div>
        <w:div w:id="969825455">
          <w:marLeft w:val="0"/>
          <w:marRight w:val="0"/>
          <w:marTop w:val="0"/>
          <w:marBottom w:val="0"/>
          <w:divBdr>
            <w:top w:val="none" w:sz="0" w:space="0" w:color="auto"/>
            <w:left w:val="none" w:sz="0" w:space="0" w:color="auto"/>
            <w:bottom w:val="none" w:sz="0" w:space="0" w:color="auto"/>
            <w:right w:val="none" w:sz="0" w:space="0" w:color="auto"/>
          </w:divBdr>
        </w:div>
        <w:div w:id="984089253">
          <w:marLeft w:val="0"/>
          <w:marRight w:val="0"/>
          <w:marTop w:val="0"/>
          <w:marBottom w:val="0"/>
          <w:divBdr>
            <w:top w:val="none" w:sz="0" w:space="0" w:color="auto"/>
            <w:left w:val="none" w:sz="0" w:space="0" w:color="auto"/>
            <w:bottom w:val="none" w:sz="0" w:space="0" w:color="auto"/>
            <w:right w:val="none" w:sz="0" w:space="0" w:color="auto"/>
          </w:divBdr>
        </w:div>
        <w:div w:id="996423086">
          <w:marLeft w:val="0"/>
          <w:marRight w:val="0"/>
          <w:marTop w:val="0"/>
          <w:marBottom w:val="0"/>
          <w:divBdr>
            <w:top w:val="none" w:sz="0" w:space="0" w:color="auto"/>
            <w:left w:val="none" w:sz="0" w:space="0" w:color="auto"/>
            <w:bottom w:val="none" w:sz="0" w:space="0" w:color="auto"/>
            <w:right w:val="none" w:sz="0" w:space="0" w:color="auto"/>
          </w:divBdr>
        </w:div>
        <w:div w:id="1029646670">
          <w:marLeft w:val="0"/>
          <w:marRight w:val="0"/>
          <w:marTop w:val="0"/>
          <w:marBottom w:val="0"/>
          <w:divBdr>
            <w:top w:val="none" w:sz="0" w:space="0" w:color="auto"/>
            <w:left w:val="none" w:sz="0" w:space="0" w:color="auto"/>
            <w:bottom w:val="none" w:sz="0" w:space="0" w:color="auto"/>
            <w:right w:val="none" w:sz="0" w:space="0" w:color="auto"/>
          </w:divBdr>
        </w:div>
        <w:div w:id="1130319542">
          <w:marLeft w:val="0"/>
          <w:marRight w:val="0"/>
          <w:marTop w:val="0"/>
          <w:marBottom w:val="0"/>
          <w:divBdr>
            <w:top w:val="none" w:sz="0" w:space="0" w:color="auto"/>
            <w:left w:val="none" w:sz="0" w:space="0" w:color="auto"/>
            <w:bottom w:val="none" w:sz="0" w:space="0" w:color="auto"/>
            <w:right w:val="none" w:sz="0" w:space="0" w:color="auto"/>
          </w:divBdr>
        </w:div>
        <w:div w:id="1158499940">
          <w:marLeft w:val="0"/>
          <w:marRight w:val="0"/>
          <w:marTop w:val="0"/>
          <w:marBottom w:val="0"/>
          <w:divBdr>
            <w:top w:val="none" w:sz="0" w:space="0" w:color="auto"/>
            <w:left w:val="none" w:sz="0" w:space="0" w:color="auto"/>
            <w:bottom w:val="none" w:sz="0" w:space="0" w:color="auto"/>
            <w:right w:val="none" w:sz="0" w:space="0" w:color="auto"/>
          </w:divBdr>
        </w:div>
        <w:div w:id="1209991510">
          <w:marLeft w:val="0"/>
          <w:marRight w:val="0"/>
          <w:marTop w:val="0"/>
          <w:marBottom w:val="0"/>
          <w:divBdr>
            <w:top w:val="none" w:sz="0" w:space="0" w:color="auto"/>
            <w:left w:val="none" w:sz="0" w:space="0" w:color="auto"/>
            <w:bottom w:val="none" w:sz="0" w:space="0" w:color="auto"/>
            <w:right w:val="none" w:sz="0" w:space="0" w:color="auto"/>
          </w:divBdr>
        </w:div>
        <w:div w:id="1303467158">
          <w:marLeft w:val="0"/>
          <w:marRight w:val="0"/>
          <w:marTop w:val="0"/>
          <w:marBottom w:val="0"/>
          <w:divBdr>
            <w:top w:val="none" w:sz="0" w:space="0" w:color="auto"/>
            <w:left w:val="none" w:sz="0" w:space="0" w:color="auto"/>
            <w:bottom w:val="none" w:sz="0" w:space="0" w:color="auto"/>
            <w:right w:val="none" w:sz="0" w:space="0" w:color="auto"/>
          </w:divBdr>
        </w:div>
        <w:div w:id="1439370547">
          <w:marLeft w:val="0"/>
          <w:marRight w:val="0"/>
          <w:marTop w:val="0"/>
          <w:marBottom w:val="0"/>
          <w:divBdr>
            <w:top w:val="none" w:sz="0" w:space="0" w:color="auto"/>
            <w:left w:val="none" w:sz="0" w:space="0" w:color="auto"/>
            <w:bottom w:val="none" w:sz="0" w:space="0" w:color="auto"/>
            <w:right w:val="none" w:sz="0" w:space="0" w:color="auto"/>
          </w:divBdr>
        </w:div>
        <w:div w:id="1442607580">
          <w:marLeft w:val="0"/>
          <w:marRight w:val="0"/>
          <w:marTop w:val="0"/>
          <w:marBottom w:val="0"/>
          <w:divBdr>
            <w:top w:val="none" w:sz="0" w:space="0" w:color="auto"/>
            <w:left w:val="none" w:sz="0" w:space="0" w:color="auto"/>
            <w:bottom w:val="none" w:sz="0" w:space="0" w:color="auto"/>
            <w:right w:val="none" w:sz="0" w:space="0" w:color="auto"/>
          </w:divBdr>
        </w:div>
        <w:div w:id="1539396342">
          <w:marLeft w:val="0"/>
          <w:marRight w:val="0"/>
          <w:marTop w:val="0"/>
          <w:marBottom w:val="0"/>
          <w:divBdr>
            <w:top w:val="none" w:sz="0" w:space="0" w:color="auto"/>
            <w:left w:val="none" w:sz="0" w:space="0" w:color="auto"/>
            <w:bottom w:val="none" w:sz="0" w:space="0" w:color="auto"/>
            <w:right w:val="none" w:sz="0" w:space="0" w:color="auto"/>
          </w:divBdr>
        </w:div>
        <w:div w:id="1566526052">
          <w:marLeft w:val="0"/>
          <w:marRight w:val="0"/>
          <w:marTop w:val="0"/>
          <w:marBottom w:val="0"/>
          <w:divBdr>
            <w:top w:val="none" w:sz="0" w:space="0" w:color="auto"/>
            <w:left w:val="none" w:sz="0" w:space="0" w:color="auto"/>
            <w:bottom w:val="none" w:sz="0" w:space="0" w:color="auto"/>
            <w:right w:val="none" w:sz="0" w:space="0" w:color="auto"/>
          </w:divBdr>
        </w:div>
        <w:div w:id="1619531305">
          <w:marLeft w:val="0"/>
          <w:marRight w:val="0"/>
          <w:marTop w:val="0"/>
          <w:marBottom w:val="0"/>
          <w:divBdr>
            <w:top w:val="none" w:sz="0" w:space="0" w:color="auto"/>
            <w:left w:val="none" w:sz="0" w:space="0" w:color="auto"/>
            <w:bottom w:val="none" w:sz="0" w:space="0" w:color="auto"/>
            <w:right w:val="none" w:sz="0" w:space="0" w:color="auto"/>
          </w:divBdr>
        </w:div>
        <w:div w:id="1680740200">
          <w:marLeft w:val="0"/>
          <w:marRight w:val="0"/>
          <w:marTop w:val="0"/>
          <w:marBottom w:val="0"/>
          <w:divBdr>
            <w:top w:val="none" w:sz="0" w:space="0" w:color="auto"/>
            <w:left w:val="none" w:sz="0" w:space="0" w:color="auto"/>
            <w:bottom w:val="none" w:sz="0" w:space="0" w:color="auto"/>
            <w:right w:val="none" w:sz="0" w:space="0" w:color="auto"/>
          </w:divBdr>
        </w:div>
        <w:div w:id="1806392325">
          <w:marLeft w:val="0"/>
          <w:marRight w:val="0"/>
          <w:marTop w:val="0"/>
          <w:marBottom w:val="0"/>
          <w:divBdr>
            <w:top w:val="none" w:sz="0" w:space="0" w:color="auto"/>
            <w:left w:val="none" w:sz="0" w:space="0" w:color="auto"/>
            <w:bottom w:val="none" w:sz="0" w:space="0" w:color="auto"/>
            <w:right w:val="none" w:sz="0" w:space="0" w:color="auto"/>
          </w:divBdr>
        </w:div>
        <w:div w:id="1857764949">
          <w:marLeft w:val="0"/>
          <w:marRight w:val="0"/>
          <w:marTop w:val="0"/>
          <w:marBottom w:val="0"/>
          <w:divBdr>
            <w:top w:val="none" w:sz="0" w:space="0" w:color="auto"/>
            <w:left w:val="none" w:sz="0" w:space="0" w:color="auto"/>
            <w:bottom w:val="none" w:sz="0" w:space="0" w:color="auto"/>
            <w:right w:val="none" w:sz="0" w:space="0" w:color="auto"/>
          </w:divBdr>
        </w:div>
        <w:div w:id="1888225216">
          <w:marLeft w:val="0"/>
          <w:marRight w:val="0"/>
          <w:marTop w:val="0"/>
          <w:marBottom w:val="0"/>
          <w:divBdr>
            <w:top w:val="none" w:sz="0" w:space="0" w:color="auto"/>
            <w:left w:val="none" w:sz="0" w:space="0" w:color="auto"/>
            <w:bottom w:val="none" w:sz="0" w:space="0" w:color="auto"/>
            <w:right w:val="none" w:sz="0" w:space="0" w:color="auto"/>
          </w:divBdr>
        </w:div>
        <w:div w:id="1971473307">
          <w:marLeft w:val="0"/>
          <w:marRight w:val="0"/>
          <w:marTop w:val="0"/>
          <w:marBottom w:val="0"/>
          <w:divBdr>
            <w:top w:val="none" w:sz="0" w:space="0" w:color="auto"/>
            <w:left w:val="none" w:sz="0" w:space="0" w:color="auto"/>
            <w:bottom w:val="none" w:sz="0" w:space="0" w:color="auto"/>
            <w:right w:val="none" w:sz="0" w:space="0" w:color="auto"/>
          </w:divBdr>
        </w:div>
        <w:div w:id="2020036505">
          <w:marLeft w:val="0"/>
          <w:marRight w:val="0"/>
          <w:marTop w:val="0"/>
          <w:marBottom w:val="0"/>
          <w:divBdr>
            <w:top w:val="none" w:sz="0" w:space="0" w:color="auto"/>
            <w:left w:val="none" w:sz="0" w:space="0" w:color="auto"/>
            <w:bottom w:val="none" w:sz="0" w:space="0" w:color="auto"/>
            <w:right w:val="none" w:sz="0" w:space="0" w:color="auto"/>
          </w:divBdr>
        </w:div>
        <w:div w:id="2142191464">
          <w:marLeft w:val="0"/>
          <w:marRight w:val="0"/>
          <w:marTop w:val="0"/>
          <w:marBottom w:val="0"/>
          <w:divBdr>
            <w:top w:val="none" w:sz="0" w:space="0" w:color="auto"/>
            <w:left w:val="none" w:sz="0" w:space="0" w:color="auto"/>
            <w:bottom w:val="none" w:sz="0" w:space="0" w:color="auto"/>
            <w:right w:val="none" w:sz="0" w:space="0" w:color="auto"/>
          </w:divBdr>
        </w:div>
      </w:divsChild>
    </w:div>
    <w:div w:id="1542086317">
      <w:bodyDiv w:val="1"/>
      <w:marLeft w:val="0"/>
      <w:marRight w:val="0"/>
      <w:marTop w:val="0"/>
      <w:marBottom w:val="0"/>
      <w:divBdr>
        <w:top w:val="none" w:sz="0" w:space="0" w:color="auto"/>
        <w:left w:val="none" w:sz="0" w:space="0" w:color="auto"/>
        <w:bottom w:val="none" w:sz="0" w:space="0" w:color="auto"/>
        <w:right w:val="none" w:sz="0" w:space="0" w:color="auto"/>
      </w:divBdr>
      <w:divsChild>
        <w:div w:id="1751081693">
          <w:marLeft w:val="60"/>
          <w:marRight w:val="60"/>
          <w:marTop w:val="0"/>
          <w:marBottom w:val="0"/>
          <w:divBdr>
            <w:top w:val="none" w:sz="0" w:space="0" w:color="auto"/>
            <w:left w:val="none" w:sz="0" w:space="0" w:color="auto"/>
            <w:bottom w:val="none" w:sz="0" w:space="0" w:color="auto"/>
            <w:right w:val="none" w:sz="0" w:space="0" w:color="auto"/>
          </w:divBdr>
          <w:divsChild>
            <w:div w:id="1730959873">
              <w:marLeft w:val="0"/>
              <w:marRight w:val="0"/>
              <w:marTop w:val="0"/>
              <w:marBottom w:val="0"/>
              <w:divBdr>
                <w:top w:val="none" w:sz="0" w:space="0" w:color="auto"/>
                <w:left w:val="none" w:sz="0" w:space="0" w:color="auto"/>
                <w:bottom w:val="none" w:sz="0" w:space="0" w:color="auto"/>
                <w:right w:val="none" w:sz="0" w:space="0" w:color="auto"/>
              </w:divBdr>
              <w:divsChild>
                <w:div w:id="1553685813">
                  <w:marLeft w:val="0"/>
                  <w:marRight w:val="0"/>
                  <w:marTop w:val="0"/>
                  <w:marBottom w:val="0"/>
                  <w:divBdr>
                    <w:top w:val="none" w:sz="0" w:space="0" w:color="auto"/>
                    <w:left w:val="none" w:sz="0" w:space="0" w:color="auto"/>
                    <w:bottom w:val="none" w:sz="0" w:space="0" w:color="auto"/>
                    <w:right w:val="none" w:sz="0" w:space="0" w:color="auto"/>
                  </w:divBdr>
                  <w:divsChild>
                    <w:div w:id="2006779556">
                      <w:marLeft w:val="0"/>
                      <w:marRight w:val="0"/>
                      <w:marTop w:val="0"/>
                      <w:marBottom w:val="0"/>
                      <w:divBdr>
                        <w:top w:val="none" w:sz="0" w:space="0" w:color="auto"/>
                        <w:left w:val="none" w:sz="0" w:space="0" w:color="auto"/>
                        <w:bottom w:val="none" w:sz="0" w:space="0" w:color="auto"/>
                        <w:right w:val="none" w:sz="0" w:space="0" w:color="auto"/>
                      </w:divBdr>
                      <w:divsChild>
                        <w:div w:id="1387488276">
                          <w:marLeft w:val="15"/>
                          <w:marRight w:val="15"/>
                          <w:marTop w:val="0"/>
                          <w:marBottom w:val="0"/>
                          <w:divBdr>
                            <w:top w:val="none" w:sz="0" w:space="0" w:color="323130"/>
                            <w:left w:val="none" w:sz="0" w:space="0" w:color="323130"/>
                            <w:bottom w:val="none" w:sz="0" w:space="0" w:color="323130"/>
                            <w:right w:val="none" w:sz="0" w:space="0" w:color="323130"/>
                          </w:divBdr>
                        </w:div>
                      </w:divsChild>
                    </w:div>
                  </w:divsChild>
                </w:div>
              </w:divsChild>
            </w:div>
          </w:divsChild>
        </w:div>
        <w:div w:id="1786727418">
          <w:marLeft w:val="60"/>
          <w:marRight w:val="60"/>
          <w:marTop w:val="0"/>
          <w:marBottom w:val="0"/>
          <w:divBdr>
            <w:top w:val="none" w:sz="0" w:space="0" w:color="auto"/>
            <w:left w:val="none" w:sz="0" w:space="0" w:color="auto"/>
            <w:bottom w:val="none" w:sz="0" w:space="0" w:color="auto"/>
            <w:right w:val="none" w:sz="0" w:space="0" w:color="auto"/>
          </w:divBdr>
        </w:div>
      </w:divsChild>
    </w:div>
    <w:div w:id="1566336507">
      <w:bodyDiv w:val="1"/>
      <w:marLeft w:val="0"/>
      <w:marRight w:val="0"/>
      <w:marTop w:val="0"/>
      <w:marBottom w:val="0"/>
      <w:divBdr>
        <w:top w:val="none" w:sz="0" w:space="0" w:color="auto"/>
        <w:left w:val="none" w:sz="0" w:space="0" w:color="auto"/>
        <w:bottom w:val="none" w:sz="0" w:space="0" w:color="auto"/>
        <w:right w:val="none" w:sz="0" w:space="0" w:color="auto"/>
      </w:divBdr>
      <w:divsChild>
        <w:div w:id="20976537">
          <w:marLeft w:val="0"/>
          <w:marRight w:val="0"/>
          <w:marTop w:val="45"/>
          <w:marBottom w:val="60"/>
          <w:divBdr>
            <w:top w:val="none" w:sz="0" w:space="0" w:color="auto"/>
            <w:left w:val="none" w:sz="0" w:space="0" w:color="auto"/>
            <w:bottom w:val="none" w:sz="0" w:space="0" w:color="auto"/>
            <w:right w:val="none" w:sz="0" w:space="0" w:color="auto"/>
          </w:divBdr>
        </w:div>
        <w:div w:id="80033621">
          <w:marLeft w:val="0"/>
          <w:marRight w:val="0"/>
          <w:marTop w:val="0"/>
          <w:marBottom w:val="0"/>
          <w:divBdr>
            <w:top w:val="none" w:sz="0" w:space="0" w:color="auto"/>
            <w:left w:val="none" w:sz="0" w:space="0" w:color="auto"/>
            <w:bottom w:val="none" w:sz="0" w:space="0" w:color="auto"/>
            <w:right w:val="none" w:sz="0" w:space="0" w:color="auto"/>
          </w:divBdr>
          <w:divsChild>
            <w:div w:id="656302270">
              <w:marLeft w:val="0"/>
              <w:marRight w:val="0"/>
              <w:marTop w:val="0"/>
              <w:marBottom w:val="0"/>
              <w:divBdr>
                <w:top w:val="none" w:sz="0" w:space="0" w:color="auto"/>
                <w:left w:val="none" w:sz="0" w:space="0" w:color="auto"/>
                <w:bottom w:val="none" w:sz="0" w:space="0" w:color="auto"/>
                <w:right w:val="none" w:sz="0" w:space="0" w:color="auto"/>
              </w:divBdr>
              <w:divsChild>
                <w:div w:id="7564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67196">
      <w:bodyDiv w:val="1"/>
      <w:marLeft w:val="0"/>
      <w:marRight w:val="0"/>
      <w:marTop w:val="0"/>
      <w:marBottom w:val="0"/>
      <w:divBdr>
        <w:top w:val="none" w:sz="0" w:space="0" w:color="auto"/>
        <w:left w:val="none" w:sz="0" w:space="0" w:color="auto"/>
        <w:bottom w:val="none" w:sz="0" w:space="0" w:color="auto"/>
        <w:right w:val="none" w:sz="0" w:space="0" w:color="auto"/>
      </w:divBdr>
      <w:divsChild>
        <w:div w:id="1599295137">
          <w:marLeft w:val="0"/>
          <w:marRight w:val="0"/>
          <w:marTop w:val="0"/>
          <w:marBottom w:val="60"/>
          <w:divBdr>
            <w:top w:val="none" w:sz="0" w:space="0" w:color="auto"/>
            <w:left w:val="none" w:sz="0" w:space="0" w:color="auto"/>
            <w:bottom w:val="none" w:sz="0" w:space="0" w:color="auto"/>
            <w:right w:val="none" w:sz="0" w:space="0" w:color="auto"/>
          </w:divBdr>
        </w:div>
        <w:div w:id="1769696536">
          <w:marLeft w:val="0"/>
          <w:marRight w:val="0"/>
          <w:marTop w:val="0"/>
          <w:marBottom w:val="0"/>
          <w:divBdr>
            <w:top w:val="none" w:sz="0" w:space="0" w:color="auto"/>
            <w:left w:val="none" w:sz="0" w:space="0" w:color="auto"/>
            <w:bottom w:val="none" w:sz="0" w:space="0" w:color="auto"/>
            <w:right w:val="none" w:sz="0" w:space="0" w:color="auto"/>
          </w:divBdr>
          <w:divsChild>
            <w:div w:id="780950931">
              <w:marLeft w:val="0"/>
              <w:marRight w:val="0"/>
              <w:marTop w:val="0"/>
              <w:marBottom w:val="0"/>
              <w:divBdr>
                <w:top w:val="none" w:sz="0" w:space="0" w:color="auto"/>
                <w:left w:val="none" w:sz="0" w:space="0" w:color="auto"/>
                <w:bottom w:val="none" w:sz="0" w:space="0" w:color="auto"/>
                <w:right w:val="none" w:sz="0" w:space="0" w:color="auto"/>
              </w:divBdr>
              <w:divsChild>
                <w:div w:id="16543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40926">
      <w:bodyDiv w:val="1"/>
      <w:marLeft w:val="0"/>
      <w:marRight w:val="0"/>
      <w:marTop w:val="0"/>
      <w:marBottom w:val="0"/>
      <w:divBdr>
        <w:top w:val="none" w:sz="0" w:space="0" w:color="auto"/>
        <w:left w:val="none" w:sz="0" w:space="0" w:color="auto"/>
        <w:bottom w:val="none" w:sz="0" w:space="0" w:color="auto"/>
        <w:right w:val="none" w:sz="0" w:space="0" w:color="auto"/>
      </w:divBdr>
    </w:div>
    <w:div w:id="1691643325">
      <w:bodyDiv w:val="1"/>
      <w:marLeft w:val="0"/>
      <w:marRight w:val="0"/>
      <w:marTop w:val="0"/>
      <w:marBottom w:val="0"/>
      <w:divBdr>
        <w:top w:val="none" w:sz="0" w:space="0" w:color="auto"/>
        <w:left w:val="none" w:sz="0" w:space="0" w:color="auto"/>
        <w:bottom w:val="none" w:sz="0" w:space="0" w:color="auto"/>
        <w:right w:val="none" w:sz="0" w:space="0" w:color="auto"/>
      </w:divBdr>
      <w:divsChild>
        <w:div w:id="1986349033">
          <w:marLeft w:val="60"/>
          <w:marRight w:val="60"/>
          <w:marTop w:val="0"/>
          <w:marBottom w:val="0"/>
          <w:divBdr>
            <w:top w:val="none" w:sz="0" w:space="0" w:color="auto"/>
            <w:left w:val="none" w:sz="0" w:space="0" w:color="auto"/>
            <w:bottom w:val="none" w:sz="0" w:space="0" w:color="auto"/>
            <w:right w:val="none" w:sz="0" w:space="0" w:color="auto"/>
          </w:divBdr>
          <w:divsChild>
            <w:div w:id="745150395">
              <w:marLeft w:val="0"/>
              <w:marRight w:val="0"/>
              <w:marTop w:val="0"/>
              <w:marBottom w:val="0"/>
              <w:divBdr>
                <w:top w:val="none" w:sz="0" w:space="0" w:color="auto"/>
                <w:left w:val="none" w:sz="0" w:space="0" w:color="auto"/>
                <w:bottom w:val="none" w:sz="0" w:space="0" w:color="auto"/>
                <w:right w:val="none" w:sz="0" w:space="0" w:color="auto"/>
              </w:divBdr>
              <w:divsChild>
                <w:div w:id="1727138824">
                  <w:marLeft w:val="0"/>
                  <w:marRight w:val="0"/>
                  <w:marTop w:val="0"/>
                  <w:marBottom w:val="0"/>
                  <w:divBdr>
                    <w:top w:val="none" w:sz="0" w:space="0" w:color="auto"/>
                    <w:left w:val="none" w:sz="0" w:space="0" w:color="auto"/>
                    <w:bottom w:val="none" w:sz="0" w:space="0" w:color="auto"/>
                    <w:right w:val="none" w:sz="0" w:space="0" w:color="auto"/>
                  </w:divBdr>
                  <w:divsChild>
                    <w:div w:id="1510411891">
                      <w:marLeft w:val="0"/>
                      <w:marRight w:val="0"/>
                      <w:marTop w:val="0"/>
                      <w:marBottom w:val="0"/>
                      <w:divBdr>
                        <w:top w:val="none" w:sz="0" w:space="0" w:color="auto"/>
                        <w:left w:val="none" w:sz="0" w:space="0" w:color="auto"/>
                        <w:bottom w:val="none" w:sz="0" w:space="0" w:color="auto"/>
                        <w:right w:val="none" w:sz="0" w:space="0" w:color="auto"/>
                      </w:divBdr>
                      <w:divsChild>
                        <w:div w:id="3088310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2089226341">
          <w:marLeft w:val="60"/>
          <w:marRight w:val="60"/>
          <w:marTop w:val="0"/>
          <w:marBottom w:val="0"/>
          <w:divBdr>
            <w:top w:val="none" w:sz="0" w:space="0" w:color="auto"/>
            <w:left w:val="none" w:sz="0" w:space="0" w:color="auto"/>
            <w:bottom w:val="none" w:sz="0" w:space="0" w:color="auto"/>
            <w:right w:val="none" w:sz="0" w:space="0" w:color="auto"/>
          </w:divBdr>
        </w:div>
      </w:divsChild>
    </w:div>
    <w:div w:id="1720669551">
      <w:bodyDiv w:val="1"/>
      <w:marLeft w:val="0"/>
      <w:marRight w:val="0"/>
      <w:marTop w:val="0"/>
      <w:marBottom w:val="0"/>
      <w:divBdr>
        <w:top w:val="none" w:sz="0" w:space="0" w:color="auto"/>
        <w:left w:val="none" w:sz="0" w:space="0" w:color="auto"/>
        <w:bottom w:val="none" w:sz="0" w:space="0" w:color="auto"/>
        <w:right w:val="none" w:sz="0" w:space="0" w:color="auto"/>
      </w:divBdr>
      <w:divsChild>
        <w:div w:id="26685503">
          <w:marLeft w:val="0"/>
          <w:marRight w:val="0"/>
          <w:marTop w:val="0"/>
          <w:marBottom w:val="450"/>
          <w:divBdr>
            <w:top w:val="none" w:sz="0" w:space="0" w:color="auto"/>
            <w:left w:val="none" w:sz="0" w:space="0" w:color="auto"/>
            <w:bottom w:val="none" w:sz="0" w:space="0" w:color="auto"/>
            <w:right w:val="none" w:sz="0" w:space="0" w:color="auto"/>
          </w:divBdr>
          <w:divsChild>
            <w:div w:id="1807308562">
              <w:marLeft w:val="0"/>
              <w:marRight w:val="0"/>
              <w:marTop w:val="0"/>
              <w:marBottom w:val="0"/>
              <w:divBdr>
                <w:top w:val="none" w:sz="0" w:space="0" w:color="auto"/>
                <w:left w:val="none" w:sz="0" w:space="0" w:color="auto"/>
                <w:bottom w:val="none" w:sz="0" w:space="0" w:color="auto"/>
                <w:right w:val="none" w:sz="0" w:space="0" w:color="auto"/>
              </w:divBdr>
            </w:div>
          </w:divsChild>
        </w:div>
        <w:div w:id="1279918259">
          <w:marLeft w:val="0"/>
          <w:marRight w:val="0"/>
          <w:marTop w:val="0"/>
          <w:marBottom w:val="450"/>
          <w:divBdr>
            <w:top w:val="none" w:sz="0" w:space="0" w:color="auto"/>
            <w:left w:val="none" w:sz="0" w:space="0" w:color="auto"/>
            <w:bottom w:val="none" w:sz="0" w:space="0" w:color="auto"/>
            <w:right w:val="none" w:sz="0" w:space="0" w:color="auto"/>
          </w:divBdr>
          <w:divsChild>
            <w:div w:id="11539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1878">
      <w:bodyDiv w:val="1"/>
      <w:marLeft w:val="0"/>
      <w:marRight w:val="0"/>
      <w:marTop w:val="0"/>
      <w:marBottom w:val="0"/>
      <w:divBdr>
        <w:top w:val="none" w:sz="0" w:space="0" w:color="auto"/>
        <w:left w:val="none" w:sz="0" w:space="0" w:color="auto"/>
        <w:bottom w:val="none" w:sz="0" w:space="0" w:color="auto"/>
        <w:right w:val="none" w:sz="0" w:space="0" w:color="auto"/>
      </w:divBdr>
      <w:divsChild>
        <w:div w:id="1036807885">
          <w:marLeft w:val="60"/>
          <w:marRight w:val="60"/>
          <w:marTop w:val="0"/>
          <w:marBottom w:val="0"/>
          <w:divBdr>
            <w:top w:val="none" w:sz="0" w:space="0" w:color="auto"/>
            <w:left w:val="none" w:sz="0" w:space="0" w:color="auto"/>
            <w:bottom w:val="none" w:sz="0" w:space="0" w:color="auto"/>
            <w:right w:val="none" w:sz="0" w:space="0" w:color="auto"/>
          </w:divBdr>
          <w:divsChild>
            <w:div w:id="1918708207">
              <w:marLeft w:val="0"/>
              <w:marRight w:val="0"/>
              <w:marTop w:val="0"/>
              <w:marBottom w:val="0"/>
              <w:divBdr>
                <w:top w:val="none" w:sz="0" w:space="0" w:color="auto"/>
                <w:left w:val="none" w:sz="0" w:space="0" w:color="auto"/>
                <w:bottom w:val="none" w:sz="0" w:space="0" w:color="auto"/>
                <w:right w:val="none" w:sz="0" w:space="0" w:color="auto"/>
              </w:divBdr>
              <w:divsChild>
                <w:div w:id="698160543">
                  <w:marLeft w:val="0"/>
                  <w:marRight w:val="0"/>
                  <w:marTop w:val="0"/>
                  <w:marBottom w:val="0"/>
                  <w:divBdr>
                    <w:top w:val="none" w:sz="0" w:space="0" w:color="auto"/>
                    <w:left w:val="none" w:sz="0" w:space="0" w:color="auto"/>
                    <w:bottom w:val="none" w:sz="0" w:space="0" w:color="auto"/>
                    <w:right w:val="none" w:sz="0" w:space="0" w:color="auto"/>
                  </w:divBdr>
                  <w:divsChild>
                    <w:div w:id="1872181083">
                      <w:marLeft w:val="0"/>
                      <w:marRight w:val="0"/>
                      <w:marTop w:val="0"/>
                      <w:marBottom w:val="0"/>
                      <w:divBdr>
                        <w:top w:val="none" w:sz="0" w:space="0" w:color="auto"/>
                        <w:left w:val="none" w:sz="0" w:space="0" w:color="auto"/>
                        <w:bottom w:val="none" w:sz="0" w:space="0" w:color="auto"/>
                        <w:right w:val="none" w:sz="0" w:space="0" w:color="auto"/>
                      </w:divBdr>
                      <w:divsChild>
                        <w:div w:id="112947229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705868088">
          <w:marLeft w:val="60"/>
          <w:marRight w:val="60"/>
          <w:marTop w:val="0"/>
          <w:marBottom w:val="0"/>
          <w:divBdr>
            <w:top w:val="none" w:sz="0" w:space="0" w:color="auto"/>
            <w:left w:val="none" w:sz="0" w:space="0" w:color="auto"/>
            <w:bottom w:val="none" w:sz="0" w:space="0" w:color="auto"/>
            <w:right w:val="none" w:sz="0" w:space="0" w:color="auto"/>
          </w:divBdr>
        </w:div>
      </w:divsChild>
    </w:div>
    <w:div w:id="1840384837">
      <w:bodyDiv w:val="1"/>
      <w:marLeft w:val="0"/>
      <w:marRight w:val="0"/>
      <w:marTop w:val="0"/>
      <w:marBottom w:val="0"/>
      <w:divBdr>
        <w:top w:val="none" w:sz="0" w:space="0" w:color="auto"/>
        <w:left w:val="none" w:sz="0" w:space="0" w:color="auto"/>
        <w:bottom w:val="none" w:sz="0" w:space="0" w:color="auto"/>
        <w:right w:val="none" w:sz="0" w:space="0" w:color="auto"/>
      </w:divBdr>
    </w:div>
    <w:div w:id="1879125278">
      <w:bodyDiv w:val="1"/>
      <w:marLeft w:val="0"/>
      <w:marRight w:val="0"/>
      <w:marTop w:val="0"/>
      <w:marBottom w:val="0"/>
      <w:divBdr>
        <w:top w:val="none" w:sz="0" w:space="0" w:color="auto"/>
        <w:left w:val="none" w:sz="0" w:space="0" w:color="auto"/>
        <w:bottom w:val="none" w:sz="0" w:space="0" w:color="auto"/>
        <w:right w:val="none" w:sz="0" w:space="0" w:color="auto"/>
      </w:divBdr>
    </w:div>
    <w:div w:id="1905215081">
      <w:bodyDiv w:val="1"/>
      <w:marLeft w:val="0"/>
      <w:marRight w:val="0"/>
      <w:marTop w:val="0"/>
      <w:marBottom w:val="0"/>
      <w:divBdr>
        <w:top w:val="none" w:sz="0" w:space="0" w:color="auto"/>
        <w:left w:val="none" w:sz="0" w:space="0" w:color="auto"/>
        <w:bottom w:val="none" w:sz="0" w:space="0" w:color="auto"/>
        <w:right w:val="none" w:sz="0" w:space="0" w:color="auto"/>
      </w:divBdr>
    </w:div>
    <w:div w:id="1906838671">
      <w:bodyDiv w:val="1"/>
      <w:marLeft w:val="0"/>
      <w:marRight w:val="0"/>
      <w:marTop w:val="0"/>
      <w:marBottom w:val="0"/>
      <w:divBdr>
        <w:top w:val="none" w:sz="0" w:space="0" w:color="auto"/>
        <w:left w:val="none" w:sz="0" w:space="0" w:color="auto"/>
        <w:bottom w:val="none" w:sz="0" w:space="0" w:color="auto"/>
        <w:right w:val="none" w:sz="0" w:space="0" w:color="auto"/>
      </w:divBdr>
    </w:div>
    <w:div w:id="1937905770">
      <w:bodyDiv w:val="1"/>
      <w:marLeft w:val="0"/>
      <w:marRight w:val="0"/>
      <w:marTop w:val="0"/>
      <w:marBottom w:val="0"/>
      <w:divBdr>
        <w:top w:val="none" w:sz="0" w:space="0" w:color="auto"/>
        <w:left w:val="none" w:sz="0" w:space="0" w:color="auto"/>
        <w:bottom w:val="none" w:sz="0" w:space="0" w:color="auto"/>
        <w:right w:val="none" w:sz="0" w:space="0" w:color="auto"/>
      </w:divBdr>
    </w:div>
    <w:div w:id="2046369277">
      <w:bodyDiv w:val="1"/>
      <w:marLeft w:val="0"/>
      <w:marRight w:val="0"/>
      <w:marTop w:val="0"/>
      <w:marBottom w:val="0"/>
      <w:divBdr>
        <w:top w:val="none" w:sz="0" w:space="0" w:color="auto"/>
        <w:left w:val="none" w:sz="0" w:space="0" w:color="auto"/>
        <w:bottom w:val="none" w:sz="0" w:space="0" w:color="auto"/>
        <w:right w:val="none" w:sz="0" w:space="0" w:color="auto"/>
      </w:divBdr>
    </w:div>
    <w:div w:id="2046521406">
      <w:bodyDiv w:val="1"/>
      <w:marLeft w:val="0"/>
      <w:marRight w:val="0"/>
      <w:marTop w:val="0"/>
      <w:marBottom w:val="0"/>
      <w:divBdr>
        <w:top w:val="none" w:sz="0" w:space="0" w:color="auto"/>
        <w:left w:val="none" w:sz="0" w:space="0" w:color="auto"/>
        <w:bottom w:val="none" w:sz="0" w:space="0" w:color="auto"/>
        <w:right w:val="none" w:sz="0" w:space="0" w:color="auto"/>
      </w:divBdr>
      <w:divsChild>
        <w:div w:id="219051282">
          <w:marLeft w:val="0"/>
          <w:marRight w:val="0"/>
          <w:marTop w:val="0"/>
          <w:marBottom w:val="450"/>
          <w:divBdr>
            <w:top w:val="none" w:sz="0" w:space="0" w:color="auto"/>
            <w:left w:val="none" w:sz="0" w:space="0" w:color="auto"/>
            <w:bottom w:val="none" w:sz="0" w:space="0" w:color="auto"/>
            <w:right w:val="none" w:sz="0" w:space="0" w:color="auto"/>
          </w:divBdr>
          <w:divsChild>
            <w:div w:id="530344664">
              <w:marLeft w:val="0"/>
              <w:marRight w:val="0"/>
              <w:marTop w:val="0"/>
              <w:marBottom w:val="0"/>
              <w:divBdr>
                <w:top w:val="none" w:sz="0" w:space="0" w:color="auto"/>
                <w:left w:val="none" w:sz="0" w:space="0" w:color="auto"/>
                <w:bottom w:val="none" w:sz="0" w:space="0" w:color="auto"/>
                <w:right w:val="none" w:sz="0" w:space="0" w:color="auto"/>
              </w:divBdr>
            </w:div>
          </w:divsChild>
        </w:div>
        <w:div w:id="2075542322">
          <w:marLeft w:val="0"/>
          <w:marRight w:val="0"/>
          <w:marTop w:val="0"/>
          <w:marBottom w:val="450"/>
          <w:divBdr>
            <w:top w:val="none" w:sz="0" w:space="0" w:color="auto"/>
            <w:left w:val="none" w:sz="0" w:space="0" w:color="auto"/>
            <w:bottom w:val="none" w:sz="0" w:space="0" w:color="auto"/>
            <w:right w:val="none" w:sz="0" w:space="0" w:color="auto"/>
          </w:divBdr>
          <w:divsChild>
            <w:div w:id="15684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8315">
      <w:bodyDiv w:val="1"/>
      <w:marLeft w:val="0"/>
      <w:marRight w:val="0"/>
      <w:marTop w:val="0"/>
      <w:marBottom w:val="0"/>
      <w:divBdr>
        <w:top w:val="none" w:sz="0" w:space="0" w:color="auto"/>
        <w:left w:val="none" w:sz="0" w:space="0" w:color="auto"/>
        <w:bottom w:val="none" w:sz="0" w:space="0" w:color="auto"/>
        <w:right w:val="none" w:sz="0" w:space="0" w:color="auto"/>
      </w:divBdr>
      <w:divsChild>
        <w:div w:id="195042055">
          <w:marLeft w:val="0"/>
          <w:marRight w:val="0"/>
          <w:marTop w:val="0"/>
          <w:marBottom w:val="0"/>
          <w:divBdr>
            <w:top w:val="none" w:sz="0" w:space="0" w:color="auto"/>
            <w:left w:val="none" w:sz="0" w:space="0" w:color="auto"/>
            <w:bottom w:val="none" w:sz="0" w:space="0" w:color="auto"/>
            <w:right w:val="none" w:sz="0" w:space="0" w:color="auto"/>
          </w:divBdr>
          <w:divsChild>
            <w:div w:id="1119445736">
              <w:marLeft w:val="0"/>
              <w:marRight w:val="0"/>
              <w:marTop w:val="0"/>
              <w:marBottom w:val="60"/>
              <w:divBdr>
                <w:top w:val="none" w:sz="0" w:space="0" w:color="auto"/>
                <w:left w:val="none" w:sz="0" w:space="0" w:color="auto"/>
                <w:bottom w:val="none" w:sz="0" w:space="0" w:color="auto"/>
                <w:right w:val="none" w:sz="0" w:space="0" w:color="auto"/>
              </w:divBdr>
            </w:div>
          </w:divsChild>
        </w:div>
        <w:div w:id="1239558722">
          <w:marLeft w:val="0"/>
          <w:marRight w:val="0"/>
          <w:marTop w:val="0"/>
          <w:marBottom w:val="0"/>
          <w:divBdr>
            <w:top w:val="none" w:sz="0" w:space="0" w:color="auto"/>
            <w:left w:val="none" w:sz="0" w:space="0" w:color="auto"/>
            <w:bottom w:val="none" w:sz="0" w:space="0" w:color="auto"/>
            <w:right w:val="none" w:sz="0" w:space="0" w:color="auto"/>
          </w:divBdr>
          <w:divsChild>
            <w:div w:id="1972830790">
              <w:marLeft w:val="0"/>
              <w:marRight w:val="0"/>
              <w:marTop w:val="0"/>
              <w:marBottom w:val="0"/>
              <w:divBdr>
                <w:top w:val="none" w:sz="0" w:space="0" w:color="auto"/>
                <w:left w:val="none" w:sz="0" w:space="0" w:color="auto"/>
                <w:bottom w:val="none" w:sz="0" w:space="0" w:color="auto"/>
                <w:right w:val="none" w:sz="0" w:space="0" w:color="auto"/>
              </w:divBdr>
              <w:divsChild>
                <w:div w:id="360209928">
                  <w:marLeft w:val="0"/>
                  <w:marRight w:val="0"/>
                  <w:marTop w:val="0"/>
                  <w:marBottom w:val="0"/>
                  <w:divBdr>
                    <w:top w:val="none" w:sz="0" w:space="0" w:color="auto"/>
                    <w:left w:val="none" w:sz="0" w:space="0" w:color="auto"/>
                    <w:bottom w:val="none" w:sz="0" w:space="0" w:color="auto"/>
                    <w:right w:val="none" w:sz="0" w:space="0" w:color="auto"/>
                  </w:divBdr>
                  <w:divsChild>
                    <w:div w:id="186359173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702433">
      <w:bodyDiv w:val="1"/>
      <w:marLeft w:val="0"/>
      <w:marRight w:val="0"/>
      <w:marTop w:val="0"/>
      <w:marBottom w:val="0"/>
      <w:divBdr>
        <w:top w:val="none" w:sz="0" w:space="0" w:color="auto"/>
        <w:left w:val="none" w:sz="0" w:space="0" w:color="auto"/>
        <w:bottom w:val="none" w:sz="0" w:space="0" w:color="auto"/>
        <w:right w:val="none" w:sz="0" w:space="0" w:color="auto"/>
      </w:divBdr>
      <w:divsChild>
        <w:div w:id="103577968">
          <w:marLeft w:val="60"/>
          <w:marRight w:val="60"/>
          <w:marTop w:val="0"/>
          <w:marBottom w:val="0"/>
          <w:divBdr>
            <w:top w:val="none" w:sz="0" w:space="0" w:color="auto"/>
            <w:left w:val="none" w:sz="0" w:space="0" w:color="auto"/>
            <w:bottom w:val="none" w:sz="0" w:space="0" w:color="auto"/>
            <w:right w:val="none" w:sz="0" w:space="0" w:color="auto"/>
          </w:divBdr>
        </w:div>
        <w:div w:id="357707132">
          <w:marLeft w:val="60"/>
          <w:marRight w:val="60"/>
          <w:marTop w:val="0"/>
          <w:marBottom w:val="0"/>
          <w:divBdr>
            <w:top w:val="none" w:sz="0" w:space="0" w:color="auto"/>
            <w:left w:val="none" w:sz="0" w:space="0" w:color="auto"/>
            <w:bottom w:val="none" w:sz="0" w:space="0" w:color="auto"/>
            <w:right w:val="none" w:sz="0" w:space="0" w:color="auto"/>
          </w:divBdr>
          <w:divsChild>
            <w:div w:id="765854941">
              <w:marLeft w:val="0"/>
              <w:marRight w:val="0"/>
              <w:marTop w:val="0"/>
              <w:marBottom w:val="0"/>
              <w:divBdr>
                <w:top w:val="none" w:sz="0" w:space="0" w:color="auto"/>
                <w:left w:val="none" w:sz="0" w:space="0" w:color="auto"/>
                <w:bottom w:val="none" w:sz="0" w:space="0" w:color="auto"/>
                <w:right w:val="none" w:sz="0" w:space="0" w:color="auto"/>
              </w:divBdr>
              <w:divsChild>
                <w:div w:id="1640988268">
                  <w:marLeft w:val="0"/>
                  <w:marRight w:val="0"/>
                  <w:marTop w:val="0"/>
                  <w:marBottom w:val="0"/>
                  <w:divBdr>
                    <w:top w:val="none" w:sz="0" w:space="0" w:color="auto"/>
                    <w:left w:val="none" w:sz="0" w:space="0" w:color="auto"/>
                    <w:bottom w:val="none" w:sz="0" w:space="0" w:color="auto"/>
                    <w:right w:val="none" w:sz="0" w:space="0" w:color="auto"/>
                  </w:divBdr>
                  <w:divsChild>
                    <w:div w:id="1953249049">
                      <w:marLeft w:val="0"/>
                      <w:marRight w:val="0"/>
                      <w:marTop w:val="0"/>
                      <w:marBottom w:val="0"/>
                      <w:divBdr>
                        <w:top w:val="none" w:sz="0" w:space="0" w:color="auto"/>
                        <w:left w:val="none" w:sz="0" w:space="0" w:color="auto"/>
                        <w:bottom w:val="none" w:sz="0" w:space="0" w:color="auto"/>
                        <w:right w:val="none" w:sz="0" w:space="0" w:color="auto"/>
                      </w:divBdr>
                      <w:divsChild>
                        <w:div w:id="195725394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2073313872">
      <w:bodyDiv w:val="1"/>
      <w:marLeft w:val="0"/>
      <w:marRight w:val="0"/>
      <w:marTop w:val="0"/>
      <w:marBottom w:val="0"/>
      <w:divBdr>
        <w:top w:val="none" w:sz="0" w:space="0" w:color="auto"/>
        <w:left w:val="none" w:sz="0" w:space="0" w:color="auto"/>
        <w:bottom w:val="none" w:sz="0" w:space="0" w:color="auto"/>
        <w:right w:val="none" w:sz="0" w:space="0" w:color="auto"/>
      </w:divBdr>
      <w:divsChild>
        <w:div w:id="1705598399">
          <w:marLeft w:val="0"/>
          <w:marRight w:val="0"/>
          <w:marTop w:val="0"/>
          <w:marBottom w:val="0"/>
          <w:divBdr>
            <w:top w:val="none" w:sz="0" w:space="0" w:color="auto"/>
            <w:left w:val="none" w:sz="0" w:space="0" w:color="auto"/>
            <w:bottom w:val="none" w:sz="0" w:space="0" w:color="auto"/>
            <w:right w:val="none" w:sz="0" w:space="0" w:color="auto"/>
          </w:divBdr>
          <w:divsChild>
            <w:div w:id="755321694">
              <w:marLeft w:val="0"/>
              <w:marRight w:val="0"/>
              <w:marTop w:val="0"/>
              <w:marBottom w:val="0"/>
              <w:divBdr>
                <w:top w:val="none" w:sz="0" w:space="0" w:color="auto"/>
                <w:left w:val="none" w:sz="0" w:space="0" w:color="auto"/>
                <w:bottom w:val="none" w:sz="0" w:space="0" w:color="auto"/>
                <w:right w:val="none" w:sz="0" w:space="0" w:color="auto"/>
              </w:divBdr>
              <w:divsChild>
                <w:div w:id="7590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138219">
      <w:bodyDiv w:val="1"/>
      <w:marLeft w:val="0"/>
      <w:marRight w:val="0"/>
      <w:marTop w:val="0"/>
      <w:marBottom w:val="0"/>
      <w:divBdr>
        <w:top w:val="none" w:sz="0" w:space="0" w:color="auto"/>
        <w:left w:val="none" w:sz="0" w:space="0" w:color="auto"/>
        <w:bottom w:val="none" w:sz="0" w:space="0" w:color="auto"/>
        <w:right w:val="none" w:sz="0" w:space="0" w:color="auto"/>
      </w:divBdr>
      <w:divsChild>
        <w:div w:id="1048988027">
          <w:marLeft w:val="0"/>
          <w:marRight w:val="0"/>
          <w:marTop w:val="0"/>
          <w:marBottom w:val="0"/>
          <w:divBdr>
            <w:top w:val="none" w:sz="0" w:space="0" w:color="auto"/>
            <w:left w:val="none" w:sz="0" w:space="0" w:color="auto"/>
            <w:bottom w:val="none" w:sz="0" w:space="0" w:color="auto"/>
            <w:right w:val="none" w:sz="0" w:space="0" w:color="auto"/>
          </w:divBdr>
          <w:divsChild>
            <w:div w:id="1698308864">
              <w:marLeft w:val="0"/>
              <w:marRight w:val="0"/>
              <w:marTop w:val="0"/>
              <w:marBottom w:val="0"/>
              <w:divBdr>
                <w:top w:val="none" w:sz="0" w:space="0" w:color="auto"/>
                <w:left w:val="none" w:sz="0" w:space="0" w:color="auto"/>
                <w:bottom w:val="none" w:sz="0" w:space="0" w:color="auto"/>
                <w:right w:val="none" w:sz="0" w:space="0" w:color="auto"/>
              </w:divBdr>
              <w:divsChild>
                <w:div w:id="1640501375">
                  <w:marLeft w:val="0"/>
                  <w:marRight w:val="0"/>
                  <w:marTop w:val="0"/>
                  <w:marBottom w:val="0"/>
                  <w:divBdr>
                    <w:top w:val="none" w:sz="0" w:space="0" w:color="auto"/>
                    <w:left w:val="none" w:sz="0" w:space="0" w:color="auto"/>
                    <w:bottom w:val="none" w:sz="0" w:space="0" w:color="auto"/>
                    <w:right w:val="none" w:sz="0" w:space="0" w:color="auto"/>
                  </w:divBdr>
                  <w:divsChild>
                    <w:div w:id="862480103">
                      <w:marLeft w:val="0"/>
                      <w:marRight w:val="0"/>
                      <w:marTop w:val="0"/>
                      <w:marBottom w:val="0"/>
                      <w:divBdr>
                        <w:top w:val="none" w:sz="0" w:space="0" w:color="auto"/>
                        <w:left w:val="none" w:sz="0" w:space="0" w:color="auto"/>
                        <w:bottom w:val="none" w:sz="0" w:space="0" w:color="auto"/>
                        <w:right w:val="none" w:sz="0" w:space="0" w:color="auto"/>
                      </w:divBdr>
                      <w:divsChild>
                        <w:div w:id="1960800909">
                          <w:marLeft w:val="45"/>
                          <w:marRight w:val="45"/>
                          <w:marTop w:val="0"/>
                          <w:marBottom w:val="0"/>
                          <w:divBdr>
                            <w:top w:val="none" w:sz="0" w:space="0" w:color="F3F2F1"/>
                            <w:left w:val="none" w:sz="0" w:space="0" w:color="F3F2F1"/>
                            <w:bottom w:val="none" w:sz="0" w:space="0" w:color="F3F2F1"/>
                            <w:right w:val="none" w:sz="0" w:space="0" w:color="F3F2F1"/>
                          </w:divBdr>
                        </w:div>
                      </w:divsChild>
                    </w:div>
                  </w:divsChild>
                </w:div>
              </w:divsChild>
            </w:div>
          </w:divsChild>
        </w:div>
        <w:div w:id="1414429274">
          <w:marLeft w:val="0"/>
          <w:marRight w:val="0"/>
          <w:marTop w:val="45"/>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36" Target="media/rId36.png" /><Relationship Type="http://schemas.openxmlformats.org/officeDocument/2006/relationships/image" Id="rId104" Target="media/rId104.png" /><Relationship Type="http://schemas.openxmlformats.org/officeDocument/2006/relationships/image" Id="rId85" Target="media/rId85.png" /><Relationship Type="http://schemas.openxmlformats.org/officeDocument/2006/relationships/image" Id="rId102" Target="media/rId102.png" /><Relationship Type="http://schemas.openxmlformats.org/officeDocument/2006/relationships/image" Id="rId34" Target="media/rId34.png" /><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footnotes.xml.rels><?xml version="1.0" encoding="UTF-8"?>
<Relationships xmlns="http://schemas.openxmlformats.org/package/2006/relationships"><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temp\DTA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DTATemplate.dotx</Template>
  <TotalTime>55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Platform Design</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2020-11-07T05:53:45Z</dcterms:created>
  <dcterms:modified xsi:type="dcterms:W3CDTF">2020-11-07T05:53:45Z</dcterms:modified>
</cp:coreProperties>
</file>

<file path=docProps/custom.xml><?xml version="1.0" encoding="utf-8"?>
<Properties xmlns="http://schemas.openxmlformats.org/officeDocument/2006/custom-properties" xmlns:vt="http://schemas.openxmlformats.org/officeDocument/2006/docPropsVTypes"/>
</file>