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A901B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66473545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4D3939F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3D328C1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Chapter 1</w:t>
      </w:r>
    </w:p>
    <w:p w14:paraId="66CF66D4" w14:textId="77777777" w:rsidR="008C1F28" w:rsidRPr="008C1F28" w:rsidRDefault="008C1F28" w:rsidP="00C75FC9">
      <w:pPr>
        <w:pStyle w:val="BodyText"/>
        <w:spacing w:line="480" w:lineRule="auto"/>
        <w:jc w:val="center"/>
      </w:pPr>
    </w:p>
    <w:p w14:paraId="3DA8B060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Introduction:</w:t>
      </w:r>
    </w:p>
    <w:p w14:paraId="0B833928" w14:textId="77777777" w:rsidR="002C69C0" w:rsidRP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 w:rsidRPr="008C1F28">
        <w:rPr>
          <w:bCs w:val="0"/>
          <w:color w:val="365F91" w:themeColor="accent1" w:themeShade="BF"/>
        </w:rPr>
        <w:t>Groucho – A Multifunctional Regulator of Drosophila Development</w:t>
      </w:r>
    </w:p>
    <w:p w14:paraId="443464AF" w14:textId="77777777" w:rsidR="008C1F28" w:rsidRDefault="008C1F28" w:rsidP="00C75FC9">
      <w:pPr>
        <w:spacing w:line="480" w:lineRule="auto"/>
      </w:pPr>
      <w:bookmarkStart w:id="0" w:name="michael-chambers"/>
      <w:bookmarkStart w:id="1" w:name="figures-and-tables"/>
      <w:bookmarkEnd w:id="0"/>
      <w:bookmarkEnd w:id="1"/>
      <w:r>
        <w:br w:type="page"/>
      </w:r>
    </w:p>
    <w:p w14:paraId="29076D69" w14:textId="77777777" w:rsidR="008C1F28" w:rsidRDefault="008C1F28" w:rsidP="00C75FC9">
      <w:pPr>
        <w:pStyle w:val="Heading2"/>
        <w:spacing w:line="480" w:lineRule="auto"/>
      </w:pPr>
      <w:r>
        <w:lastRenderedPageBreak/>
        <w:t>Introduction</w:t>
      </w:r>
    </w:p>
    <w:p w14:paraId="1CFD14D6" w14:textId="77777777" w:rsidR="008C1F28" w:rsidRDefault="008C1F28" w:rsidP="00C75FC9">
      <w:pPr>
        <w:pStyle w:val="BodyText"/>
        <w:spacing w:line="480" w:lineRule="auto"/>
      </w:pPr>
    </w:p>
    <w:p w14:paraId="3415185B" w14:textId="6971E2B0" w:rsidR="008C1F28" w:rsidRDefault="00C75FC9" w:rsidP="00C75FC9">
      <w:pPr>
        <w:pStyle w:val="BodyText"/>
        <w:spacing w:line="480" w:lineRule="auto"/>
        <w:ind w:firstLine="720"/>
      </w:pPr>
      <w:r>
        <w:t xml:space="preserve">The Groucho/TLE </w:t>
      </w:r>
      <w:r w:rsidR="00BB497F">
        <w:t>(</w:t>
      </w:r>
      <w:proofErr w:type="spellStart"/>
      <w:r w:rsidR="00BB497F">
        <w:t>Gro</w:t>
      </w:r>
      <w:proofErr w:type="spellEnd"/>
      <w:r w:rsidR="00BB497F">
        <w:t xml:space="preserve">) </w:t>
      </w:r>
      <w:r>
        <w:t xml:space="preserve">family of of </w:t>
      </w:r>
      <w:proofErr w:type="spellStart"/>
      <w:r>
        <w:t>corepressors</w:t>
      </w:r>
      <w:proofErr w:type="spellEnd"/>
      <w:r>
        <w:t xml:space="preserve"> play crucial roles in development throughout metazoans. Groucho, the sole </w:t>
      </w:r>
      <w:r>
        <w:rPr>
          <w:i/>
        </w:rPr>
        <w:t xml:space="preserve">Drosophila melanogaster </w:t>
      </w:r>
      <w:r>
        <w:t xml:space="preserve">member of this protein family, was first discovered in the context of a slight </w:t>
      </w:r>
      <w:proofErr w:type="spellStart"/>
      <w:r>
        <w:t>hypomorphic</w:t>
      </w:r>
      <w:proofErr w:type="spellEnd"/>
      <w:r>
        <w:t xml:space="preserve"> allele which resulted in the formation</w:t>
      </w:r>
      <w:r w:rsidR="00BB497F">
        <w:t xml:space="preserve"> of extra supraorbital bristles reminiscent of the bushy eyebrows of Groucho Marx </w:t>
      </w:r>
      <w:r w:rsidR="00BB497F" w:rsidRPr="00BB497F">
        <w:t>{</w:t>
      </w:r>
      <w:proofErr w:type="spellStart"/>
      <w:r w:rsidR="00BB497F" w:rsidRPr="00BB497F">
        <w:t>Lindsley</w:t>
      </w:r>
      <w:proofErr w:type="spellEnd"/>
      <w:r w:rsidR="00BB497F" w:rsidRPr="00BB497F">
        <w:t>, 1968 #3055}</w:t>
      </w:r>
      <w:r w:rsidR="00BB497F">
        <w:t xml:space="preserve">. Subsequent research on </w:t>
      </w:r>
      <w:proofErr w:type="spellStart"/>
      <w:r w:rsidR="00BB497F">
        <w:t>Gro</w:t>
      </w:r>
      <w:proofErr w:type="spellEnd"/>
      <w:r w:rsidR="00BB497F">
        <w:t xml:space="preserve"> in </w:t>
      </w:r>
      <w:r w:rsidR="00BB497F">
        <w:rPr>
          <w:i/>
        </w:rPr>
        <w:t xml:space="preserve">Drosophila </w:t>
      </w:r>
      <w:r w:rsidR="00BB497F">
        <w:t xml:space="preserve">has served to characterize this factor’s central importance to developmental gene regulation in response to a variety of developmental programs and signaling pathways. </w:t>
      </w:r>
      <w:r w:rsidR="00676643">
        <w:t xml:space="preserve">As a </w:t>
      </w:r>
      <w:proofErr w:type="spellStart"/>
      <w:r w:rsidR="00676643">
        <w:t>corepressor</w:t>
      </w:r>
      <w:proofErr w:type="spellEnd"/>
      <w:r w:rsidR="00676643">
        <w:t xml:space="preserve">, Groucho has no documented direct ability to bind DNA in a sequence-specific manner, instead relying on recruitment to genomic loci through interaction with a diverse array of transcriptional repressors. </w:t>
      </w:r>
      <w:r w:rsidR="00BB497F">
        <w:t xml:space="preserve">Groucho is essential to the correct patterning and development of </w:t>
      </w:r>
      <w:r w:rsidR="00BB497F">
        <w:rPr>
          <w:i/>
        </w:rPr>
        <w:t xml:space="preserve">Drosophila </w:t>
      </w:r>
      <w:r w:rsidR="00BB497F">
        <w:t xml:space="preserve">and is required for viability. Similar roles have been identified in vertebrates </w:t>
      </w:r>
      <w:r w:rsidR="00BB497F">
        <w:t>{</w:t>
      </w:r>
      <w:proofErr w:type="spellStart"/>
      <w:r w:rsidR="00BB497F">
        <w:t>Paroush</w:t>
      </w:r>
      <w:proofErr w:type="spellEnd"/>
      <w:r w:rsidR="00BB497F">
        <w:t>, 1994 #172}</w:t>
      </w:r>
      <w:r w:rsidR="00BB497F">
        <w:t>.</w:t>
      </w:r>
    </w:p>
    <w:p w14:paraId="56C14837" w14:textId="036F9AA0" w:rsidR="00BB497F" w:rsidRPr="00D65E13" w:rsidRDefault="00676643" w:rsidP="00C75FC9">
      <w:pPr>
        <w:pStyle w:val="BodyText"/>
        <w:spacing w:line="480" w:lineRule="auto"/>
        <w:ind w:firstLine="720"/>
      </w:pPr>
      <w:r>
        <w:t>Groucho consists of five domains, two of which are highly conserved</w:t>
      </w:r>
      <w:r w:rsidRPr="00676643">
        <w:t xml:space="preserve"> </w:t>
      </w:r>
      <w:r>
        <w:t>{</w:t>
      </w:r>
      <w:proofErr w:type="spellStart"/>
      <w:r>
        <w:t>Turki-Judeh</w:t>
      </w:r>
      <w:proofErr w:type="spellEnd"/>
      <w:r>
        <w:t>, 2012 #2385}</w:t>
      </w:r>
      <w:r>
        <w:t xml:space="preserve">. The N-terminal Q (glutamine rich) domain is one of the two conserved domains. The Q domain is responsible for the formation of tetramers, and possibly higher-order oligomers of </w:t>
      </w:r>
      <w:proofErr w:type="spellStart"/>
      <w:r>
        <w:t>Gro</w:t>
      </w:r>
      <w:proofErr w:type="spellEnd"/>
      <w:r>
        <w:t xml:space="preserve"> </w:t>
      </w:r>
      <w:r w:rsidRPr="00676643">
        <w:t>{Chen, 1998 #267}</w:t>
      </w:r>
      <w:r w:rsidR="00D64EFB">
        <w:t xml:space="preserve">. Additionally, the Q </w:t>
      </w:r>
      <w:r w:rsidR="00D65E13">
        <w:t>domain mediates a subset of interactions with transcriptional repressors, including the TCF/</w:t>
      </w:r>
      <w:proofErr w:type="spellStart"/>
      <w:r w:rsidR="00D65E13">
        <w:t>Lef</w:t>
      </w:r>
      <w:proofErr w:type="spellEnd"/>
      <w:r w:rsidR="00D65E13">
        <w:t xml:space="preserve"> family of proteins </w:t>
      </w:r>
      <w:r w:rsidR="00D65E13" w:rsidRPr="00D65E13">
        <w:t>{</w:t>
      </w:r>
      <w:proofErr w:type="spellStart"/>
      <w:r w:rsidR="00D65E13" w:rsidRPr="00D65E13">
        <w:t>Brantjes</w:t>
      </w:r>
      <w:proofErr w:type="spellEnd"/>
      <w:r w:rsidR="00D65E13" w:rsidRPr="00D65E13">
        <w:t>, 2001 #3058}</w:t>
      </w:r>
      <w:r w:rsidR="00D65E13">
        <w:t xml:space="preserve">. Assays involving Grg3, a mouse homolog of </w:t>
      </w:r>
      <w:proofErr w:type="spellStart"/>
      <w:r w:rsidR="00D65E13">
        <w:t>Gro</w:t>
      </w:r>
      <w:proofErr w:type="spellEnd"/>
      <w:r w:rsidR="00D65E13">
        <w:t xml:space="preserve">, on </w:t>
      </w:r>
      <w:r w:rsidR="00D65E13">
        <w:rPr>
          <w:i/>
        </w:rPr>
        <w:t>in vitro</w:t>
      </w:r>
      <w:r w:rsidR="00D65E13">
        <w:t xml:space="preserve"> chromatin arrays showed that Q domain mediated </w:t>
      </w:r>
      <w:proofErr w:type="spellStart"/>
      <w:r w:rsidR="00D65E13">
        <w:t>tetramerization</w:t>
      </w:r>
      <w:proofErr w:type="spellEnd"/>
      <w:r w:rsidR="00D65E13">
        <w:t xml:space="preserve"> is not required for recruitment of </w:t>
      </w:r>
      <w:proofErr w:type="spellStart"/>
      <w:r w:rsidR="00D65E13">
        <w:t>Gro</w:t>
      </w:r>
      <w:proofErr w:type="spellEnd"/>
      <w:r w:rsidR="00D65E13">
        <w:t xml:space="preserve"> to chromatin, but is required for subsequent aggregation of </w:t>
      </w:r>
      <w:proofErr w:type="spellStart"/>
      <w:r w:rsidR="00D65E13">
        <w:lastRenderedPageBreak/>
        <w:t>chromatinized</w:t>
      </w:r>
      <w:proofErr w:type="spellEnd"/>
      <w:r w:rsidR="00D65E13">
        <w:t xml:space="preserve"> fragments. However, assays in cell culture revealed that oligomerization-deficient mutants of </w:t>
      </w:r>
      <w:proofErr w:type="spellStart"/>
      <w:r w:rsidR="00D65E13">
        <w:t>Gro</w:t>
      </w:r>
      <w:proofErr w:type="spellEnd"/>
      <w:r w:rsidR="00D65E13">
        <w:t xml:space="preserve"> exhibited similar patterns of chromatin localization as wild-type </w:t>
      </w:r>
      <w:proofErr w:type="spellStart"/>
      <w:r w:rsidR="00D65E13">
        <w:t>Gro</w:t>
      </w:r>
      <w:proofErr w:type="spellEnd"/>
      <w:r w:rsidR="00D65E13">
        <w:t xml:space="preserve"> </w:t>
      </w:r>
      <w:r w:rsidR="00D65E13" w:rsidRPr="00D65E13">
        <w:t>{</w:t>
      </w:r>
      <w:proofErr w:type="spellStart"/>
      <w:r w:rsidR="00D65E13" w:rsidRPr="00D65E13">
        <w:t>Kaul</w:t>
      </w:r>
      <w:proofErr w:type="spellEnd"/>
      <w:r w:rsidR="00D65E13" w:rsidRPr="00D65E13">
        <w:t>, 2014 #2204}</w:t>
      </w:r>
      <w:r w:rsidR="00D65E13">
        <w:t xml:space="preserve">. </w:t>
      </w:r>
      <w:bookmarkStart w:id="2" w:name="_GoBack"/>
      <w:bookmarkEnd w:id="2"/>
    </w:p>
    <w:sectPr w:rsidR="00BB497F" w:rsidRPr="00D65E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8C047" w14:textId="77777777" w:rsidR="00FF4DF3" w:rsidRDefault="00FF4DF3">
      <w:pPr>
        <w:spacing w:after="0"/>
      </w:pPr>
      <w:r>
        <w:separator/>
      </w:r>
    </w:p>
  </w:endnote>
  <w:endnote w:type="continuationSeparator" w:id="0">
    <w:p w14:paraId="7EC6E2C6" w14:textId="77777777" w:rsidR="00FF4DF3" w:rsidRDefault="00FF4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C0346" w14:textId="77777777" w:rsidR="00FF4DF3" w:rsidRDefault="00FF4DF3">
      <w:r>
        <w:separator/>
      </w:r>
    </w:p>
  </w:footnote>
  <w:footnote w:type="continuationSeparator" w:id="0">
    <w:p w14:paraId="02C60CFC" w14:textId="77777777" w:rsidR="00FF4DF3" w:rsidRDefault="00FF4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69C0"/>
    <w:rsid w:val="00467A84"/>
    <w:rsid w:val="004E29B3"/>
    <w:rsid w:val="00590D07"/>
    <w:rsid w:val="00676643"/>
    <w:rsid w:val="00784D58"/>
    <w:rsid w:val="00845955"/>
    <w:rsid w:val="008C1F28"/>
    <w:rsid w:val="008D6863"/>
    <w:rsid w:val="00B83494"/>
    <w:rsid w:val="00B86B75"/>
    <w:rsid w:val="00BB497F"/>
    <w:rsid w:val="00BC48D5"/>
    <w:rsid w:val="00C36279"/>
    <w:rsid w:val="00C75FC9"/>
    <w:rsid w:val="00D64EFB"/>
    <w:rsid w:val="00D65E13"/>
    <w:rsid w:val="00E315A3"/>
    <w:rsid w:val="00FF4D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E8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Michael Chambers</cp:lastModifiedBy>
  <cp:revision>5</cp:revision>
  <dcterms:created xsi:type="dcterms:W3CDTF">2015-08-20T00:31:00Z</dcterms:created>
  <dcterms:modified xsi:type="dcterms:W3CDTF">2015-08-25T19:57:00Z</dcterms:modified>
</cp:coreProperties>
</file>