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A901B" w14:textId="77777777" w:rsidR="008C1F28" w:rsidRDefault="008C1F28" w:rsidP="00C75FC9">
      <w:pPr>
        <w:pStyle w:val="Heading1"/>
        <w:spacing w:before="240" w:line="480" w:lineRule="auto"/>
        <w:rPr>
          <w:bCs w:val="0"/>
          <w:color w:val="365F91" w:themeColor="accent1" w:themeShade="BF"/>
        </w:rPr>
      </w:pPr>
    </w:p>
    <w:p w14:paraId="66473545" w14:textId="77777777" w:rsidR="008C1F28" w:rsidRDefault="008C1F28" w:rsidP="00C75FC9">
      <w:pPr>
        <w:pStyle w:val="Heading1"/>
        <w:spacing w:before="240" w:line="480" w:lineRule="auto"/>
        <w:rPr>
          <w:bCs w:val="0"/>
          <w:color w:val="365F91" w:themeColor="accent1" w:themeShade="BF"/>
        </w:rPr>
      </w:pPr>
    </w:p>
    <w:p w14:paraId="54D3939F" w14:textId="77777777" w:rsidR="008C1F28" w:rsidRDefault="008C1F28" w:rsidP="00C75FC9">
      <w:pPr>
        <w:pStyle w:val="Heading1"/>
        <w:spacing w:before="240" w:line="480" w:lineRule="auto"/>
        <w:rPr>
          <w:bCs w:val="0"/>
          <w:color w:val="365F91" w:themeColor="accent1" w:themeShade="BF"/>
        </w:rPr>
      </w:pPr>
    </w:p>
    <w:p w14:paraId="53D328C1" w14:textId="77777777" w:rsidR="008C1F28" w:rsidRDefault="008C1F28" w:rsidP="00C75FC9">
      <w:pPr>
        <w:pStyle w:val="Heading1"/>
        <w:spacing w:before="240" w:line="480" w:lineRule="auto"/>
        <w:jc w:val="center"/>
        <w:rPr>
          <w:bCs w:val="0"/>
          <w:color w:val="365F91" w:themeColor="accent1" w:themeShade="BF"/>
        </w:rPr>
      </w:pPr>
      <w:r>
        <w:rPr>
          <w:bCs w:val="0"/>
          <w:color w:val="365F91" w:themeColor="accent1" w:themeShade="BF"/>
        </w:rPr>
        <w:t>Chapter 1</w:t>
      </w:r>
    </w:p>
    <w:p w14:paraId="66CF66D4" w14:textId="77777777" w:rsidR="008C1F28" w:rsidRPr="008C1F28" w:rsidRDefault="008C1F28" w:rsidP="00C75FC9">
      <w:pPr>
        <w:pStyle w:val="BodyText"/>
        <w:spacing w:line="480" w:lineRule="auto"/>
        <w:jc w:val="center"/>
      </w:pPr>
    </w:p>
    <w:p w14:paraId="3DA8B060" w14:textId="77777777" w:rsidR="008C1F28" w:rsidRDefault="008C1F28" w:rsidP="00C75FC9">
      <w:pPr>
        <w:pStyle w:val="Heading1"/>
        <w:spacing w:before="240" w:line="480" w:lineRule="auto"/>
        <w:jc w:val="center"/>
        <w:rPr>
          <w:bCs w:val="0"/>
          <w:color w:val="365F91" w:themeColor="accent1" w:themeShade="BF"/>
        </w:rPr>
      </w:pPr>
      <w:r>
        <w:rPr>
          <w:bCs w:val="0"/>
          <w:color w:val="365F91" w:themeColor="accent1" w:themeShade="BF"/>
        </w:rPr>
        <w:t>Introduction:</w:t>
      </w:r>
    </w:p>
    <w:p w14:paraId="0B833928" w14:textId="77777777" w:rsidR="002C69C0" w:rsidRPr="008C1F28" w:rsidRDefault="008C1F28" w:rsidP="00C75FC9">
      <w:pPr>
        <w:pStyle w:val="Heading1"/>
        <w:spacing w:before="240" w:line="480" w:lineRule="auto"/>
        <w:jc w:val="center"/>
        <w:rPr>
          <w:bCs w:val="0"/>
          <w:color w:val="365F91" w:themeColor="accent1" w:themeShade="BF"/>
        </w:rPr>
      </w:pPr>
      <w:r w:rsidRPr="008C1F28">
        <w:rPr>
          <w:bCs w:val="0"/>
          <w:color w:val="365F91" w:themeColor="accent1" w:themeShade="BF"/>
        </w:rPr>
        <w:t>Groucho – A Multifunctional Regulator of Drosophila Development</w:t>
      </w:r>
    </w:p>
    <w:p w14:paraId="443464AF" w14:textId="77777777" w:rsidR="008C1F28" w:rsidRDefault="008C1F28" w:rsidP="00C75FC9">
      <w:pPr>
        <w:spacing w:line="480" w:lineRule="auto"/>
      </w:pPr>
      <w:bookmarkStart w:id="0" w:name="michael-chambers"/>
      <w:bookmarkStart w:id="1" w:name="figures-and-tables"/>
      <w:bookmarkEnd w:id="0"/>
      <w:bookmarkEnd w:id="1"/>
      <w:r>
        <w:br w:type="page"/>
      </w:r>
    </w:p>
    <w:p w14:paraId="29076D69" w14:textId="77777777" w:rsidR="008C1F28" w:rsidRDefault="008C1F28" w:rsidP="00C75FC9">
      <w:pPr>
        <w:pStyle w:val="Heading2"/>
        <w:spacing w:line="480" w:lineRule="auto"/>
      </w:pPr>
      <w:r>
        <w:lastRenderedPageBreak/>
        <w:t>Introduction</w:t>
      </w:r>
    </w:p>
    <w:p w14:paraId="1CFD14D6" w14:textId="77777777" w:rsidR="008C1F28" w:rsidRDefault="008C1F28" w:rsidP="00C75FC9">
      <w:pPr>
        <w:pStyle w:val="BodyText"/>
        <w:spacing w:line="480" w:lineRule="auto"/>
      </w:pPr>
    </w:p>
    <w:p w14:paraId="6843CC29" w14:textId="191700DD" w:rsidR="001C7E56" w:rsidRPr="006751C4" w:rsidRDefault="006751C4" w:rsidP="00C75FC9">
      <w:pPr>
        <w:pStyle w:val="BodyText"/>
        <w:spacing w:line="480" w:lineRule="auto"/>
        <w:rPr>
          <w:i/>
        </w:rPr>
      </w:pPr>
      <w:r w:rsidRPr="006751C4">
        <w:rPr>
          <w:i/>
        </w:rPr>
        <w:t xml:space="preserve">Groucho/TLE family </w:t>
      </w:r>
      <w:proofErr w:type="spellStart"/>
      <w:r w:rsidRPr="006751C4">
        <w:rPr>
          <w:i/>
        </w:rPr>
        <w:t>corepressors</w:t>
      </w:r>
      <w:proofErr w:type="spellEnd"/>
      <w:r w:rsidRPr="006751C4">
        <w:rPr>
          <w:i/>
        </w:rPr>
        <w:t>: structure and conservation</w:t>
      </w:r>
    </w:p>
    <w:p w14:paraId="4CD40D2F" w14:textId="6F4172DD" w:rsidR="002E60C6" w:rsidRDefault="00C75FC9" w:rsidP="00C75FC9">
      <w:pPr>
        <w:pStyle w:val="BodyText"/>
        <w:spacing w:line="480" w:lineRule="auto"/>
        <w:ind w:firstLine="720"/>
      </w:pPr>
      <w:r>
        <w:t xml:space="preserve">The Groucho/TLE </w:t>
      </w:r>
      <w:r w:rsidR="00BB497F">
        <w:t xml:space="preserve">(Gro) </w:t>
      </w:r>
      <w:r>
        <w:t xml:space="preserve">family of of </w:t>
      </w:r>
      <w:proofErr w:type="spellStart"/>
      <w:r>
        <w:t>corepressors</w:t>
      </w:r>
      <w:proofErr w:type="spellEnd"/>
      <w:r>
        <w:t xml:space="preserve"> play crucial roles in </w:t>
      </w:r>
      <w:r w:rsidR="008F0F56">
        <w:t>the interpretation and integration of multiple signaling inputs during development in higher eukaryotes</w:t>
      </w:r>
      <w:r>
        <w:t xml:space="preserve">. Groucho, the sole </w:t>
      </w:r>
      <w:r>
        <w:rPr>
          <w:i/>
        </w:rPr>
        <w:t xml:space="preserve">Drosophila melanogaster </w:t>
      </w:r>
      <w:r>
        <w:t xml:space="preserve">member of this protein family, was first discovered in the context of a slight </w:t>
      </w:r>
      <w:proofErr w:type="spellStart"/>
      <w:r>
        <w:t>hypomorphic</w:t>
      </w:r>
      <w:proofErr w:type="spellEnd"/>
      <w:r>
        <w:t xml:space="preserve"> allele which resulted in the formation</w:t>
      </w:r>
      <w:r w:rsidR="00BB497F">
        <w:t xml:space="preserve"> of extra supraorbital bristles reminiscent of the bushy eyebrows of Groucho Marx </w:t>
      </w:r>
      <w:r w:rsidR="00927642">
        <w:t>{</w:t>
      </w:r>
      <w:proofErr w:type="spellStart"/>
      <w:r w:rsidR="00927642">
        <w:t>Lindsley</w:t>
      </w:r>
      <w:proofErr w:type="spellEnd"/>
      <w:r w:rsidR="00927642">
        <w:t>, 1968 #3055}</w:t>
      </w:r>
      <w:r w:rsidR="00BB497F">
        <w:t xml:space="preserve">. Subsequent research on Gro in </w:t>
      </w:r>
      <w:r w:rsidR="00BB497F">
        <w:rPr>
          <w:i/>
        </w:rPr>
        <w:t xml:space="preserve">Drosophila </w:t>
      </w:r>
      <w:r w:rsidR="00BB497F">
        <w:t xml:space="preserve">has served to characterize this factor’s central importance to developmental gene regulation in response to a variety of developmental programs and signaling pathways. </w:t>
      </w:r>
      <w:r w:rsidR="00676643">
        <w:t xml:space="preserve">As a </w:t>
      </w:r>
      <w:proofErr w:type="spellStart"/>
      <w:r w:rsidR="00676643">
        <w:t>corepressor</w:t>
      </w:r>
      <w:proofErr w:type="spellEnd"/>
      <w:r w:rsidR="00676643">
        <w:t xml:space="preserve">, Groucho has no documented ability to bind </w:t>
      </w:r>
      <w:r w:rsidR="00C3739E">
        <w:t xml:space="preserve">directly </w:t>
      </w:r>
      <w:r w:rsidR="00676643">
        <w:t xml:space="preserve">DNA in a sequence-specific manner, instead relying on recruitment to genomic loci through interaction with a diverse array of transcriptional repressors. </w:t>
      </w:r>
      <w:r w:rsidR="00BB497F">
        <w:t xml:space="preserve">Groucho is essential to the correct patterning and development of </w:t>
      </w:r>
      <w:r w:rsidR="00BB497F">
        <w:rPr>
          <w:i/>
        </w:rPr>
        <w:t xml:space="preserve">Drosophila </w:t>
      </w:r>
      <w:r w:rsidR="00BB497F">
        <w:t xml:space="preserve">and is required for viability. </w:t>
      </w:r>
    </w:p>
    <w:p w14:paraId="3415185B" w14:textId="19D25EF8" w:rsidR="008C1F28" w:rsidRDefault="008F0F56" w:rsidP="00C75FC9">
      <w:pPr>
        <w:pStyle w:val="BodyText"/>
        <w:spacing w:line="480" w:lineRule="auto"/>
        <w:ind w:firstLine="720"/>
      </w:pPr>
      <w:r>
        <w:t xml:space="preserve">Homologs of Groucho with similar roles in developmental decision making have been identified throughout metazoans </w:t>
      </w:r>
      <w:r w:rsidR="00927642">
        <w:t>{</w:t>
      </w:r>
      <w:proofErr w:type="spellStart"/>
      <w:r w:rsidR="00927642">
        <w:t>Paroush</w:t>
      </w:r>
      <w:proofErr w:type="spellEnd"/>
      <w:r w:rsidR="00927642">
        <w:t>, 1994 #3090}</w:t>
      </w:r>
      <w:r w:rsidR="00BB497F">
        <w:t>.</w:t>
      </w:r>
      <w:r>
        <w:t xml:space="preserve"> </w:t>
      </w:r>
      <w:bookmarkStart w:id="2" w:name="_GoBack"/>
      <w:bookmarkEnd w:id="2"/>
    </w:p>
    <w:p w14:paraId="0F7ADAED" w14:textId="57725BF2" w:rsidR="003B2425" w:rsidRDefault="00676643" w:rsidP="005223EF">
      <w:pPr>
        <w:pStyle w:val="BodyText"/>
        <w:spacing w:line="480" w:lineRule="auto"/>
        <w:ind w:firstLine="720"/>
      </w:pPr>
      <w:r>
        <w:t>Groucho consists of five domains, two of which are highly conserved</w:t>
      </w:r>
      <w:r w:rsidRPr="00676643">
        <w:t xml:space="preserve"> </w:t>
      </w:r>
      <w:r w:rsidR="00C3739E">
        <w:t xml:space="preserve">throughout higher eukaryotes </w:t>
      </w:r>
      <w:r w:rsidR="00927642">
        <w:t>{</w:t>
      </w:r>
      <w:proofErr w:type="spellStart"/>
      <w:r w:rsidR="00927642">
        <w:t>Turki-Judeh</w:t>
      </w:r>
      <w:proofErr w:type="spellEnd"/>
      <w:r w:rsidR="00927642">
        <w:t>, 2012 #2385}</w:t>
      </w:r>
      <w:r>
        <w:t>.</w:t>
      </w:r>
      <w:r w:rsidR="00C3739E">
        <w:t xml:space="preserve"> A great body of work has arisen documented the diverse contributions of each domain to the overall function and regulation of Groucho. While much of this work has focused on the N and C terminal </w:t>
      </w:r>
      <w:r w:rsidR="00C3739E">
        <w:lastRenderedPageBreak/>
        <w:t xml:space="preserve">domains, the central domains of Groucho have been explored for their roles in modulation of Groucho activity through interaction with a number of regulatory kinases and  </w:t>
      </w:r>
      <w:r>
        <w:t xml:space="preserve"> The N-terminal Q (glutamine rich) domain is on</w:t>
      </w:r>
      <w:r w:rsidR="005223EF">
        <w:t xml:space="preserve">e of the two conserved domains and </w:t>
      </w:r>
      <w:r>
        <w:t>is responsible</w:t>
      </w:r>
      <w:r w:rsidR="005223EF">
        <w:t xml:space="preserve"> for the formation of tetramers</w:t>
      </w:r>
      <w:r>
        <w:t xml:space="preserve"> and </w:t>
      </w:r>
      <w:r w:rsidR="005223EF">
        <w:t>potentially</w:t>
      </w:r>
      <w:r>
        <w:t xml:space="preserve"> higher-order oligomers of Gro </w:t>
      </w:r>
      <w:r w:rsidR="00927642">
        <w:t>{Chen, 1998 #267}</w:t>
      </w:r>
      <w:r w:rsidR="00E2180F">
        <w:t>. Additionally, the Q-</w:t>
      </w:r>
      <w:r w:rsidR="00D65E13">
        <w:t>domain mediates a subset of interactions with transcription</w:t>
      </w:r>
      <w:r w:rsidR="005223EF">
        <w:t xml:space="preserve">al repressors, including the </w:t>
      </w:r>
      <w:proofErr w:type="spellStart"/>
      <w:r w:rsidR="005223EF">
        <w:t>Tcf</w:t>
      </w:r>
      <w:proofErr w:type="spellEnd"/>
      <w:r w:rsidR="00D65E13">
        <w:t>/</w:t>
      </w:r>
      <w:proofErr w:type="spellStart"/>
      <w:r w:rsidR="00D65E13">
        <w:t>Lef</w:t>
      </w:r>
      <w:proofErr w:type="spellEnd"/>
      <w:r w:rsidR="00D65E13">
        <w:t xml:space="preserve"> family of proteins </w:t>
      </w:r>
      <w:r w:rsidR="00927642">
        <w:t>{</w:t>
      </w:r>
      <w:proofErr w:type="spellStart"/>
      <w:r w:rsidR="00927642">
        <w:t>Brantjes</w:t>
      </w:r>
      <w:proofErr w:type="spellEnd"/>
      <w:r w:rsidR="00927642">
        <w:t>, 2001 #3058}</w:t>
      </w:r>
      <w:r w:rsidR="00D65E13">
        <w:t xml:space="preserve">. Assays involving Grg3, a mouse homolog of Gro, on </w:t>
      </w:r>
      <w:r w:rsidR="00D65E13">
        <w:rPr>
          <w:i/>
        </w:rPr>
        <w:t>in vitro</w:t>
      </w:r>
      <w:r w:rsidR="00E2180F">
        <w:t xml:space="preserve"> chromatin arrays showed that</w:t>
      </w:r>
      <w:r w:rsidR="006751C4">
        <w:t xml:space="preserve"> </w:t>
      </w:r>
      <w:proofErr w:type="spellStart"/>
      <w:r w:rsidR="006751C4">
        <w:t>tetramerization</w:t>
      </w:r>
      <w:proofErr w:type="spellEnd"/>
      <w:r w:rsidR="006751C4">
        <w:t xml:space="preserve"> mediated through the</w:t>
      </w:r>
      <w:r w:rsidR="00E2180F">
        <w:t xml:space="preserve"> Q-</w:t>
      </w:r>
      <w:r w:rsidR="00D65E13">
        <w:t xml:space="preserve">domain is not required for recruitment of Gro to chromatin, but is required for subsequent aggregation of </w:t>
      </w:r>
      <w:proofErr w:type="spellStart"/>
      <w:r w:rsidR="00D65E13">
        <w:t>chromatinized</w:t>
      </w:r>
      <w:proofErr w:type="spellEnd"/>
      <w:r w:rsidR="00D65E13">
        <w:t xml:space="preserve"> fragments</w:t>
      </w:r>
      <w:r w:rsidR="006751C4">
        <w:t xml:space="preserve"> </w:t>
      </w:r>
      <w:r w:rsidR="006751C4">
        <w:t>{</w:t>
      </w:r>
      <w:proofErr w:type="spellStart"/>
      <w:r w:rsidR="006751C4">
        <w:t>Sekiya</w:t>
      </w:r>
      <w:proofErr w:type="spellEnd"/>
      <w:r w:rsidR="006751C4">
        <w:t>, 2007 #1658}</w:t>
      </w:r>
      <w:r w:rsidR="00D65E13">
        <w:t xml:space="preserve">. However, assays in cell culture revealed that oligomerization-deficient mutants of Gro exhibited similar </w:t>
      </w:r>
      <w:r w:rsidR="0062641B">
        <w:t xml:space="preserve">median </w:t>
      </w:r>
      <w:r w:rsidR="00F64CE4">
        <w:t>peak widths</w:t>
      </w:r>
      <w:r w:rsidR="00A053EA">
        <w:t xml:space="preserve"> to</w:t>
      </w:r>
      <w:r w:rsidR="00D65E13">
        <w:t xml:space="preserve"> wild-type Gro </w:t>
      </w:r>
      <w:r w:rsidR="00927642">
        <w:t>{</w:t>
      </w:r>
      <w:proofErr w:type="spellStart"/>
      <w:r w:rsidR="00927642">
        <w:t>Kaul</w:t>
      </w:r>
      <w:proofErr w:type="spellEnd"/>
      <w:r w:rsidR="00927642">
        <w:t>, 2014 #2204}</w:t>
      </w:r>
      <w:r w:rsidR="00D65E13">
        <w:t xml:space="preserve">. </w:t>
      </w:r>
      <w:r w:rsidR="003B2425">
        <w:t xml:space="preserve">The interpretation of this result is somewhat limited by the fact that ChIP-seq data was generated from two </w:t>
      </w:r>
      <w:r w:rsidR="003B2425">
        <w:rPr>
          <w:i/>
        </w:rPr>
        <w:t xml:space="preserve">Drosophila </w:t>
      </w:r>
      <w:r w:rsidR="003B2425">
        <w:t xml:space="preserve">cell lines depleted of endogenous Groucho via </w:t>
      </w:r>
      <w:proofErr w:type="spellStart"/>
      <w:r w:rsidR="003B2425">
        <w:t>RNAi</w:t>
      </w:r>
      <w:proofErr w:type="spellEnd"/>
      <w:r w:rsidR="003B2425">
        <w:t xml:space="preserve"> and overexpressing either GFP-tagged wild-type or oligomerization-deficient Groucho. The authors show that levels of endogenous Gro are significantly reduced, but remain detectable by immunoblot. Thus, it remains a possibility that low levels of endogenous Groucho are contributing to peak formation or spreading in both contexts.</w:t>
      </w:r>
    </w:p>
    <w:p w14:paraId="76061034" w14:textId="250F7DB0" w:rsidR="003B2425" w:rsidRDefault="003B2425" w:rsidP="005223EF">
      <w:pPr>
        <w:pStyle w:val="BodyText"/>
        <w:spacing w:line="480" w:lineRule="auto"/>
        <w:ind w:firstLine="720"/>
      </w:pPr>
      <w:r>
        <w:t xml:space="preserve">Regardless of the role of oligomerization in the definition of the size of Groucho binding domains, the authors do detect large differences between the recruitment patterns of overexpressed wild-type and oligomerization-deficient mutants. </w:t>
      </w:r>
      <w:r w:rsidR="002B7A68">
        <w:t xml:space="preserve">Of the approximately 3000 distinct Groucho binding sites identified in the wild-type and mutant samples, 48% are unique to a single condition. Loss of oligomerization potential therefore, while </w:t>
      </w:r>
      <w:r w:rsidR="002B7A68">
        <w:lastRenderedPageBreak/>
        <w:t xml:space="preserve">preserving a large fraction of wild-type Groucho binding patterns, does disrupt Groucho association with chromatin in some contexts.  </w:t>
      </w:r>
      <w:r>
        <w:t xml:space="preserve"> </w:t>
      </w:r>
    </w:p>
    <w:p w14:paraId="56C14837" w14:textId="61A8A282" w:rsidR="00BB497F" w:rsidRPr="00E2180F" w:rsidRDefault="00E2180F" w:rsidP="005223EF">
      <w:pPr>
        <w:pStyle w:val="BodyText"/>
        <w:spacing w:line="480" w:lineRule="auto"/>
        <w:ind w:firstLine="720"/>
      </w:pPr>
      <w:r>
        <w:t>The structure</w:t>
      </w:r>
      <w:r w:rsidR="00E56FE9">
        <w:t xml:space="preserve"> of the Q-domain of TLE1</w:t>
      </w:r>
      <w:r>
        <w:t xml:space="preserve">, a human homologue of Gro, was recently solved, revealing the domain to form a dimer of dimers </w:t>
      </w:r>
      <w:r w:rsidR="00927642">
        <w:t>{</w:t>
      </w:r>
      <w:proofErr w:type="spellStart"/>
      <w:r w:rsidR="00927642">
        <w:t>Chodaparambil</w:t>
      </w:r>
      <w:proofErr w:type="spellEnd"/>
      <w:r w:rsidR="00927642">
        <w:t>, 2014 #3057}</w:t>
      </w:r>
      <w:r>
        <w:t xml:space="preserve">. Though this explains the observation that </w:t>
      </w:r>
      <w:r w:rsidRPr="005223EF">
        <w:t xml:space="preserve">Drosophila </w:t>
      </w:r>
      <w:r>
        <w:t xml:space="preserve">Gro forms a tetramer, the current model of </w:t>
      </w:r>
      <w:r w:rsidR="005223EF">
        <w:t>association</w:t>
      </w:r>
      <w:r>
        <w:t xml:space="preserve"> fails to account for the observation of higher-order oligomerization.</w:t>
      </w:r>
    </w:p>
    <w:p w14:paraId="6497F1CC" w14:textId="723E8DDE" w:rsidR="00E56FE9" w:rsidRPr="005223EF" w:rsidRDefault="00E2180F" w:rsidP="005223EF">
      <w:pPr>
        <w:pStyle w:val="BodyText"/>
        <w:spacing w:line="480" w:lineRule="auto"/>
        <w:ind w:firstLine="720"/>
      </w:pPr>
      <w:r>
        <w:t>The WD-domain is the second conserved domain of Gro and comprises the C-terminus of the protei</w:t>
      </w:r>
      <w:r w:rsidR="00E56FE9">
        <w:t>n. The WD-domain consists of a seven-bladed β-propeller domain, and is responsible for the majority of Groucho interactions with DNA-binding repressors</w:t>
      </w:r>
      <w:r w:rsidR="005223EF">
        <w:t xml:space="preserve"> </w:t>
      </w:r>
      <w:r w:rsidR="00927642">
        <w:t>{Pickles, 2002 #3060}</w:t>
      </w:r>
      <w:r w:rsidR="00E56FE9">
        <w:t>. The majority of these interactions are mediated through binding of the WD-domain to short peptide motifs</w:t>
      </w:r>
      <w:r w:rsidR="0005249C">
        <w:t xml:space="preserve"> </w:t>
      </w:r>
      <w:r w:rsidR="00927642">
        <w:t>{Jennings, 2006 #3059}</w:t>
      </w:r>
      <w:r w:rsidR="00E56FE9">
        <w:t>, the mos</w:t>
      </w:r>
      <w:r w:rsidR="005A7E92">
        <w:t>t well-characterized of which are</w:t>
      </w:r>
      <w:r w:rsidR="00E56FE9">
        <w:t xml:space="preserve"> the Engrailed homology domain (Eh1)</w:t>
      </w:r>
      <w:r w:rsidR="0005249C">
        <w:t xml:space="preserve"> and WRPW motifs.</w:t>
      </w:r>
    </w:p>
    <w:p w14:paraId="073545DF" w14:textId="35334C14" w:rsidR="007D2CD4" w:rsidRDefault="0013127D" w:rsidP="00531081">
      <w:pPr>
        <w:pStyle w:val="BodyText"/>
        <w:spacing w:line="480" w:lineRule="auto"/>
        <w:ind w:firstLine="720"/>
      </w:pPr>
      <w:r>
        <w:t xml:space="preserve">The central region of Groucho is divided into three domains, the GP, </w:t>
      </w:r>
      <w:proofErr w:type="spellStart"/>
      <w:r>
        <w:t>CcN</w:t>
      </w:r>
      <w:proofErr w:type="spellEnd"/>
      <w:r>
        <w:t xml:space="preserve">, and SP domains. The GP domain binds to a histone </w:t>
      </w:r>
      <w:proofErr w:type="spellStart"/>
      <w:r>
        <w:t>deacetylase</w:t>
      </w:r>
      <w:proofErr w:type="spellEnd"/>
      <w:r>
        <w:t xml:space="preserve"> (HDAC1/Rpd3), which is involved with some but not all Groucho-repressive activity </w:t>
      </w:r>
      <w:r w:rsidR="00927642">
        <w:t>{Chen, 1999 #3061}</w:t>
      </w:r>
      <w:r>
        <w:t>. T</w:t>
      </w:r>
      <w:r w:rsidR="005223EF">
        <w:t xml:space="preserve">he </w:t>
      </w:r>
      <w:proofErr w:type="spellStart"/>
      <w:r w:rsidR="005223EF">
        <w:t>CcN</w:t>
      </w:r>
      <w:proofErr w:type="spellEnd"/>
      <w:r w:rsidR="005223EF">
        <w:t xml:space="preserve"> domain is involved in Gro</w:t>
      </w:r>
      <w:r>
        <w:t xml:space="preserve">ucho regulation, containing multiple Ck2 and Cdc2 phosphorylation sites </w:t>
      </w:r>
      <w:r w:rsidR="00927642">
        <w:t>{</w:t>
      </w:r>
      <w:proofErr w:type="spellStart"/>
      <w:r w:rsidR="00927642">
        <w:t>Nuthall</w:t>
      </w:r>
      <w:proofErr w:type="spellEnd"/>
      <w:r w:rsidR="00927642">
        <w:t>, 2002 #3062}</w:t>
      </w:r>
      <w:r>
        <w:t xml:space="preserve">. The SP domain contains multiple sites phosphorylated in response to MAPK signaling, resulting in down-regulation of Groucho activity via nuclear export </w:t>
      </w:r>
      <w:r w:rsidR="00927642">
        <w:t>{</w:t>
      </w:r>
      <w:proofErr w:type="spellStart"/>
      <w:r w:rsidR="00927642">
        <w:t>Hasson</w:t>
      </w:r>
      <w:proofErr w:type="spellEnd"/>
      <w:r w:rsidR="00927642">
        <w:t>, 2005 #3064}</w:t>
      </w:r>
      <w:r w:rsidR="00531081">
        <w:t xml:space="preserve">. </w:t>
      </w:r>
      <w:r w:rsidR="007D2CD4">
        <w:t xml:space="preserve">There is evidence that the central regions of Groucho are intrinsically disordered </w:t>
      </w:r>
      <w:r w:rsidR="00927642">
        <w:t>{</w:t>
      </w:r>
      <w:proofErr w:type="spellStart"/>
      <w:r w:rsidR="00927642">
        <w:t>Turki-Judeh</w:t>
      </w:r>
      <w:proofErr w:type="spellEnd"/>
      <w:r w:rsidR="00927642">
        <w:t>, 2012 #2966}</w:t>
      </w:r>
      <w:r w:rsidR="001B08C3">
        <w:t xml:space="preserve">, which has emerged as a common strategy among eukaryotic protein domains </w:t>
      </w:r>
      <w:r w:rsidR="005223EF">
        <w:t xml:space="preserve">to facilitate participation </w:t>
      </w:r>
      <w:r w:rsidR="001B08C3">
        <w:t>in extensive protei</w:t>
      </w:r>
      <w:r w:rsidR="005223EF">
        <w:t>n-</w:t>
      </w:r>
      <w:r w:rsidR="005223EF">
        <w:lastRenderedPageBreak/>
        <w:t>protein interactions, expose</w:t>
      </w:r>
      <w:r w:rsidR="001B08C3">
        <w:t xml:space="preserve"> signaling moti</w:t>
      </w:r>
      <w:r w:rsidR="005223EF">
        <w:t>fs, and/or accept</w:t>
      </w:r>
      <w:r w:rsidR="001B08C3">
        <w:t xml:space="preserve"> posttranslational modifications </w:t>
      </w:r>
      <w:r w:rsidR="00927642">
        <w:t>{Dunker, 2008 #3091}</w:t>
      </w:r>
      <w:r w:rsidR="001B08C3">
        <w:t>.</w:t>
      </w:r>
    </w:p>
    <w:p w14:paraId="34EB94E5" w14:textId="7705E025" w:rsidR="001B08C3" w:rsidRDefault="00B93D3F" w:rsidP="009807D9">
      <w:pPr>
        <w:pStyle w:val="BodyText"/>
        <w:spacing w:line="480" w:lineRule="auto"/>
        <w:ind w:firstLine="720"/>
      </w:pPr>
      <w:r>
        <w:t>Groucho interacts with numerous transcriptional repressors, and through these interactions, is capable of participating in</w:t>
      </w:r>
      <w:r w:rsidR="009B48F6">
        <w:t xml:space="preserve"> a</w:t>
      </w:r>
      <w:r>
        <w:t xml:space="preserve"> </w:t>
      </w:r>
      <w:r w:rsidR="00BC290F">
        <w:t xml:space="preserve">number </w:t>
      </w:r>
      <w:r>
        <w:t xml:space="preserve">of developmental patterning determinations, as well as the reception and interpretation of multiple signaling pathways.  </w:t>
      </w:r>
      <w:r w:rsidR="009B48F6">
        <w:rPr>
          <w:i/>
        </w:rPr>
        <w:t xml:space="preserve">Drosophila </w:t>
      </w:r>
      <w:r w:rsidR="009B48F6">
        <w:t xml:space="preserve">possesses one Groucho gene, which is maternally expressed and deposited into the embryo during oogenesis, ensuring Groucho availability and activity from the very onset of embryonic development </w:t>
      </w:r>
      <w:r w:rsidR="00927642">
        <w:t>{</w:t>
      </w:r>
      <w:proofErr w:type="spellStart"/>
      <w:r w:rsidR="00927642">
        <w:t>Paroush</w:t>
      </w:r>
      <w:proofErr w:type="spellEnd"/>
      <w:r w:rsidR="00927642">
        <w:t>, 1994 #3090}</w:t>
      </w:r>
      <w:r w:rsidR="009B48F6">
        <w:t xml:space="preserve">. In vertebrates, Gro/TLE family proteins play similar roles in development. The genomes of humans and mouse both contain four Gro/TLE family proteins, TLE1-4 and Grg1-4, respectively </w:t>
      </w:r>
      <w:r w:rsidR="00927642">
        <w:t>{</w:t>
      </w:r>
      <w:proofErr w:type="spellStart"/>
      <w:r w:rsidR="00927642">
        <w:t>Stifani</w:t>
      </w:r>
      <w:proofErr w:type="spellEnd"/>
      <w:r w:rsidR="00927642">
        <w:t>, 1992 #3065}</w:t>
      </w:r>
      <w:r w:rsidR="009B48F6">
        <w:t xml:space="preserve"> </w:t>
      </w:r>
      <w:r w:rsidR="00927642">
        <w:t>{</w:t>
      </w:r>
      <w:proofErr w:type="spellStart"/>
      <w:r w:rsidR="00927642">
        <w:t>Mallo</w:t>
      </w:r>
      <w:proofErr w:type="spellEnd"/>
      <w:r w:rsidR="00927642">
        <w:t>, 1993 #3066}</w:t>
      </w:r>
      <w:r w:rsidR="009B48F6">
        <w:t>. These Gro family members serve non-redundant roles during vertebr</w:t>
      </w:r>
      <w:r w:rsidR="00831845">
        <w:t>ate development. An additional, truncated</w:t>
      </w:r>
      <w:r w:rsidR="009B48F6">
        <w:t xml:space="preserve"> </w:t>
      </w:r>
      <w:r w:rsidR="00831845">
        <w:t>form of TLE</w:t>
      </w:r>
      <w:r w:rsidR="009B48F6">
        <w:t xml:space="preserve">, </w:t>
      </w:r>
      <w:r w:rsidR="00831845">
        <w:t xml:space="preserve">termed </w:t>
      </w:r>
      <w:r w:rsidR="009B48F6">
        <w:t xml:space="preserve">AES, is expressed in humans, where it associates with full-length TLE to down-regulate the cellular response to </w:t>
      </w:r>
      <w:proofErr w:type="spellStart"/>
      <w:r w:rsidR="009B48F6">
        <w:t>Wnt</w:t>
      </w:r>
      <w:proofErr w:type="spellEnd"/>
      <w:r w:rsidR="009B48F6">
        <w:t xml:space="preserve"> signaling </w:t>
      </w:r>
      <w:r w:rsidR="00927642">
        <w:t>{</w:t>
      </w:r>
      <w:proofErr w:type="spellStart"/>
      <w:r w:rsidR="00927642">
        <w:t>Itatani</w:t>
      </w:r>
      <w:proofErr w:type="spellEnd"/>
      <w:r w:rsidR="00927642">
        <w:t>, 2015 #3067}</w:t>
      </w:r>
      <w:r w:rsidR="009B48F6">
        <w:t xml:space="preserve">. In humans, Gro/TLE is involved in such processes as organ development, </w:t>
      </w:r>
      <w:proofErr w:type="spellStart"/>
      <w:r w:rsidR="009B48F6">
        <w:t>adipogenesis</w:t>
      </w:r>
      <w:proofErr w:type="spellEnd"/>
      <w:r w:rsidR="009B48F6">
        <w:t xml:space="preserve">, neurogenesis, hematopoiesis, and </w:t>
      </w:r>
      <w:proofErr w:type="spellStart"/>
      <w:r w:rsidR="009B48F6">
        <w:t>osteogenesis</w:t>
      </w:r>
      <w:proofErr w:type="spellEnd"/>
      <w:r w:rsidR="009B48F6">
        <w:t xml:space="preserve"> </w:t>
      </w:r>
      <w:r w:rsidR="00927642">
        <w:t>{</w:t>
      </w:r>
      <w:proofErr w:type="spellStart"/>
      <w:r w:rsidR="00927642">
        <w:t>Bajoghli</w:t>
      </w:r>
      <w:proofErr w:type="spellEnd"/>
      <w:r w:rsidR="00927642">
        <w:t>, 2005 #3068}</w:t>
      </w:r>
      <w:r w:rsidR="009B48F6">
        <w:t xml:space="preserve"> </w:t>
      </w:r>
      <w:r w:rsidR="00927642">
        <w:t>{Villanueva, 2011 #1659}</w:t>
      </w:r>
      <w:r w:rsidR="009B48F6" w:rsidRPr="009B48F6">
        <w:t xml:space="preserve"> </w:t>
      </w:r>
      <w:r w:rsidR="00927642">
        <w:t>{</w:t>
      </w:r>
      <w:proofErr w:type="spellStart"/>
      <w:r w:rsidR="00927642">
        <w:t>Javed</w:t>
      </w:r>
      <w:proofErr w:type="spellEnd"/>
      <w:r w:rsidR="00927642">
        <w:t>, 2000 #3070}</w:t>
      </w:r>
      <w:r w:rsidR="009B48F6">
        <w:t xml:space="preserve"> </w:t>
      </w:r>
      <w:r w:rsidR="00927642">
        <w:t>{Metzger, 2012 #2956}</w:t>
      </w:r>
      <w:r w:rsidR="009B48F6">
        <w:t>.</w:t>
      </w:r>
    </w:p>
    <w:p w14:paraId="663D49C3" w14:textId="4C8F65B5" w:rsidR="00E41092" w:rsidRDefault="00E41092" w:rsidP="009807D9">
      <w:pPr>
        <w:pStyle w:val="BodyText"/>
        <w:spacing w:line="480" w:lineRule="auto"/>
        <w:ind w:firstLine="720"/>
      </w:pPr>
      <w:r>
        <w:t xml:space="preserve">In </w:t>
      </w:r>
      <w:r>
        <w:rPr>
          <w:i/>
        </w:rPr>
        <w:t xml:space="preserve">Drosophila, </w:t>
      </w:r>
      <w:r>
        <w:t xml:space="preserve">Groucho’s roles in signaling pathway response are well documented. The factor plays a role in </w:t>
      </w:r>
      <w:proofErr w:type="spellStart"/>
      <w:r>
        <w:t>Ras</w:t>
      </w:r>
      <w:proofErr w:type="spellEnd"/>
      <w:r>
        <w:t xml:space="preserve">/MAPK, Notch, </w:t>
      </w:r>
      <w:proofErr w:type="spellStart"/>
      <w:r>
        <w:t>Decapentapletic</w:t>
      </w:r>
      <w:proofErr w:type="spellEnd"/>
      <w:r>
        <w:t xml:space="preserve"> (</w:t>
      </w:r>
      <w:proofErr w:type="spellStart"/>
      <w:r>
        <w:t>dpp</w:t>
      </w:r>
      <w:proofErr w:type="spellEnd"/>
      <w:r>
        <w:t>), and Wingless/</w:t>
      </w:r>
      <w:proofErr w:type="spellStart"/>
      <w:r>
        <w:t>Wnt</w:t>
      </w:r>
      <w:proofErr w:type="spellEnd"/>
      <w:r>
        <w:t xml:space="preserve"> signaling. Groucho activity is down-regulated via the </w:t>
      </w:r>
      <w:proofErr w:type="spellStart"/>
      <w:r>
        <w:t>Ras</w:t>
      </w:r>
      <w:proofErr w:type="spellEnd"/>
      <w:r>
        <w:t xml:space="preserve">/MAPK pathway in response to signals </w:t>
      </w:r>
      <w:r w:rsidR="00831845">
        <w:t>initiated</w:t>
      </w:r>
      <w:r>
        <w:t xml:space="preserve"> at EGFR, FGFR, and Torso receptors</w:t>
      </w:r>
      <w:r w:rsidR="00983A3A">
        <w:t xml:space="preserve"> </w:t>
      </w:r>
      <w:r w:rsidR="00927642">
        <w:t>{</w:t>
      </w:r>
      <w:proofErr w:type="spellStart"/>
      <w:r w:rsidR="00927642">
        <w:t>Hasson</w:t>
      </w:r>
      <w:proofErr w:type="spellEnd"/>
      <w:r w:rsidR="00927642">
        <w:t>, 2005 #3064}</w:t>
      </w:r>
      <w:r>
        <w:t xml:space="preserve">. This relief of Groucho-mediated repression is critical to </w:t>
      </w:r>
      <w:r w:rsidR="00983A3A">
        <w:t xml:space="preserve">the cellular response to RTK signaling and is </w:t>
      </w:r>
      <w:r w:rsidR="00983A3A">
        <w:lastRenderedPageBreak/>
        <w:t xml:space="preserve">thought to </w:t>
      </w:r>
      <w:r w:rsidR="00831845">
        <w:t>precipitate</w:t>
      </w:r>
      <w:r w:rsidR="00983A3A">
        <w:t xml:space="preserve"> a cellular memory, where Groucho attenuation is thought to persist after loss of signaling </w:t>
      </w:r>
      <w:r w:rsidR="00927642">
        <w:t>{Cinnamon, 2008 #242}</w:t>
      </w:r>
      <w:r w:rsidR="00531081">
        <w:t xml:space="preserve"> </w:t>
      </w:r>
      <w:r w:rsidR="00927642">
        <w:t>{</w:t>
      </w:r>
      <w:proofErr w:type="spellStart"/>
      <w:r w:rsidR="00927642">
        <w:t>Helman</w:t>
      </w:r>
      <w:proofErr w:type="spellEnd"/>
      <w:r w:rsidR="00927642">
        <w:t>, 2011 #2938}</w:t>
      </w:r>
      <w:r w:rsidR="00983A3A">
        <w:t>.</w:t>
      </w:r>
    </w:p>
    <w:p w14:paraId="57CCF703" w14:textId="7F9CBF93" w:rsidR="006B3FBC" w:rsidRDefault="006B3FBC" w:rsidP="009807D9">
      <w:pPr>
        <w:pStyle w:val="BodyText"/>
        <w:spacing w:line="480" w:lineRule="auto"/>
        <w:ind w:firstLine="720"/>
      </w:pPr>
      <w:r>
        <w:t>Under the absence of Notch signaling, Groucho represses E(</w:t>
      </w:r>
      <w:proofErr w:type="spellStart"/>
      <w:r>
        <w:t>spl</w:t>
      </w:r>
      <w:proofErr w:type="spellEnd"/>
      <w:r>
        <w:t xml:space="preserve">) complex genes through interactions with Hairy, which is itself associated with Su(H) </w:t>
      </w:r>
      <w:r w:rsidR="00927642">
        <w:t>{</w:t>
      </w:r>
      <w:proofErr w:type="spellStart"/>
      <w:r w:rsidR="00927642">
        <w:t>Delidakis</w:t>
      </w:r>
      <w:proofErr w:type="spellEnd"/>
      <w:r w:rsidR="00927642">
        <w:t>, 1991 #3082}</w:t>
      </w:r>
      <w:r>
        <w:t>. Upon activation of Notch signaling, Notch displaces Hairy binding at Su(H) sites, relieving Groucho repression and initiating expression of E(</w:t>
      </w:r>
      <w:proofErr w:type="spellStart"/>
      <w:r>
        <w:t>spl</w:t>
      </w:r>
      <w:proofErr w:type="spellEnd"/>
      <w:r>
        <w:t>) genes. Groucho then interacts with</w:t>
      </w:r>
      <w:r w:rsidR="00531081">
        <w:t xml:space="preserve"> newly expressed</w:t>
      </w:r>
      <w:r>
        <w:t xml:space="preserve"> E(</w:t>
      </w:r>
      <w:proofErr w:type="spellStart"/>
      <w:r>
        <w:t>spl</w:t>
      </w:r>
      <w:proofErr w:type="spellEnd"/>
      <w:r>
        <w:t xml:space="preserve">) to repress a number of </w:t>
      </w:r>
      <w:proofErr w:type="spellStart"/>
      <w:r>
        <w:t>proneural</w:t>
      </w:r>
      <w:proofErr w:type="spellEnd"/>
      <w:r>
        <w:t xml:space="preserve"> genes </w:t>
      </w:r>
      <w:r w:rsidR="00927642">
        <w:t>{</w:t>
      </w:r>
      <w:proofErr w:type="spellStart"/>
      <w:r w:rsidR="00927642">
        <w:t>Preiss</w:t>
      </w:r>
      <w:proofErr w:type="spellEnd"/>
      <w:r w:rsidR="00927642">
        <w:t>, 1988 #3083}</w:t>
      </w:r>
      <w:r w:rsidRPr="006B3FBC">
        <w:t xml:space="preserve"> </w:t>
      </w:r>
      <w:r w:rsidR="00927642">
        <w:t>{</w:t>
      </w:r>
      <w:proofErr w:type="spellStart"/>
      <w:r w:rsidR="00927642">
        <w:t>Wurmbach</w:t>
      </w:r>
      <w:proofErr w:type="spellEnd"/>
      <w:r w:rsidR="00927642">
        <w:t>, 1999 #3084}</w:t>
      </w:r>
      <w:r>
        <w:t xml:space="preserve">. </w:t>
      </w:r>
    </w:p>
    <w:p w14:paraId="717A28C0" w14:textId="25015DB8" w:rsidR="006B3FBC" w:rsidRDefault="006B3FBC" w:rsidP="009807D9">
      <w:pPr>
        <w:pStyle w:val="BodyText"/>
        <w:spacing w:line="480" w:lineRule="auto"/>
        <w:ind w:firstLine="720"/>
      </w:pPr>
      <w:r>
        <w:t xml:space="preserve">Groucho is also critical to signaling via </w:t>
      </w:r>
      <w:proofErr w:type="spellStart"/>
      <w:r>
        <w:t>Decapentaplegic</w:t>
      </w:r>
      <w:proofErr w:type="spellEnd"/>
      <w:r>
        <w:t xml:space="preserve"> (</w:t>
      </w:r>
      <w:proofErr w:type="spellStart"/>
      <w:r>
        <w:t>dpp</w:t>
      </w:r>
      <w:proofErr w:type="spellEnd"/>
      <w:r>
        <w:t xml:space="preserve">), a </w:t>
      </w:r>
      <w:r>
        <w:rPr>
          <w:i/>
        </w:rPr>
        <w:t xml:space="preserve">Drosophila </w:t>
      </w:r>
      <w:r>
        <w:t xml:space="preserve">TGF-β homolog whose diffusion over long distances is essential to patterning during embryogenesis and later during appendage development </w:t>
      </w:r>
      <w:r w:rsidR="00927642">
        <w:t>{</w:t>
      </w:r>
      <w:proofErr w:type="spellStart"/>
      <w:r w:rsidR="00927642">
        <w:t>Upadhyai</w:t>
      </w:r>
      <w:proofErr w:type="spellEnd"/>
      <w:r w:rsidR="00927642">
        <w:t>, 2013 #2339}</w:t>
      </w:r>
      <w:r>
        <w:t xml:space="preserve">. The </w:t>
      </w:r>
      <w:proofErr w:type="spellStart"/>
      <w:r>
        <w:t>dpp</w:t>
      </w:r>
      <w:proofErr w:type="spellEnd"/>
      <w:r>
        <w:t xml:space="preserve"> </w:t>
      </w:r>
      <w:proofErr w:type="spellStart"/>
      <w:r>
        <w:t>morphogen</w:t>
      </w:r>
      <w:proofErr w:type="spellEnd"/>
      <w:r>
        <w:t xml:space="preserve"> is expressed dorsally in the embryo and is critical to the </w:t>
      </w:r>
      <w:r w:rsidR="00531081">
        <w:t xml:space="preserve">definition of cell-fate along </w:t>
      </w:r>
      <w:r w:rsidR="00CB0454">
        <w:t>the dorsal-ventral</w:t>
      </w:r>
      <w:r w:rsidR="00531081">
        <w:t xml:space="preserve"> axis </w:t>
      </w:r>
      <w:r w:rsidR="00927642">
        <w:t>{Ferguson, 1992 #3088}</w:t>
      </w:r>
      <w:r>
        <w:t xml:space="preserve">. Groucho, through interaction with Dorsal, is essential in repressing ventral expression of </w:t>
      </w:r>
      <w:proofErr w:type="spellStart"/>
      <w:r>
        <w:rPr>
          <w:i/>
        </w:rPr>
        <w:t>dpp</w:t>
      </w:r>
      <w:proofErr w:type="spellEnd"/>
      <w:r w:rsidR="00CB0454">
        <w:t xml:space="preserve">, meaning that Gro is involved in both the definition and interpretation of </w:t>
      </w:r>
      <w:proofErr w:type="spellStart"/>
      <w:r w:rsidR="00CB0454">
        <w:t>dpp</w:t>
      </w:r>
      <w:proofErr w:type="spellEnd"/>
      <w:r w:rsidR="00CB0454">
        <w:t xml:space="preserve"> signaling</w:t>
      </w:r>
      <w:r>
        <w:rPr>
          <w:i/>
        </w:rPr>
        <w:t xml:space="preserve"> </w:t>
      </w:r>
      <w:r w:rsidR="00927642">
        <w:t>{</w:t>
      </w:r>
      <w:proofErr w:type="spellStart"/>
      <w:r w:rsidR="00927642">
        <w:t>Schwyter</w:t>
      </w:r>
      <w:proofErr w:type="spellEnd"/>
      <w:r w:rsidR="00927642">
        <w:t>, 1995 #3038}</w:t>
      </w:r>
      <w:r>
        <w:rPr>
          <w:i/>
        </w:rPr>
        <w:t>.</w:t>
      </w:r>
      <w:r w:rsidR="0013409F">
        <w:rPr>
          <w:i/>
        </w:rPr>
        <w:t xml:space="preserve"> </w:t>
      </w:r>
      <w:r w:rsidR="0013409F">
        <w:t xml:space="preserve">In the absence of </w:t>
      </w:r>
      <w:proofErr w:type="spellStart"/>
      <w:r w:rsidR="0013409F" w:rsidRPr="0013409F">
        <w:t>dpp</w:t>
      </w:r>
      <w:proofErr w:type="spellEnd"/>
      <w:r w:rsidR="0013409F">
        <w:rPr>
          <w:i/>
        </w:rPr>
        <w:t xml:space="preserve"> </w:t>
      </w:r>
      <w:r w:rsidR="0013409F">
        <w:t>signaling, Brinker (</w:t>
      </w:r>
      <w:proofErr w:type="spellStart"/>
      <w:r w:rsidR="0013409F">
        <w:t>brk</w:t>
      </w:r>
      <w:proofErr w:type="spellEnd"/>
      <w:r w:rsidR="0013409F">
        <w:t xml:space="preserve">) represses a subset of </w:t>
      </w:r>
      <w:proofErr w:type="spellStart"/>
      <w:r w:rsidR="0013409F">
        <w:t>dpp</w:t>
      </w:r>
      <w:proofErr w:type="spellEnd"/>
      <w:r w:rsidR="0013409F">
        <w:t xml:space="preserve"> target genes through two independent repressive mechanisms, one involving </w:t>
      </w:r>
      <w:proofErr w:type="spellStart"/>
      <w:r w:rsidR="0013409F">
        <w:t>dCtBP</w:t>
      </w:r>
      <w:proofErr w:type="spellEnd"/>
      <w:r w:rsidR="0013409F">
        <w:t xml:space="preserve"> (a short-range </w:t>
      </w:r>
      <w:proofErr w:type="spellStart"/>
      <w:r w:rsidR="0013409F">
        <w:t>corepressor</w:t>
      </w:r>
      <w:proofErr w:type="spellEnd"/>
      <w:r w:rsidR="0013409F">
        <w:t>), and the other involving Gro</w:t>
      </w:r>
      <w:r w:rsidR="00BD31C1">
        <w:t xml:space="preserve"> </w:t>
      </w:r>
      <w:r w:rsidR="00927642">
        <w:t>{</w:t>
      </w:r>
      <w:proofErr w:type="spellStart"/>
      <w:r w:rsidR="00927642">
        <w:t>Hasson</w:t>
      </w:r>
      <w:proofErr w:type="spellEnd"/>
      <w:r w:rsidR="00927642">
        <w:t>, 2001 #3033}</w:t>
      </w:r>
      <w:r w:rsidR="0013409F">
        <w:t>.</w:t>
      </w:r>
      <w:r w:rsidR="00BD31C1">
        <w:t xml:space="preserve"> </w:t>
      </w:r>
      <w:r w:rsidR="004C029F">
        <w:t xml:space="preserve">Upon activation of </w:t>
      </w:r>
      <w:proofErr w:type="spellStart"/>
      <w:r w:rsidR="004C029F">
        <w:t>dpp</w:t>
      </w:r>
      <w:proofErr w:type="spellEnd"/>
      <w:r w:rsidR="004C029F">
        <w:t xml:space="preserve"> signaling, </w:t>
      </w:r>
      <w:r w:rsidR="005400EB">
        <w:t xml:space="preserve">Brinker becomes repressed by </w:t>
      </w:r>
      <w:proofErr w:type="spellStart"/>
      <w:r w:rsidR="001C16FE">
        <w:t>Schnurri</w:t>
      </w:r>
      <w:proofErr w:type="spellEnd"/>
      <w:r w:rsidR="001C16FE">
        <w:t xml:space="preserve"> i</w:t>
      </w:r>
      <w:r w:rsidR="00967750">
        <w:t xml:space="preserve">n dorsal regions of the embryo, while continuing to be expressed in </w:t>
      </w:r>
      <w:proofErr w:type="spellStart"/>
      <w:r w:rsidR="00967750">
        <w:t>ventrolateral</w:t>
      </w:r>
      <w:proofErr w:type="spellEnd"/>
      <w:r w:rsidR="00967750">
        <w:t xml:space="preserve"> regions </w:t>
      </w:r>
      <w:r w:rsidR="00927642">
        <w:t>{Marty, 2000 #3089}</w:t>
      </w:r>
      <w:r w:rsidR="00967750">
        <w:t>.</w:t>
      </w:r>
    </w:p>
    <w:p w14:paraId="00B32590" w14:textId="632C32B5" w:rsidR="00967750" w:rsidRDefault="00967750" w:rsidP="00E25520">
      <w:pPr>
        <w:pStyle w:val="BodyText"/>
        <w:spacing w:line="480" w:lineRule="auto"/>
        <w:ind w:firstLine="720"/>
      </w:pPr>
      <w:r>
        <w:t>Finally, Groucho participates in Wingless/</w:t>
      </w:r>
      <w:proofErr w:type="spellStart"/>
      <w:r>
        <w:t>Wnt</w:t>
      </w:r>
      <w:proofErr w:type="spellEnd"/>
      <w:r>
        <w:t xml:space="preserve"> signaling, through interactions with </w:t>
      </w:r>
      <w:proofErr w:type="spellStart"/>
      <w:r>
        <w:t>Tcf</w:t>
      </w:r>
      <w:proofErr w:type="spellEnd"/>
      <w:r>
        <w:t>/</w:t>
      </w:r>
      <w:proofErr w:type="spellStart"/>
      <w:r>
        <w:t>Lef</w:t>
      </w:r>
      <w:proofErr w:type="spellEnd"/>
      <w:r>
        <w:t xml:space="preserve"> family proteins to regulate cell-fate choice </w:t>
      </w:r>
      <w:r w:rsidR="00927642">
        <w:t>{</w:t>
      </w:r>
      <w:proofErr w:type="spellStart"/>
      <w:r w:rsidR="00927642">
        <w:t>Cavallo</w:t>
      </w:r>
      <w:proofErr w:type="spellEnd"/>
      <w:r w:rsidR="00927642">
        <w:t>, 1998 #3071}</w:t>
      </w:r>
      <w:r w:rsidRPr="00967750">
        <w:t xml:space="preserve"> </w:t>
      </w:r>
      <w:r w:rsidR="00927642">
        <w:t>{</w:t>
      </w:r>
      <w:proofErr w:type="spellStart"/>
      <w:r w:rsidR="00927642">
        <w:t>Roose</w:t>
      </w:r>
      <w:proofErr w:type="spellEnd"/>
      <w:r w:rsidR="00927642">
        <w:t xml:space="preserve">, 1999 </w:t>
      </w:r>
      <w:r w:rsidR="00927642">
        <w:lastRenderedPageBreak/>
        <w:t>#3086}</w:t>
      </w:r>
      <w:r>
        <w:t xml:space="preserve">. In unstimulated cells, Groucho assists in repressing </w:t>
      </w:r>
      <w:proofErr w:type="spellStart"/>
      <w:r>
        <w:t>Tcf</w:t>
      </w:r>
      <w:proofErr w:type="spellEnd"/>
      <w:r>
        <w:t>/</w:t>
      </w:r>
      <w:proofErr w:type="spellStart"/>
      <w:r>
        <w:t>Lef</w:t>
      </w:r>
      <w:proofErr w:type="spellEnd"/>
      <w:r>
        <w:t xml:space="preserve"> target genes through interactions with the Q-domain </w:t>
      </w:r>
      <w:r w:rsidR="00927642">
        <w:t>{</w:t>
      </w:r>
      <w:proofErr w:type="spellStart"/>
      <w:r w:rsidR="00927642">
        <w:t>Clevers</w:t>
      </w:r>
      <w:proofErr w:type="spellEnd"/>
      <w:r w:rsidR="00927642">
        <w:t>, 2006 #3085}</w:t>
      </w:r>
      <w:r>
        <w:t xml:space="preserve">. Upon </w:t>
      </w:r>
      <w:proofErr w:type="spellStart"/>
      <w:r w:rsidR="00531081">
        <w:t>Wnt</w:t>
      </w:r>
      <w:proofErr w:type="spellEnd"/>
      <w:r w:rsidR="00531081">
        <w:t xml:space="preserve"> </w:t>
      </w:r>
      <w:r>
        <w:t xml:space="preserve">activation, nuclear beta-catenin (Armadillo) concentration increases, which binds to </w:t>
      </w:r>
      <w:proofErr w:type="spellStart"/>
      <w:r>
        <w:t>Tcf</w:t>
      </w:r>
      <w:proofErr w:type="spellEnd"/>
      <w:r>
        <w:t xml:space="preserve">, releasing Groucho and leading to gene activation. In this context, Groucho is essential in guarding against spurious activation of </w:t>
      </w:r>
      <w:proofErr w:type="spellStart"/>
      <w:r>
        <w:t>Wnt</w:t>
      </w:r>
      <w:proofErr w:type="spellEnd"/>
      <w:r>
        <w:t xml:space="preserve"> target genes in unstimulated cells </w:t>
      </w:r>
      <w:r w:rsidR="00927642">
        <w:t>{Daniels, 2005 #3087}</w:t>
      </w:r>
      <w:r>
        <w:t>.</w:t>
      </w:r>
    </w:p>
    <w:p w14:paraId="2CB6E70A" w14:textId="6D69A56E" w:rsidR="005D46F7" w:rsidRDefault="005D46F7" w:rsidP="00E25520">
      <w:pPr>
        <w:pStyle w:val="BodyText"/>
        <w:spacing w:line="480" w:lineRule="auto"/>
        <w:ind w:firstLine="720"/>
      </w:pPr>
      <w:r>
        <w:t>It is</w:t>
      </w:r>
      <w:r w:rsidR="00523208">
        <w:t xml:space="preserve"> primarily</w:t>
      </w:r>
      <w:r w:rsidR="00531081">
        <w:t xml:space="preserve"> through </w:t>
      </w:r>
      <w:r w:rsidR="00523208">
        <w:t xml:space="preserve">the spatially and temporally precise mediation of gene transcription in response to these </w:t>
      </w:r>
      <w:r>
        <w:t xml:space="preserve">extracellular </w:t>
      </w:r>
      <w:r w:rsidR="00523208">
        <w:t>signals</w:t>
      </w:r>
      <w:r>
        <w:t xml:space="preserve"> that Groucho becomes fundamental to embryonic patterning. </w:t>
      </w:r>
      <w:r w:rsidR="00523208">
        <w:t>Many e</w:t>
      </w:r>
      <w:r>
        <w:t xml:space="preserve">arly embryonic patterning </w:t>
      </w:r>
      <w:r w:rsidR="00523208">
        <w:t xml:space="preserve">effectors </w:t>
      </w:r>
      <w:r>
        <w:t xml:space="preserve">can be divided into dorsal-ventral and anterior-posterior programs, though these processes are </w:t>
      </w:r>
      <w:r w:rsidR="00523208">
        <w:t xml:space="preserve">complex and </w:t>
      </w:r>
      <w:r>
        <w:t>heavily interconnected</w:t>
      </w:r>
      <w:r w:rsidR="00523208">
        <w:t xml:space="preserve"> </w:t>
      </w:r>
      <w:r w:rsidR="00927642">
        <w:t>{Jaeger, 2012 #3103}</w:t>
      </w:r>
      <w:r w:rsidR="00523208">
        <w:t xml:space="preserve">, requiring the coordinated regulation of dozens of transcriptional activators, repressors, and co-regulators </w:t>
      </w:r>
      <w:r w:rsidR="00927642">
        <w:t>{</w:t>
      </w:r>
      <w:proofErr w:type="spellStart"/>
      <w:r w:rsidR="00927642">
        <w:t>Mannervik</w:t>
      </w:r>
      <w:proofErr w:type="spellEnd"/>
      <w:r w:rsidR="00927642">
        <w:t>, 2014 #2280}</w:t>
      </w:r>
      <w:r w:rsidR="00531081">
        <w:t>. Definition of</w:t>
      </w:r>
      <w:r w:rsidR="00523208">
        <w:t xml:space="preserve"> the dorsal-ventral axis, which is critical to germ layer development, is the </w:t>
      </w:r>
      <w:r w:rsidR="00531081">
        <w:t xml:space="preserve">specified by the </w:t>
      </w:r>
      <w:r w:rsidR="00523208">
        <w:t xml:space="preserve">maternally-contributed gradient of </w:t>
      </w:r>
      <w:r w:rsidR="00E25520">
        <w:t xml:space="preserve">nuclear </w:t>
      </w:r>
      <w:r w:rsidR="00523208">
        <w:t>Dorsal along this axis</w:t>
      </w:r>
      <w:r w:rsidR="00E25520">
        <w:t xml:space="preserve"> </w:t>
      </w:r>
      <w:r w:rsidR="00927642">
        <w:t>{Roth, 1989 #1112}</w:t>
      </w:r>
      <w:r w:rsidR="00E25520">
        <w:t xml:space="preserve">. On the ventral side of the embryo, high concentrations of nuclear Dorsal initiate transcriptional programs designating the mesoderm </w:t>
      </w:r>
      <w:r w:rsidR="00927642">
        <w:t>{Gonzalez-Crespo, 1993 #3043}</w:t>
      </w:r>
      <w:r w:rsidR="00E25520">
        <w:t xml:space="preserve">. In </w:t>
      </w:r>
      <w:proofErr w:type="spellStart"/>
      <w:r w:rsidR="00E25520">
        <w:t>ventrolateral</w:t>
      </w:r>
      <w:proofErr w:type="spellEnd"/>
      <w:r w:rsidR="00E25520">
        <w:t xml:space="preserve"> regions, modest Dorsal concentrations contribute to a </w:t>
      </w:r>
      <w:proofErr w:type="spellStart"/>
      <w:r w:rsidR="00E25520">
        <w:t>neuroectodermal</w:t>
      </w:r>
      <w:proofErr w:type="spellEnd"/>
      <w:r w:rsidR="00E25520">
        <w:t xml:space="preserve"> fate </w:t>
      </w:r>
      <w:r w:rsidR="00927642">
        <w:t>{</w:t>
      </w:r>
      <w:proofErr w:type="spellStart"/>
      <w:r w:rsidR="00927642">
        <w:t>Ip</w:t>
      </w:r>
      <w:proofErr w:type="spellEnd"/>
      <w:r w:rsidR="00927642">
        <w:t>, 1992 #3042}</w:t>
      </w:r>
      <w:r w:rsidR="00E25520">
        <w:t>.</w:t>
      </w:r>
      <w:r w:rsidR="00B949E3">
        <w:t xml:space="preserve"> The strength, spacing, grouping geometry, and distribution of adjacent binding sites </w:t>
      </w:r>
      <w:r w:rsidR="00CB0454">
        <w:t>modulate</w:t>
      </w:r>
      <w:r w:rsidR="00B949E3">
        <w:t xml:space="preserve"> </w:t>
      </w:r>
      <w:r w:rsidR="00CB0454">
        <w:t>Dorsal binding and cofactor recruitment in order to correctly</w:t>
      </w:r>
      <w:r w:rsidR="00B949E3">
        <w:t xml:space="preserve"> </w:t>
      </w:r>
      <w:r w:rsidR="00CB0454">
        <w:t>interpret</w:t>
      </w:r>
      <w:r w:rsidR="00B949E3">
        <w:t xml:space="preserve"> the Dorsal gradient </w:t>
      </w:r>
      <w:r w:rsidR="00927642">
        <w:t>{</w:t>
      </w:r>
      <w:proofErr w:type="spellStart"/>
      <w:r w:rsidR="00927642">
        <w:t>Zeitlinger</w:t>
      </w:r>
      <w:proofErr w:type="spellEnd"/>
      <w:r w:rsidR="00927642">
        <w:t>, 2007 #3025}</w:t>
      </w:r>
      <w:r w:rsidR="00B949E3">
        <w:t xml:space="preserve">. Groucho is critical for repression of a subset of Dorsal-target genes, and is one method by which Dorsal is switched from an activator to a repressor </w:t>
      </w:r>
      <w:r w:rsidR="00927642">
        <w:t>{</w:t>
      </w:r>
      <w:proofErr w:type="spellStart"/>
      <w:r w:rsidR="00927642">
        <w:t>Dubnicoff</w:t>
      </w:r>
      <w:proofErr w:type="spellEnd"/>
      <w:r w:rsidR="00927642">
        <w:t>, 1997 #2366}</w:t>
      </w:r>
      <w:r w:rsidR="00B949E3">
        <w:t>.</w:t>
      </w:r>
    </w:p>
    <w:p w14:paraId="5E9AE4F3" w14:textId="3E9BE9EE" w:rsidR="00CB0454" w:rsidRDefault="00AE33C9" w:rsidP="00E25520">
      <w:pPr>
        <w:pStyle w:val="BodyText"/>
        <w:spacing w:line="480" w:lineRule="auto"/>
        <w:ind w:firstLine="720"/>
      </w:pPr>
      <w:r>
        <w:lastRenderedPageBreak/>
        <w:t>Groucho is also crucial to specification</w:t>
      </w:r>
      <w:r w:rsidR="008161F3">
        <w:t xml:space="preserve"> of the anterior-posterior axis. Early in development, the transcriptional groundwork is laid for the segmentation of the adult fly via multiple gradients, beginning with </w:t>
      </w:r>
      <w:proofErr w:type="spellStart"/>
      <w:r w:rsidR="008161F3">
        <w:t>Bicoid</w:t>
      </w:r>
      <w:proofErr w:type="spellEnd"/>
      <w:r w:rsidR="008161F3">
        <w:t xml:space="preserve"> and </w:t>
      </w:r>
      <w:proofErr w:type="spellStart"/>
      <w:r w:rsidR="008161F3">
        <w:t>Nanos</w:t>
      </w:r>
      <w:proofErr w:type="spellEnd"/>
      <w:r w:rsidR="008161F3">
        <w:t xml:space="preserve">, which </w:t>
      </w:r>
      <w:r w:rsidR="00CB0454">
        <w:t>specify</w:t>
      </w:r>
      <w:r w:rsidR="008161F3">
        <w:t xml:space="preserve"> the expression of multiple gap genes, which in turn give rise to a st</w:t>
      </w:r>
      <w:r w:rsidR="0052651F">
        <w:t>r</w:t>
      </w:r>
      <w:r w:rsidR="008161F3">
        <w:t xml:space="preserve">iped pattern of pair rule genes, which then specify the </w:t>
      </w:r>
      <w:r w:rsidR="0052651F">
        <w:t>expression of multiple segment polarity genes</w:t>
      </w:r>
      <w:r w:rsidR="00073BFD">
        <w:t xml:space="preserve"> </w:t>
      </w:r>
      <w:r w:rsidR="00927642">
        <w:t>{Levine, 2008 #3104}</w:t>
      </w:r>
      <w:r w:rsidR="0052651F">
        <w:t>.</w:t>
      </w:r>
      <w:r w:rsidR="008161F3">
        <w:t xml:space="preserve"> </w:t>
      </w:r>
      <w:r w:rsidR="000B51C6">
        <w:t>Groucho is critical to the viable specification of this axis through multiple direct interactions with transcription factors, including engrailed, a segment polarity gene.</w:t>
      </w:r>
      <w:r w:rsidR="008C2BAA">
        <w:t xml:space="preserve"> </w:t>
      </w:r>
    </w:p>
    <w:p w14:paraId="768EC770" w14:textId="4F20896F" w:rsidR="00AE33C9" w:rsidRDefault="00CB0454" w:rsidP="00E25520">
      <w:pPr>
        <w:pStyle w:val="BodyText"/>
        <w:spacing w:line="480" w:lineRule="auto"/>
        <w:ind w:firstLine="720"/>
      </w:pPr>
      <w:r>
        <w:t xml:space="preserve">In addition to dorsal-ventral and segmentation pattering, </w:t>
      </w:r>
      <w:r w:rsidR="008C2BAA">
        <w:t xml:space="preserve">Groucho is involved in terminal patterning of the embryo through interaction with </w:t>
      </w:r>
      <w:proofErr w:type="spellStart"/>
      <w:r w:rsidR="008C2BAA">
        <w:t>Capicua</w:t>
      </w:r>
      <w:proofErr w:type="spellEnd"/>
      <w:r w:rsidR="008C2BAA">
        <w:t xml:space="preserve"> </w:t>
      </w:r>
      <w:r w:rsidR="00927642">
        <w:t>{</w:t>
      </w:r>
      <w:proofErr w:type="spellStart"/>
      <w:r w:rsidR="00927642">
        <w:t>Ajuria</w:t>
      </w:r>
      <w:proofErr w:type="spellEnd"/>
      <w:r w:rsidR="00927642">
        <w:t>, 2011 #2947}</w:t>
      </w:r>
      <w:r w:rsidR="008C2BAA">
        <w:t xml:space="preserve">, a process regulated by </w:t>
      </w:r>
      <w:proofErr w:type="spellStart"/>
      <w:r w:rsidR="008C2BAA">
        <w:t>Ras</w:t>
      </w:r>
      <w:proofErr w:type="spellEnd"/>
      <w:r w:rsidR="008C2BAA">
        <w:t xml:space="preserve">/MAPK signaling </w:t>
      </w:r>
      <w:r w:rsidR="00927642">
        <w:t>{Chen, 2009 #3073}</w:t>
      </w:r>
      <w:r w:rsidR="00A34824" w:rsidRPr="00A34824">
        <w:t xml:space="preserve"> </w:t>
      </w:r>
      <w:r w:rsidR="00927642">
        <w:t>{</w:t>
      </w:r>
      <w:proofErr w:type="spellStart"/>
      <w:r w:rsidR="00927642">
        <w:t>Paroush</w:t>
      </w:r>
      <w:proofErr w:type="spellEnd"/>
      <w:r w:rsidR="00927642">
        <w:t>, 1997 #3074}</w:t>
      </w:r>
      <w:r w:rsidR="00A34824">
        <w:t>.</w:t>
      </w:r>
      <w:r w:rsidR="007F61AF">
        <w:t xml:space="preserve"> Groucho activity is not limited to the embryo, as it participates in patterning of the </w:t>
      </w:r>
      <w:proofErr w:type="spellStart"/>
      <w:r w:rsidR="007F61AF">
        <w:t>imaginal</w:t>
      </w:r>
      <w:proofErr w:type="spellEnd"/>
      <w:r w:rsidR="007F61AF">
        <w:t xml:space="preserve"> discs during larval morphogenesis through the control of </w:t>
      </w:r>
      <w:proofErr w:type="spellStart"/>
      <w:r w:rsidR="007F61AF">
        <w:t>dpp</w:t>
      </w:r>
      <w:proofErr w:type="spellEnd"/>
      <w:r w:rsidR="007F61AF">
        <w:t xml:space="preserve"> signaling </w:t>
      </w:r>
      <w:r w:rsidR="00927642">
        <w:t>{Winkler, 2010 #2964}</w:t>
      </w:r>
      <w:r w:rsidR="007F61AF">
        <w:t>.</w:t>
      </w:r>
    </w:p>
    <w:p w14:paraId="3CAA45A0" w14:textId="71E97913" w:rsidR="00F03A9B" w:rsidRPr="00F03A9B" w:rsidRDefault="00295785" w:rsidP="00F03A9B">
      <w:pPr>
        <w:spacing w:line="480" w:lineRule="auto"/>
        <w:ind w:firstLine="720"/>
        <w:rPr>
          <w:rFonts w:asciiTheme="minorHAnsi" w:hAnsiTheme="minorHAnsi" w:cstheme="minorBidi"/>
        </w:rPr>
      </w:pPr>
      <w:r w:rsidRPr="00F03A9B">
        <w:rPr>
          <w:rFonts w:asciiTheme="minorHAnsi" w:hAnsiTheme="minorHAnsi" w:cstheme="minorBidi"/>
        </w:rPr>
        <w:t xml:space="preserve">While a great deal is known about the developmental participation and </w:t>
      </w:r>
      <w:proofErr w:type="spellStart"/>
      <w:r w:rsidRPr="00F03A9B">
        <w:rPr>
          <w:rFonts w:asciiTheme="minorHAnsi" w:hAnsiTheme="minorHAnsi" w:cstheme="minorBidi"/>
        </w:rPr>
        <w:t>interactors</w:t>
      </w:r>
      <w:proofErr w:type="spellEnd"/>
      <w:r w:rsidRPr="00F03A9B">
        <w:rPr>
          <w:rFonts w:asciiTheme="minorHAnsi" w:hAnsiTheme="minorHAnsi" w:cstheme="minorBidi"/>
        </w:rPr>
        <w:t xml:space="preserve"> of Gro, the mechanism (or</w:t>
      </w:r>
      <w:r w:rsidR="00FF2586">
        <w:rPr>
          <w:rFonts w:asciiTheme="minorHAnsi" w:hAnsiTheme="minorHAnsi" w:cstheme="minorBidi"/>
        </w:rPr>
        <w:t xml:space="preserve"> more likely,</w:t>
      </w:r>
      <w:r w:rsidRPr="00F03A9B">
        <w:rPr>
          <w:rFonts w:asciiTheme="minorHAnsi" w:hAnsiTheme="minorHAnsi" w:cstheme="minorBidi"/>
        </w:rPr>
        <w:t xml:space="preserve"> mechanisms) by which Gro achieves repression </w:t>
      </w:r>
      <w:r w:rsidR="00FF2586">
        <w:rPr>
          <w:rFonts w:asciiTheme="minorHAnsi" w:hAnsiTheme="minorHAnsi" w:cstheme="minorBidi"/>
        </w:rPr>
        <w:t>has</w:t>
      </w:r>
      <w:r w:rsidRPr="00F03A9B">
        <w:rPr>
          <w:rFonts w:asciiTheme="minorHAnsi" w:hAnsiTheme="minorHAnsi" w:cstheme="minorBidi"/>
        </w:rPr>
        <w:t xml:space="preserve"> remained elusive. Multiple models have been proposed to explain Groucho’s ability to fully and reversibly initiate and maintain short- and lo</w:t>
      </w:r>
      <w:r w:rsidR="00FF2586">
        <w:rPr>
          <w:rFonts w:asciiTheme="minorHAnsi" w:hAnsiTheme="minorHAnsi" w:cstheme="minorBidi"/>
        </w:rPr>
        <w:t>ng-range repression, yet a full</w:t>
      </w:r>
      <w:r w:rsidRPr="00F03A9B">
        <w:rPr>
          <w:rFonts w:asciiTheme="minorHAnsi" w:hAnsiTheme="minorHAnsi" w:cstheme="minorBidi"/>
        </w:rPr>
        <w:t xml:space="preserve"> picture, able to account for </w:t>
      </w:r>
      <w:r w:rsidR="00FF2586">
        <w:rPr>
          <w:rFonts w:asciiTheme="minorHAnsi" w:hAnsiTheme="minorHAnsi" w:cstheme="minorBidi"/>
        </w:rPr>
        <w:t xml:space="preserve">all </w:t>
      </w:r>
      <w:r w:rsidRPr="00F03A9B">
        <w:rPr>
          <w:rFonts w:asciiTheme="minorHAnsi" w:hAnsiTheme="minorHAnsi" w:cstheme="minorBidi"/>
        </w:rPr>
        <w:t>observations of Groucho behavior</w:t>
      </w:r>
      <w:r w:rsidR="00FF2586">
        <w:rPr>
          <w:rFonts w:asciiTheme="minorHAnsi" w:hAnsiTheme="minorHAnsi" w:cstheme="minorBidi"/>
        </w:rPr>
        <w:t>,</w:t>
      </w:r>
      <w:r w:rsidRPr="00F03A9B">
        <w:rPr>
          <w:rFonts w:asciiTheme="minorHAnsi" w:hAnsiTheme="minorHAnsi" w:cstheme="minorBidi"/>
        </w:rPr>
        <w:t xml:space="preserve"> has </w:t>
      </w:r>
      <w:r w:rsidR="00F03A9B" w:rsidRPr="00F03A9B">
        <w:rPr>
          <w:rFonts w:asciiTheme="minorHAnsi" w:hAnsiTheme="minorHAnsi" w:cstheme="minorBidi"/>
        </w:rPr>
        <w:t>yet to emerge.</w:t>
      </w:r>
    </w:p>
    <w:p w14:paraId="1BDAACE6" w14:textId="41A3E5B2" w:rsidR="00F03A9B" w:rsidRDefault="00F03A9B" w:rsidP="00F03A9B">
      <w:pPr>
        <w:spacing w:line="480" w:lineRule="auto"/>
        <w:ind w:firstLine="720"/>
        <w:rPr>
          <w:rFonts w:asciiTheme="minorHAnsi" w:hAnsiTheme="minorHAnsi" w:cstheme="minorBidi"/>
        </w:rPr>
      </w:pPr>
      <w:r w:rsidRPr="00F03A9B">
        <w:rPr>
          <w:rFonts w:asciiTheme="minorHAnsi" w:hAnsiTheme="minorHAnsi" w:cstheme="minorBidi"/>
        </w:rPr>
        <w:t xml:space="preserve">Much of the speculation surround Groucho activity centers on to what degree it forms </w:t>
      </w:r>
      <w:proofErr w:type="spellStart"/>
      <w:r w:rsidRPr="00F03A9B">
        <w:rPr>
          <w:rFonts w:asciiTheme="minorHAnsi" w:hAnsiTheme="minorHAnsi" w:cstheme="minorBidi"/>
        </w:rPr>
        <w:t>oligomeric</w:t>
      </w:r>
      <w:proofErr w:type="spellEnd"/>
      <w:r w:rsidRPr="00F03A9B">
        <w:rPr>
          <w:rFonts w:asciiTheme="minorHAnsi" w:hAnsiTheme="minorHAnsi" w:cstheme="minorBidi"/>
        </w:rPr>
        <w:t xml:space="preserve"> structures </w:t>
      </w:r>
      <w:r w:rsidRPr="00FF2586">
        <w:rPr>
          <w:rFonts w:asciiTheme="minorHAnsi" w:hAnsiTheme="minorHAnsi" w:cstheme="minorBidi"/>
          <w:i/>
        </w:rPr>
        <w:t>in vivo</w:t>
      </w:r>
      <w:r w:rsidRPr="00F03A9B">
        <w:rPr>
          <w:rFonts w:asciiTheme="minorHAnsi" w:hAnsiTheme="minorHAnsi" w:cstheme="minorBidi"/>
        </w:rPr>
        <w:t xml:space="preserve">, </w:t>
      </w:r>
      <w:r>
        <w:rPr>
          <w:rFonts w:asciiTheme="minorHAnsi" w:hAnsiTheme="minorHAnsi" w:cstheme="minorBidi"/>
        </w:rPr>
        <w:t xml:space="preserve">how these structures interact with chromatin, </w:t>
      </w:r>
      <w:r w:rsidRPr="00F03A9B">
        <w:rPr>
          <w:rFonts w:asciiTheme="minorHAnsi" w:hAnsiTheme="minorHAnsi" w:cstheme="minorBidi"/>
        </w:rPr>
        <w:t xml:space="preserve">and what relevance these structures have on its repressive abilities. Early evidence showed Groucho </w:t>
      </w:r>
      <w:proofErr w:type="spellStart"/>
      <w:r w:rsidRPr="00F03A9B">
        <w:rPr>
          <w:rFonts w:asciiTheme="minorHAnsi" w:hAnsiTheme="minorHAnsi" w:cstheme="minorBidi"/>
        </w:rPr>
        <w:t>tetramerizes</w:t>
      </w:r>
      <w:proofErr w:type="spellEnd"/>
      <w:r w:rsidRPr="00F03A9B">
        <w:rPr>
          <w:rFonts w:asciiTheme="minorHAnsi" w:hAnsiTheme="minorHAnsi" w:cstheme="minorBidi"/>
        </w:rPr>
        <w:t xml:space="preserve"> </w:t>
      </w:r>
      <w:r w:rsidRPr="00FF2586">
        <w:rPr>
          <w:rFonts w:asciiTheme="minorHAnsi" w:hAnsiTheme="minorHAnsi" w:cstheme="minorBidi"/>
          <w:i/>
        </w:rPr>
        <w:t>in vitro</w:t>
      </w:r>
      <w:r w:rsidRPr="00F03A9B">
        <w:rPr>
          <w:rFonts w:asciiTheme="minorHAnsi" w:hAnsiTheme="minorHAnsi" w:cstheme="minorBidi"/>
        </w:rPr>
        <w:t xml:space="preserve"> via the Q-domain </w:t>
      </w:r>
      <w:r w:rsidR="00927642">
        <w:rPr>
          <w:rFonts w:asciiTheme="minorHAnsi" w:hAnsiTheme="minorHAnsi" w:cstheme="minorBidi"/>
        </w:rPr>
        <w:t>{Chen, 1998 #267}</w:t>
      </w:r>
      <w:r w:rsidRPr="00F03A9B">
        <w:rPr>
          <w:rFonts w:asciiTheme="minorHAnsi" w:hAnsiTheme="minorHAnsi" w:cstheme="minorBidi"/>
        </w:rPr>
        <w:t xml:space="preserve"> </w:t>
      </w:r>
      <w:r w:rsidR="00927642">
        <w:rPr>
          <w:rFonts w:asciiTheme="minorHAnsi" w:hAnsiTheme="minorHAnsi" w:cstheme="minorBidi"/>
        </w:rPr>
        <w:t>{Song, 2004 #1161}</w:t>
      </w:r>
      <w:r w:rsidRPr="00F03A9B">
        <w:rPr>
          <w:rFonts w:asciiTheme="minorHAnsi" w:hAnsiTheme="minorHAnsi" w:cstheme="minorBidi"/>
        </w:rPr>
        <w:t xml:space="preserve">. </w:t>
      </w:r>
      <w:r w:rsidRPr="00F03A9B">
        <w:rPr>
          <w:rFonts w:asciiTheme="minorHAnsi" w:hAnsiTheme="minorHAnsi" w:cstheme="minorBidi"/>
        </w:rPr>
        <w:lastRenderedPageBreak/>
        <w:t xml:space="preserve">Groucho </w:t>
      </w:r>
      <w:r w:rsidR="00FF2586">
        <w:rPr>
          <w:rFonts w:asciiTheme="minorHAnsi" w:hAnsiTheme="minorHAnsi" w:cstheme="minorBidi"/>
        </w:rPr>
        <w:t>has been</w:t>
      </w:r>
      <w:r w:rsidRPr="00F03A9B">
        <w:rPr>
          <w:rFonts w:asciiTheme="minorHAnsi" w:hAnsiTheme="minorHAnsi" w:cstheme="minorBidi"/>
        </w:rPr>
        <w:t xml:space="preserve"> found to be associated with chromatin over 2 kb away from its recruitment site, leading to the hypothesis that Groucho spreads from its recruitment site, analogous to the spreading activity of Sir family </w:t>
      </w:r>
      <w:proofErr w:type="spellStart"/>
      <w:r w:rsidRPr="00F03A9B">
        <w:rPr>
          <w:rFonts w:asciiTheme="minorHAnsi" w:hAnsiTheme="minorHAnsi" w:cstheme="minorBidi"/>
        </w:rPr>
        <w:t>corepressors</w:t>
      </w:r>
      <w:proofErr w:type="spellEnd"/>
      <w:r w:rsidRPr="00F03A9B">
        <w:rPr>
          <w:rFonts w:asciiTheme="minorHAnsi" w:hAnsiTheme="minorHAnsi" w:cstheme="minorBidi"/>
        </w:rPr>
        <w:t xml:space="preserve"> </w:t>
      </w:r>
      <w:r w:rsidR="00927642">
        <w:rPr>
          <w:rFonts w:asciiTheme="minorHAnsi" w:hAnsiTheme="minorHAnsi" w:cstheme="minorBidi"/>
        </w:rPr>
        <w:t>{</w:t>
      </w:r>
      <w:proofErr w:type="spellStart"/>
      <w:r w:rsidR="00927642">
        <w:rPr>
          <w:rFonts w:asciiTheme="minorHAnsi" w:hAnsiTheme="minorHAnsi" w:cstheme="minorBidi"/>
        </w:rPr>
        <w:t>Pirrotta</w:t>
      </w:r>
      <w:proofErr w:type="spellEnd"/>
      <w:r w:rsidR="00927642">
        <w:rPr>
          <w:rFonts w:asciiTheme="minorHAnsi" w:hAnsiTheme="minorHAnsi" w:cstheme="minorBidi"/>
        </w:rPr>
        <w:t>, 2005 #3106}</w:t>
      </w:r>
      <w:r w:rsidRPr="00F03A9B">
        <w:rPr>
          <w:rFonts w:asciiTheme="minorHAnsi" w:hAnsiTheme="minorHAnsi" w:cstheme="minorBidi"/>
        </w:rPr>
        <w:t xml:space="preserve">. </w:t>
      </w:r>
      <w:r>
        <w:rPr>
          <w:rFonts w:asciiTheme="minorHAnsi" w:hAnsiTheme="minorHAnsi" w:cstheme="minorBidi"/>
        </w:rPr>
        <w:t>Experiments on a mouse Gro homolog showed that</w:t>
      </w:r>
      <w:r w:rsidRPr="00F03A9B">
        <w:rPr>
          <w:rFonts w:asciiTheme="minorHAnsi" w:hAnsiTheme="minorHAnsi" w:cstheme="minorBidi"/>
        </w:rPr>
        <w:t xml:space="preserve"> while </w:t>
      </w:r>
      <w:proofErr w:type="spellStart"/>
      <w:r w:rsidRPr="00F03A9B">
        <w:rPr>
          <w:rFonts w:asciiTheme="minorHAnsi" w:hAnsiTheme="minorHAnsi" w:cstheme="minorBidi"/>
        </w:rPr>
        <w:t>tetramerization</w:t>
      </w:r>
      <w:proofErr w:type="spellEnd"/>
      <w:r w:rsidRPr="00F03A9B">
        <w:rPr>
          <w:rFonts w:asciiTheme="minorHAnsi" w:hAnsiTheme="minorHAnsi" w:cstheme="minorBidi"/>
        </w:rPr>
        <w:t xml:space="preserve"> was not required for recruitment to chromatin, it is necessary for the aggregation of independent </w:t>
      </w:r>
      <w:proofErr w:type="spellStart"/>
      <w:r w:rsidRPr="00F03A9B">
        <w:rPr>
          <w:rFonts w:asciiTheme="minorHAnsi" w:hAnsiTheme="minorHAnsi" w:cstheme="minorBidi"/>
        </w:rPr>
        <w:t>nucleosomal</w:t>
      </w:r>
      <w:proofErr w:type="spellEnd"/>
      <w:r w:rsidRPr="00F03A9B">
        <w:rPr>
          <w:rFonts w:asciiTheme="minorHAnsi" w:hAnsiTheme="minorHAnsi" w:cstheme="minorBidi"/>
        </w:rPr>
        <w:t xml:space="preserve"> arrays in vitro </w:t>
      </w:r>
      <w:r w:rsidR="00927642">
        <w:rPr>
          <w:rFonts w:asciiTheme="minorHAnsi" w:hAnsiTheme="minorHAnsi" w:cstheme="minorBidi"/>
        </w:rPr>
        <w:t>{</w:t>
      </w:r>
      <w:proofErr w:type="spellStart"/>
      <w:r w:rsidR="00927642">
        <w:rPr>
          <w:rFonts w:asciiTheme="minorHAnsi" w:hAnsiTheme="minorHAnsi" w:cstheme="minorBidi"/>
        </w:rPr>
        <w:t>Sekiya</w:t>
      </w:r>
      <w:proofErr w:type="spellEnd"/>
      <w:r w:rsidR="00927642">
        <w:rPr>
          <w:rFonts w:asciiTheme="minorHAnsi" w:hAnsiTheme="minorHAnsi" w:cstheme="minorBidi"/>
        </w:rPr>
        <w:t>, 2007 #1658}</w:t>
      </w:r>
      <w:r>
        <w:rPr>
          <w:rFonts w:asciiTheme="minorHAnsi" w:hAnsiTheme="minorHAnsi" w:cstheme="minorBidi"/>
        </w:rPr>
        <w:t xml:space="preserve">. Monomeric forms of </w:t>
      </w:r>
      <w:r w:rsidR="00FF2586">
        <w:rPr>
          <w:rFonts w:asciiTheme="minorHAnsi" w:hAnsiTheme="minorHAnsi" w:cstheme="minorBidi"/>
        </w:rPr>
        <w:t>the</w:t>
      </w:r>
      <w:r>
        <w:rPr>
          <w:rFonts w:asciiTheme="minorHAnsi" w:hAnsiTheme="minorHAnsi" w:cstheme="minorBidi"/>
        </w:rPr>
        <w:t xml:space="preserve"> protein successfully </w:t>
      </w:r>
      <w:r w:rsidR="00FF2586">
        <w:rPr>
          <w:rFonts w:asciiTheme="minorHAnsi" w:hAnsiTheme="minorHAnsi" w:cstheme="minorBidi"/>
        </w:rPr>
        <w:t>bind to and increase</w:t>
      </w:r>
      <w:r>
        <w:rPr>
          <w:rFonts w:asciiTheme="minorHAnsi" w:hAnsiTheme="minorHAnsi" w:cstheme="minorBidi"/>
        </w:rPr>
        <w:t xml:space="preserve"> the density of </w:t>
      </w:r>
      <w:proofErr w:type="spellStart"/>
      <w:r>
        <w:rPr>
          <w:rFonts w:asciiTheme="minorHAnsi" w:hAnsiTheme="minorHAnsi" w:cstheme="minorBidi"/>
        </w:rPr>
        <w:t>dinucleosomes</w:t>
      </w:r>
      <w:proofErr w:type="spellEnd"/>
      <w:r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  <w:i/>
        </w:rPr>
        <w:t xml:space="preserve">in vitro </w:t>
      </w:r>
      <w:r w:rsidR="00927642">
        <w:rPr>
          <w:rFonts w:asciiTheme="minorHAnsi" w:hAnsiTheme="minorHAnsi" w:cstheme="minorBidi"/>
        </w:rPr>
        <w:t>{</w:t>
      </w:r>
      <w:proofErr w:type="spellStart"/>
      <w:r w:rsidR="00927642">
        <w:rPr>
          <w:rFonts w:asciiTheme="minorHAnsi" w:hAnsiTheme="minorHAnsi" w:cstheme="minorBidi"/>
        </w:rPr>
        <w:t>Sekiya</w:t>
      </w:r>
      <w:proofErr w:type="spellEnd"/>
      <w:r w:rsidR="00927642">
        <w:rPr>
          <w:rFonts w:asciiTheme="minorHAnsi" w:hAnsiTheme="minorHAnsi" w:cstheme="minorBidi"/>
        </w:rPr>
        <w:t>, 2007 #1658}</w:t>
      </w:r>
      <w:r>
        <w:rPr>
          <w:rFonts w:asciiTheme="minorHAnsi" w:hAnsiTheme="minorHAnsi" w:cstheme="minorBidi"/>
          <w:i/>
        </w:rPr>
        <w:t xml:space="preserve">. </w:t>
      </w:r>
      <w:r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  <w:i/>
        </w:rPr>
        <w:t xml:space="preserve">In vivo, </w:t>
      </w:r>
      <w:r>
        <w:rPr>
          <w:rFonts w:asciiTheme="minorHAnsi" w:hAnsiTheme="minorHAnsi" w:cstheme="minorBidi"/>
        </w:rPr>
        <w:t xml:space="preserve">the loss of </w:t>
      </w:r>
      <w:proofErr w:type="spellStart"/>
      <w:r>
        <w:rPr>
          <w:rFonts w:asciiTheme="minorHAnsi" w:hAnsiTheme="minorHAnsi" w:cstheme="minorBidi"/>
        </w:rPr>
        <w:t>tetramerization</w:t>
      </w:r>
      <w:proofErr w:type="spellEnd"/>
      <w:r>
        <w:rPr>
          <w:rFonts w:asciiTheme="minorHAnsi" w:hAnsiTheme="minorHAnsi" w:cstheme="minorBidi"/>
        </w:rPr>
        <w:t xml:space="preserve"> is not viable but does not </w:t>
      </w:r>
      <w:r w:rsidR="00FF2586">
        <w:rPr>
          <w:rFonts w:asciiTheme="minorHAnsi" w:hAnsiTheme="minorHAnsi" w:cstheme="minorBidi"/>
        </w:rPr>
        <w:t>entirely abolish</w:t>
      </w:r>
      <w:r>
        <w:rPr>
          <w:rFonts w:asciiTheme="minorHAnsi" w:hAnsiTheme="minorHAnsi" w:cstheme="minorBidi"/>
        </w:rPr>
        <w:t xml:space="preserve"> Gro-mediated repression </w:t>
      </w:r>
      <w:r w:rsidR="00927642">
        <w:rPr>
          <w:rFonts w:asciiTheme="minorHAnsi" w:hAnsiTheme="minorHAnsi" w:cstheme="minorBidi"/>
        </w:rPr>
        <w:t>{Jennings, 2007 #2990}</w:t>
      </w:r>
      <w:r>
        <w:rPr>
          <w:rFonts w:asciiTheme="minorHAnsi" w:hAnsiTheme="minorHAnsi" w:cstheme="minorBidi"/>
        </w:rPr>
        <w:t xml:space="preserve">. More recent evidence in cell culture has shown that Gro binds in discrete peaks, though long stretches of binding do occur </w:t>
      </w:r>
      <w:r w:rsidR="00927642">
        <w:rPr>
          <w:rFonts w:asciiTheme="minorHAnsi" w:hAnsiTheme="minorHAnsi" w:cstheme="minorBidi"/>
        </w:rPr>
        <w:t>{</w:t>
      </w:r>
      <w:proofErr w:type="spellStart"/>
      <w:r w:rsidR="00927642">
        <w:rPr>
          <w:rFonts w:asciiTheme="minorHAnsi" w:hAnsiTheme="minorHAnsi" w:cstheme="minorBidi"/>
        </w:rPr>
        <w:t>Kaul</w:t>
      </w:r>
      <w:proofErr w:type="spellEnd"/>
      <w:r w:rsidR="00927642">
        <w:rPr>
          <w:rFonts w:asciiTheme="minorHAnsi" w:hAnsiTheme="minorHAnsi" w:cstheme="minorBidi"/>
        </w:rPr>
        <w:t>, 2014 #2204}</w:t>
      </w:r>
      <w:r>
        <w:rPr>
          <w:rFonts w:asciiTheme="minorHAnsi" w:hAnsiTheme="minorHAnsi" w:cstheme="minorBidi"/>
        </w:rPr>
        <w:t xml:space="preserve">. </w:t>
      </w:r>
    </w:p>
    <w:p w14:paraId="3A062746" w14:textId="1BD33E25" w:rsidR="00BC36E4" w:rsidRPr="007124DA" w:rsidRDefault="00F03A9B" w:rsidP="007124DA">
      <w:pPr>
        <w:spacing w:line="480" w:lineRule="auto"/>
        <w:ind w:firstLine="72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Gro preferentially associates with histone tails and can do so without the involvement of a</w:t>
      </w:r>
      <w:r w:rsidR="00FF2586">
        <w:rPr>
          <w:rFonts w:asciiTheme="minorHAnsi" w:hAnsiTheme="minorHAnsi" w:cstheme="minorBidi"/>
        </w:rPr>
        <w:t>dditional</w:t>
      </w:r>
      <w:r>
        <w:rPr>
          <w:rFonts w:asciiTheme="minorHAnsi" w:hAnsiTheme="minorHAnsi" w:cstheme="minorBidi"/>
        </w:rPr>
        <w:t xml:space="preserve"> DNA-binding </w:t>
      </w:r>
      <w:r w:rsidR="00FF2586">
        <w:rPr>
          <w:rFonts w:asciiTheme="minorHAnsi" w:hAnsiTheme="minorHAnsi" w:cstheme="minorBidi"/>
        </w:rPr>
        <w:t xml:space="preserve">interacting </w:t>
      </w:r>
      <w:r>
        <w:rPr>
          <w:rFonts w:asciiTheme="minorHAnsi" w:hAnsiTheme="minorHAnsi" w:cstheme="minorBidi"/>
        </w:rPr>
        <w:t>factor</w:t>
      </w:r>
      <w:r w:rsidR="00FF2586">
        <w:rPr>
          <w:rFonts w:asciiTheme="minorHAnsi" w:hAnsiTheme="minorHAnsi" w:cstheme="minorBidi"/>
        </w:rPr>
        <w:t>s</w:t>
      </w:r>
      <w:r>
        <w:rPr>
          <w:rFonts w:asciiTheme="minorHAnsi" w:hAnsiTheme="minorHAnsi" w:cstheme="minorBidi"/>
        </w:rPr>
        <w:t xml:space="preserve"> </w:t>
      </w:r>
      <w:r w:rsidR="00927642">
        <w:rPr>
          <w:rFonts w:asciiTheme="minorHAnsi" w:hAnsiTheme="minorHAnsi" w:cstheme="minorBidi"/>
        </w:rPr>
        <w:t>{Flores-</w:t>
      </w:r>
      <w:proofErr w:type="spellStart"/>
      <w:r w:rsidR="00927642">
        <w:rPr>
          <w:rFonts w:asciiTheme="minorHAnsi" w:hAnsiTheme="minorHAnsi" w:cstheme="minorBidi"/>
        </w:rPr>
        <w:t>Saaib</w:t>
      </w:r>
      <w:proofErr w:type="spellEnd"/>
      <w:r w:rsidR="00927642">
        <w:rPr>
          <w:rFonts w:asciiTheme="minorHAnsi" w:hAnsiTheme="minorHAnsi" w:cstheme="minorBidi"/>
        </w:rPr>
        <w:t>, 2000 #656}</w:t>
      </w:r>
      <w:r>
        <w:rPr>
          <w:rFonts w:asciiTheme="minorHAnsi" w:hAnsiTheme="minorHAnsi" w:cstheme="minorBidi"/>
        </w:rPr>
        <w:t xml:space="preserve">. Additionally, Gro associates with a histone </w:t>
      </w:r>
      <w:proofErr w:type="spellStart"/>
      <w:r>
        <w:rPr>
          <w:rFonts w:asciiTheme="minorHAnsi" w:hAnsiTheme="minorHAnsi" w:cstheme="minorBidi"/>
        </w:rPr>
        <w:t>deacetylase</w:t>
      </w:r>
      <w:proofErr w:type="spellEnd"/>
      <w:r>
        <w:rPr>
          <w:rFonts w:asciiTheme="minorHAnsi" w:hAnsiTheme="minorHAnsi" w:cstheme="minorBidi"/>
        </w:rPr>
        <w:t xml:space="preserve">, HDAC1/Rpd3, </w:t>
      </w:r>
      <w:r w:rsidR="00927642">
        <w:rPr>
          <w:rFonts w:asciiTheme="minorHAnsi" w:hAnsiTheme="minorHAnsi" w:cstheme="minorBidi"/>
        </w:rPr>
        <w:t>{Chen, 1999 #3105}</w:t>
      </w:r>
      <w:r>
        <w:rPr>
          <w:rFonts w:asciiTheme="minorHAnsi" w:hAnsiTheme="minorHAnsi" w:cstheme="minorBidi"/>
        </w:rPr>
        <w:t xml:space="preserve">, however this association accounts for some but not all of Groucho’s repressive ability </w:t>
      </w:r>
      <w:r>
        <w:rPr>
          <w:rFonts w:asciiTheme="minorHAnsi" w:hAnsiTheme="minorHAnsi" w:cstheme="minorBidi"/>
          <w:i/>
        </w:rPr>
        <w:t xml:space="preserve">in vivo </w:t>
      </w:r>
      <w:r w:rsidR="00927642">
        <w:rPr>
          <w:rFonts w:asciiTheme="minorHAnsi" w:hAnsiTheme="minorHAnsi" w:cstheme="minorBidi"/>
        </w:rPr>
        <w:t>{Winkler, 2010 #2964}</w:t>
      </w:r>
      <w:r w:rsidR="00AA480A">
        <w:rPr>
          <w:rFonts w:asciiTheme="minorHAnsi" w:hAnsiTheme="minorHAnsi" w:cstheme="minorBidi"/>
        </w:rPr>
        <w:t xml:space="preserve">, indicating that other mechanisms, independent of both oligomerization and HDAC association are likely involved in Groucho-mediated repression.    </w:t>
      </w:r>
      <w:r w:rsidR="00031ADF">
        <w:br w:type="page"/>
      </w:r>
      <w:r w:rsidR="00BC36E4" w:rsidRPr="00BC36E4">
        <w:rPr>
          <w:b/>
        </w:rPr>
        <w:lastRenderedPageBreak/>
        <w:t>Figu</w:t>
      </w:r>
      <w:r w:rsidR="00BC36E4">
        <w:rPr>
          <w:b/>
        </w:rPr>
        <w:t>re</w:t>
      </w:r>
      <w:r w:rsidR="00BC36E4" w:rsidRPr="00BC36E4">
        <w:rPr>
          <w:b/>
        </w:rPr>
        <w:t xml:space="preserve"> 1-1</w:t>
      </w:r>
      <w:r w:rsidR="00BC36E4">
        <w:rPr>
          <w:b/>
        </w:rPr>
        <w:t xml:space="preserve">. Groucho interacts with numerous transcriptional co-regulators. </w:t>
      </w:r>
      <w:r w:rsidR="00BC36E4">
        <w:t xml:space="preserve">Groucho interacting partners are involved in diverse and interconnected aspects of </w:t>
      </w:r>
      <w:r w:rsidR="00BC36E4">
        <w:rPr>
          <w:i/>
        </w:rPr>
        <w:t xml:space="preserve">Drosophila </w:t>
      </w:r>
      <w:r w:rsidR="00BC36E4">
        <w:t>development, including anterior-posterior and dorsal-ventral patterning and the interpretation of extra-cellular signaling. These interactions are largely mediated through interactions between short peptide motifs and the Gro WD-domain. Some factors, notably Dorsal, require the participation of additional factors to facilitate Gro recruitment.</w:t>
      </w:r>
      <w:r w:rsidR="00BC36E4" w:rsidRPr="00BC36E4">
        <w:rPr>
          <w:b/>
        </w:rPr>
        <w:br w:type="page"/>
      </w:r>
    </w:p>
    <w:p w14:paraId="5E021B70" w14:textId="20B31D01" w:rsidR="00031ADF" w:rsidRPr="00BC36E4" w:rsidRDefault="00BC36E4" w:rsidP="00BC36E4">
      <w:pPr>
        <w:rPr>
          <w:b/>
        </w:rPr>
      </w:pPr>
      <w:r>
        <w:rPr>
          <w:b/>
        </w:rPr>
        <w:lastRenderedPageBreak/>
        <w:t>Fig. 1-1</w:t>
      </w:r>
    </w:p>
    <w:p w14:paraId="32C10979" w14:textId="77777777" w:rsidR="00BC36E4" w:rsidRDefault="00BC36E4" w:rsidP="00BC36E4"/>
    <w:p w14:paraId="32953230" w14:textId="77777777" w:rsidR="00BC36E4" w:rsidRDefault="00BC36E4" w:rsidP="00BC36E4"/>
    <w:tbl>
      <w:tblPr>
        <w:tblW w:w="10103" w:type="dxa"/>
        <w:tblInd w:w="108" w:type="dxa"/>
        <w:tblLook w:val="04A0" w:firstRow="1" w:lastRow="0" w:firstColumn="1" w:lastColumn="0" w:noHBand="0" w:noVBand="1"/>
      </w:tblPr>
      <w:tblGrid>
        <w:gridCol w:w="2280"/>
        <w:gridCol w:w="5080"/>
        <w:gridCol w:w="2743"/>
      </w:tblGrid>
      <w:tr w:rsidR="008C32AC" w14:paraId="542420E4" w14:textId="77777777" w:rsidTr="008C32AC">
        <w:trPr>
          <w:trHeight w:val="320"/>
        </w:trPr>
        <w:tc>
          <w:tcPr>
            <w:tcW w:w="22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49819625" w14:textId="77777777" w:rsidR="008C32AC" w:rsidRDefault="008C32A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Interacting Protein</w:t>
            </w:r>
          </w:p>
        </w:tc>
        <w:tc>
          <w:tcPr>
            <w:tcW w:w="50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0B69D2A7" w14:textId="77777777" w:rsidR="008C32AC" w:rsidRDefault="008C32A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Biological Role</w:t>
            </w:r>
          </w:p>
        </w:tc>
        <w:tc>
          <w:tcPr>
            <w:tcW w:w="2743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75C2FB00" w14:textId="77777777" w:rsidR="008C32AC" w:rsidRDefault="008C32AC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Citation</w:t>
            </w:r>
          </w:p>
        </w:tc>
      </w:tr>
      <w:tr w:rsidR="008C32AC" w14:paraId="4F5C14AC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90EA844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Capicua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259FF97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RTK signaling; embryonic terminal gene expression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1AEF0E4" w14:textId="525AE73B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{Jimenez, 2000 #3093}</w:t>
            </w:r>
          </w:p>
        </w:tc>
      </w:tr>
      <w:tr w:rsidR="008C32AC" w14:paraId="6864E0D1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A91ED05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Huckebein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B3E86D2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Embryonic terminal gene expression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58C7145C" w14:textId="49BA5A09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{Goldstein, 1999 #3094}</w:t>
            </w:r>
          </w:p>
        </w:tc>
      </w:tr>
      <w:tr w:rsidR="008C32AC" w14:paraId="0B98C32B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1119223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Hairy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1A2004E3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59682679" w14:textId="6F5BC4B4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Paroush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>, 1994 #3090}</w:t>
            </w:r>
          </w:p>
        </w:tc>
      </w:tr>
      <w:tr w:rsidR="008C32AC" w14:paraId="47D0B60F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E840443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Runt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9A46EA9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243607A9" w14:textId="39E1BEB7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{Aronson, 1997 #3095}</w:t>
            </w:r>
          </w:p>
        </w:tc>
      </w:tr>
      <w:tr w:rsidR="008C32AC" w14:paraId="4122760E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2CE54B38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Even-skipped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3838127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16FE9EE5" w14:textId="1EA074D2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{Kobayashi, 2001 #3076}</w:t>
            </w:r>
          </w:p>
        </w:tc>
      </w:tr>
      <w:tr w:rsidR="008C32AC" w14:paraId="48B81164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217E022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Odd-skipped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48FE6B84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636F87C2" w14:textId="7FCB05B8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{Goldstein, 2005 #3096}</w:t>
            </w:r>
          </w:p>
        </w:tc>
      </w:tr>
      <w:tr w:rsidR="008C32AC" w14:paraId="304B933D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8800317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Sloppy-paired 1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2037A6C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1A7C5EBF" w14:textId="74CD5274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Andrioli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>, 2004 #3097}</w:t>
            </w:r>
          </w:p>
        </w:tc>
      </w:tr>
      <w:tr w:rsidR="008C32AC" w14:paraId="4ADB0802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5E5C5A6F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Engrailed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80634E9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4128874A" w14:textId="0E4E73A8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{Jimenez, 1997 #3075}</w:t>
            </w:r>
          </w:p>
        </w:tc>
      </w:tr>
      <w:tr w:rsidR="008C32AC" w14:paraId="430D3840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FCF24AB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Knirps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8BE9C32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37B0F78" w14:textId="5D394E92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Payankaulam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>, 2009 #2955}</w:t>
            </w:r>
          </w:p>
        </w:tc>
      </w:tr>
      <w:tr w:rsidR="008C32AC" w14:paraId="4BFE4290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D33B7EE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Goosecoid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42406A4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Segmentation/ Anterior-posterior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251FB20C" w14:textId="12C72B5E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{Jimenez, 1999 #3092}</w:t>
            </w:r>
          </w:p>
        </w:tc>
      </w:tr>
      <w:tr w:rsidR="008C32AC" w14:paraId="2EC2100D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744C5DBC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0B4E3D1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Dorsal-ventral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6949FC5" w14:textId="62D48746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Dubnicoff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>, 1997 #2366}</w:t>
            </w:r>
          </w:p>
        </w:tc>
      </w:tr>
      <w:tr w:rsidR="008C32AC" w14:paraId="51BC2033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5EE8123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Brinker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9DD0152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Dorsal-ventral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7E8865F3" w14:textId="054D08C1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{Zhang, 2001 #3099}</w:t>
            </w:r>
          </w:p>
        </w:tc>
      </w:tr>
      <w:tr w:rsidR="008C32AC" w14:paraId="6702DBD7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92C275C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Ind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6DEEBE4C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Dorsal-ventral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7B076D8E" w14:textId="26AC794F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{Von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Ohlen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>, 2007 #3101}</w:t>
            </w:r>
          </w:p>
        </w:tc>
      </w:tr>
      <w:tr w:rsidR="008C32AC" w14:paraId="1E33E377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3B8BFAA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Vnd</w:t>
            </w:r>
            <w:proofErr w:type="spellEnd"/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19DC091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Dorsal-ventral patterning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6BF12C0D" w14:textId="26F04D2A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{Cowden, 2003 #3102}</w:t>
            </w:r>
          </w:p>
        </w:tc>
      </w:tr>
      <w:tr w:rsidR="008C32AC" w14:paraId="4A73A223" w14:textId="77777777" w:rsidTr="008C32AC">
        <w:trPr>
          <w:trHeight w:val="320"/>
        </w:trPr>
        <w:tc>
          <w:tcPr>
            <w:tcW w:w="22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7A9FFB5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Su(H)</w:t>
            </w:r>
          </w:p>
        </w:tc>
        <w:tc>
          <w:tcPr>
            <w:tcW w:w="50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FC3946D" w14:textId="77777777" w:rsidR="008C32AC" w:rsidRDefault="008C32A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Notch signaling</w:t>
            </w:r>
          </w:p>
        </w:tc>
        <w:tc>
          <w:tcPr>
            <w:tcW w:w="2743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6A6A6" w:fill="A6A6A6"/>
            <w:noWrap/>
            <w:vAlign w:val="bottom"/>
            <w:hideMark/>
          </w:tcPr>
          <w:p w14:paraId="6D21F2FC" w14:textId="77A9D895" w:rsidR="008C32AC" w:rsidRDefault="00927642" w:rsidP="00927642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{Barolo, 2002 #3072}</w:t>
            </w:r>
          </w:p>
        </w:tc>
      </w:tr>
    </w:tbl>
    <w:p w14:paraId="1B9168F3" w14:textId="5E16A537" w:rsidR="00031ADF" w:rsidRDefault="00031ADF">
      <w:r>
        <w:br w:type="page"/>
      </w:r>
    </w:p>
    <w:p w14:paraId="4611AF60" w14:textId="7EBC87D7" w:rsidR="00031ADF" w:rsidRDefault="00031ADF" w:rsidP="00031ADF">
      <w:pPr>
        <w:pStyle w:val="Heading2"/>
        <w:spacing w:line="480" w:lineRule="auto"/>
      </w:pPr>
      <w:r>
        <w:lastRenderedPageBreak/>
        <w:t>References</w:t>
      </w:r>
    </w:p>
    <w:p w14:paraId="5E964396" w14:textId="49E6C823" w:rsidR="00031ADF" w:rsidRPr="00E56FE9" w:rsidRDefault="00031ADF" w:rsidP="00DC2D51">
      <w:pPr>
        <w:pStyle w:val="BodyText"/>
        <w:tabs>
          <w:tab w:val="left" w:pos="720"/>
        </w:tabs>
        <w:spacing w:line="480" w:lineRule="auto"/>
        <w:ind w:left="720" w:hanging="720"/>
      </w:pPr>
    </w:p>
    <w:sectPr w:rsidR="00031ADF" w:rsidRPr="00E56F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8DDA8" w14:textId="77777777" w:rsidR="00F04865" w:rsidRDefault="00F04865">
      <w:r>
        <w:separator/>
      </w:r>
    </w:p>
  </w:endnote>
  <w:endnote w:type="continuationSeparator" w:id="0">
    <w:p w14:paraId="0189533C" w14:textId="77777777" w:rsidR="00F04865" w:rsidRDefault="00F04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67FF6" w14:textId="77777777" w:rsidR="00F04865" w:rsidRDefault="00F04865">
      <w:r>
        <w:separator/>
      </w:r>
    </w:p>
  </w:footnote>
  <w:footnote w:type="continuationSeparator" w:id="0">
    <w:p w14:paraId="6B033944" w14:textId="77777777" w:rsidR="00F04865" w:rsidRDefault="00F04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9D03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B13ED6"/>
    <w:multiLevelType w:val="multilevel"/>
    <w:tmpl w:val="23003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ell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xpdr0vslpwzage5afxvdv2xds5vfp9zsafw&quot;&gt;endnote&lt;record-ids&gt;&lt;item&gt;242&lt;/item&gt;&lt;item&gt;267&lt;/item&gt;&lt;item&gt;656&lt;/item&gt;&lt;item&gt;1112&lt;/item&gt;&lt;item&gt;1161&lt;/item&gt;&lt;item&gt;1658&lt;/item&gt;&lt;item&gt;1659&lt;/item&gt;&lt;item&gt;2204&lt;/item&gt;&lt;item&gt;2280&lt;/item&gt;&lt;item&gt;2339&lt;/item&gt;&lt;item&gt;2366&lt;/item&gt;&lt;item&gt;2385&lt;/item&gt;&lt;item&gt;2938&lt;/item&gt;&lt;item&gt;2947&lt;/item&gt;&lt;item&gt;2955&lt;/item&gt;&lt;item&gt;2956&lt;/item&gt;&lt;item&gt;2964&lt;/item&gt;&lt;item&gt;2966&lt;/item&gt;&lt;item&gt;2990&lt;/item&gt;&lt;item&gt;3025&lt;/item&gt;&lt;item&gt;3033&lt;/item&gt;&lt;item&gt;3038&lt;/item&gt;&lt;item&gt;3042&lt;/item&gt;&lt;item&gt;3043&lt;/item&gt;&lt;item&gt;3055&lt;/item&gt;&lt;item&gt;3057&lt;/item&gt;&lt;item&gt;3058&lt;/item&gt;&lt;item&gt;3059&lt;/item&gt;&lt;item&gt;3060&lt;/item&gt;&lt;item&gt;3061&lt;/item&gt;&lt;item&gt;3062&lt;/item&gt;&lt;item&gt;3064&lt;/item&gt;&lt;item&gt;3065&lt;/item&gt;&lt;item&gt;3066&lt;/item&gt;&lt;item&gt;3067&lt;/item&gt;&lt;item&gt;3068&lt;/item&gt;&lt;item&gt;3070&lt;/item&gt;&lt;item&gt;3071&lt;/item&gt;&lt;item&gt;3072&lt;/item&gt;&lt;item&gt;3073&lt;/item&gt;&lt;item&gt;3074&lt;/item&gt;&lt;item&gt;3075&lt;/item&gt;&lt;item&gt;3076&lt;/item&gt;&lt;item&gt;3082&lt;/item&gt;&lt;item&gt;3083&lt;/item&gt;&lt;item&gt;3084&lt;/item&gt;&lt;item&gt;3085&lt;/item&gt;&lt;item&gt;3086&lt;/item&gt;&lt;item&gt;3087&lt;/item&gt;&lt;item&gt;3088&lt;/item&gt;&lt;item&gt;3089&lt;/item&gt;&lt;item&gt;3090&lt;/item&gt;&lt;item&gt;3091&lt;/item&gt;&lt;item&gt;3092&lt;/item&gt;&lt;item&gt;3093&lt;/item&gt;&lt;item&gt;3094&lt;/item&gt;&lt;item&gt;3095&lt;/item&gt;&lt;item&gt;3096&lt;/item&gt;&lt;item&gt;3097&lt;/item&gt;&lt;item&gt;3099&lt;/item&gt;&lt;item&gt;3101&lt;/item&gt;&lt;item&gt;3102&lt;/item&gt;&lt;item&gt;3103&lt;/item&gt;&lt;item&gt;3104&lt;/item&gt;&lt;item&gt;3105&lt;/item&gt;&lt;item&gt;3106&lt;/item&gt;&lt;/record-ids&gt;&lt;/item&gt;&lt;/Libraries&gt;"/>
  </w:docVars>
  <w:rsids>
    <w:rsidRoot w:val="00590D07"/>
    <w:rsid w:val="00011C8B"/>
    <w:rsid w:val="00031ADF"/>
    <w:rsid w:val="0005249C"/>
    <w:rsid w:val="00073BFD"/>
    <w:rsid w:val="000B51C6"/>
    <w:rsid w:val="00107F7E"/>
    <w:rsid w:val="0013127D"/>
    <w:rsid w:val="0013409F"/>
    <w:rsid w:val="001503E6"/>
    <w:rsid w:val="001B08C3"/>
    <w:rsid w:val="001C16FE"/>
    <w:rsid w:val="001C7E56"/>
    <w:rsid w:val="00295785"/>
    <w:rsid w:val="002B7A68"/>
    <w:rsid w:val="002C69C0"/>
    <w:rsid w:val="002E60C6"/>
    <w:rsid w:val="0039595E"/>
    <w:rsid w:val="003B2425"/>
    <w:rsid w:val="004576F0"/>
    <w:rsid w:val="00460F76"/>
    <w:rsid w:val="00467A84"/>
    <w:rsid w:val="004C029F"/>
    <w:rsid w:val="004E29B3"/>
    <w:rsid w:val="005223EF"/>
    <w:rsid w:val="00523208"/>
    <w:rsid w:val="005257ED"/>
    <w:rsid w:val="0052651F"/>
    <w:rsid w:val="00531081"/>
    <w:rsid w:val="005400EB"/>
    <w:rsid w:val="00590D07"/>
    <w:rsid w:val="005A7E92"/>
    <w:rsid w:val="005C1B48"/>
    <w:rsid w:val="005D46F7"/>
    <w:rsid w:val="0062641B"/>
    <w:rsid w:val="006751C4"/>
    <w:rsid w:val="00676643"/>
    <w:rsid w:val="006B3FBC"/>
    <w:rsid w:val="006E21E3"/>
    <w:rsid w:val="007124DA"/>
    <w:rsid w:val="00784D58"/>
    <w:rsid w:val="007D2CD4"/>
    <w:rsid w:val="007F61AF"/>
    <w:rsid w:val="008161F3"/>
    <w:rsid w:val="00831845"/>
    <w:rsid w:val="00845955"/>
    <w:rsid w:val="008C0100"/>
    <w:rsid w:val="008C1F28"/>
    <w:rsid w:val="008C2BAA"/>
    <w:rsid w:val="008C32AC"/>
    <w:rsid w:val="008D6863"/>
    <w:rsid w:val="008F0F56"/>
    <w:rsid w:val="00927642"/>
    <w:rsid w:val="00967750"/>
    <w:rsid w:val="009807D9"/>
    <w:rsid w:val="00983A3A"/>
    <w:rsid w:val="009B48F6"/>
    <w:rsid w:val="00A053EA"/>
    <w:rsid w:val="00A12D7A"/>
    <w:rsid w:val="00A34824"/>
    <w:rsid w:val="00A74ED7"/>
    <w:rsid w:val="00AA480A"/>
    <w:rsid w:val="00AD5BF0"/>
    <w:rsid w:val="00AE33C9"/>
    <w:rsid w:val="00B83494"/>
    <w:rsid w:val="00B86B75"/>
    <w:rsid w:val="00B93D3F"/>
    <w:rsid w:val="00B949E3"/>
    <w:rsid w:val="00BB497F"/>
    <w:rsid w:val="00BC290F"/>
    <w:rsid w:val="00BC36E4"/>
    <w:rsid w:val="00BC48D5"/>
    <w:rsid w:val="00BD31C1"/>
    <w:rsid w:val="00C36279"/>
    <w:rsid w:val="00C3739E"/>
    <w:rsid w:val="00C75FC9"/>
    <w:rsid w:val="00C869A9"/>
    <w:rsid w:val="00CB0454"/>
    <w:rsid w:val="00D64EFB"/>
    <w:rsid w:val="00D65E13"/>
    <w:rsid w:val="00DC2D51"/>
    <w:rsid w:val="00E2180F"/>
    <w:rsid w:val="00E25520"/>
    <w:rsid w:val="00E315A3"/>
    <w:rsid w:val="00E41092"/>
    <w:rsid w:val="00E56FE9"/>
    <w:rsid w:val="00F03A9B"/>
    <w:rsid w:val="00F04865"/>
    <w:rsid w:val="00F40879"/>
    <w:rsid w:val="00F64CE4"/>
    <w:rsid w:val="00FF2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E80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2AC"/>
    <w:pPr>
      <w:spacing w:after="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  <w:rPr>
      <w:rFonts w:ascii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hAnsiTheme="minorHAnsi" w:cstheme="minorBidi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hAnsiTheme="minorHAnsi" w:cstheme="minorBidi"/>
      <w:b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hAnsiTheme="minorHAnsi" w:cstheme="minorBidi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hAnsiTheme="minorHAnsi" w:cstheme="minorBidi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hAnsiTheme="minorHAnsi" w:cstheme="minorBidi"/>
    </w:r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  <w:spacing w:after="200"/>
    </w:pPr>
    <w:rPr>
      <w:rFonts w:asciiTheme="minorHAnsi" w:hAnsi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C1F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EndNoteBibliographyTitle">
    <w:name w:val="EndNote Bibliography Title"/>
    <w:basedOn w:val="Normal"/>
    <w:rsid w:val="001503E6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1503E6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2307</Words>
  <Characters>13152</Characters>
  <Application>Microsoft Macintosh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15429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Chambers</dc:creator>
  <cp:lastModifiedBy>Michael Chambers</cp:lastModifiedBy>
  <cp:revision>5</cp:revision>
  <dcterms:created xsi:type="dcterms:W3CDTF">2015-08-26T18:05:00Z</dcterms:created>
  <dcterms:modified xsi:type="dcterms:W3CDTF">2015-11-08T02:52:00Z</dcterms:modified>
</cp:coreProperties>
</file>