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corepressors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domains , and therefore Groucho mediated expression is dependent on the presence and concentration of these factors. Groucho itself is ubiquitously expressed although its activity is regulated post-translationally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r>
        <w:t>multiomics</w:t>
      </w:r>
      <w:commentRangeEnd w:id="1"/>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 xml:space="preserve">RNAs (nascent-seq) to confirm transcriptional rates at each timepoint and to determine if Groucho-regulated genes possess unique nascent-seq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coactivators and corepressors, Drosophila Gro appears to be a dedicated repressor. While Groucho has long been considered to be a long-range corepressor, often binding thousands of base pairs away from its target genes, we find that this is not an obligate condition for repression, as actively repressing Groucho is often bound directly adjacent to transcription start sites. Furthermore, while Groucho is known to oligomerize </w:t>
      </w:r>
      <w:r>
        <w:rPr>
          <w:i/>
        </w:rPr>
        <w:t>in vivo</w:t>
      </w:r>
      <w:r>
        <w:t>,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t>Introduction</w:t>
      </w:r>
    </w:p>
    <w:p w14:paraId="44AC0503" w14:textId="77777777" w:rsidR="00D24DC3" w:rsidRDefault="00D17E0A" w:rsidP="00D17E0A">
      <w:pPr>
        <w:spacing w:line="480" w:lineRule="auto"/>
        <w:ind w:firstLine="720"/>
        <w:rPr>
          <w:ins w:id="2" w:author="Michael Chambers" w:date="2015-08-27T15:18:00Z"/>
        </w:rPr>
      </w:pPr>
      <w:r>
        <w:t xml:space="preserve">The corepressor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pupal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89A017"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within and without genes, and how this localization correlates with binding patterns of additional transcription factors, including those known to interact with Gro</w:t>
        </w:r>
      </w:ins>
      <w:ins w:id="17" w:author="Michael Chambers" w:date="2015-08-26T15:34:00Z">
        <w:r>
          <w:t xml:space="preserve">. </w:t>
        </w:r>
      </w:ins>
      <w:ins w:id="18"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19" w:author="Michael Chambers" w:date="2015-08-27T15:20:00Z">
        <w:r w:rsidR="00D95401">
          <w:t>analysis</w:t>
        </w:r>
      </w:ins>
      <w:ins w:id="20" w:author="Michael Chambers" w:date="2015-08-26T15:35:00Z">
        <w:r>
          <w:t xml:space="preserve">, to identify these targets and </w:t>
        </w:r>
      </w:ins>
      <w:ins w:id="21" w:author="Michael Chambers" w:date="2015-08-27T15:20:00Z">
        <w:r w:rsidR="00D95401">
          <w:t xml:space="preserve">Gro </w:t>
        </w:r>
      </w:ins>
      <w:ins w:id="22" w:author="Michael Chambers" w:date="2015-08-26T15:35:00Z">
        <w:r w:rsidR="00D95401">
          <w:t>participatory roles with</w:t>
        </w:r>
        <w:r>
          <w:t xml:space="preserve"> high confidence. </w:t>
        </w:r>
      </w:ins>
    </w:p>
    <w:p w14:paraId="71767949" w14:textId="77777777" w:rsidR="00D17E0A" w:rsidRDefault="00D17E0A" w:rsidP="00D17E0A">
      <w:pPr>
        <w:spacing w:line="480" w:lineRule="auto"/>
        <w:ind w:firstLine="720"/>
      </w:pPr>
      <w:r>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Ras/MAPK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244AD2A1" w:rsidR="00D17E0A" w:rsidRDefault="00D17E0A" w:rsidP="00D17E0A">
      <w:pPr>
        <w:spacing w:line="480" w:lineRule="auto"/>
        <w:ind w:firstLine="720"/>
      </w:pPr>
      <w:r>
        <w:t xml:space="preserve">Gro tetramerizes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23"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ChIP-PCR experiments suggests Gro spreads over potentially long stretches of chromatin presumably through its ability to self-associate </w:t>
      </w:r>
      <w:commentRangeStart w:id="24"/>
      <w:r w:rsidR="003069E4">
        <w:t>{Winkler, 2010 #2964}</w:t>
      </w:r>
      <w:commentRangeEnd w:id="24"/>
      <w:r>
        <w:rPr>
          <w:rStyle w:val="CommentReference"/>
        </w:rPr>
        <w:commentReference w:id="24"/>
      </w:r>
      <w:ins w:id="25" w:author="Michael Chambers" w:date="2015-08-27T15:21:00Z">
        <w:r w:rsidR="00D95401">
          <w:t xml:space="preserve"> </w:t>
        </w:r>
        <w:r w:rsidR="00D95401">
          <w:t>{Martinez, 2008 #2287}</w:t>
        </w:r>
      </w:ins>
      <w:r>
        <w:t xml:space="preserve">, though these studies are limited by the resolution of the ChIP-PCR analysis. More recent Gro ChIP-seq data obtained from two Drosophila cell lines (S2 and Kc167) </w:t>
      </w:r>
      <w:r w:rsidR="003069E4">
        <w:t>{Kaul,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me to thoroughly investigate the requirement for spreading in Gro-mediated repression.</w:t>
      </w:r>
      <w:ins w:id="26" w:author="Albert Courey" w:date="2015-08-24T12:37:00Z">
        <w:r w:rsidR="00A45A2F">
          <w:t xml:space="preserve"> We find </w:t>
        </w:r>
        <w:commentRangeStart w:id="27"/>
        <w:r w:rsidR="00A45A2F">
          <w:t>tha</w:t>
        </w:r>
      </w:ins>
      <w:ins w:id="28" w:author="Michael Chambers" w:date="2015-08-27T15:37:00Z">
        <w:r w:rsidR="00172568">
          <w:t>t, while spreading</w:t>
        </w:r>
      </w:ins>
      <w:ins w:id="29" w:author="Michael Chambers" w:date="2015-08-28T18:55:00Z">
        <w:r w:rsidR="00DD49C1">
          <w:t xml:space="preserve">, while Groucho is capable of spreading over long regions of chromatin, this spreading appears to be a rare feature of repression, with the majority of Groucho binding </w:t>
        </w:r>
      </w:ins>
      <w:ins w:id="30" w:author="Michael Chambers" w:date="2015-08-28T18:56:00Z">
        <w:r w:rsidR="00DD49C1">
          <w:t>occurring</w:t>
        </w:r>
      </w:ins>
      <w:ins w:id="31" w:author="Michael Chambers" w:date="2015-08-28T18:55:00Z">
        <w:r w:rsidR="00DD49C1">
          <w:t xml:space="preserve"> </w:t>
        </w:r>
      </w:ins>
      <w:ins w:id="32" w:author="Michael Chambers" w:date="2015-08-28T18:56:00Z">
        <w:r w:rsidR="00DD49C1">
          <w:t>in discreet peaks characteristic of recruitment to association with site-specific transcription factors. However, these discrete peaks often cluster over longer stretches of chromatin, indicative of the formation of loop-like structures.</w:t>
        </w:r>
      </w:ins>
      <w:ins w:id="33" w:author="Michael Chambers" w:date="2015-08-27T15:37:00Z">
        <w:r w:rsidR="00172568">
          <w:t xml:space="preserve"> </w:t>
        </w:r>
      </w:ins>
      <w:ins w:id="34" w:author="Albert Courey" w:date="2015-08-24T12:37:00Z">
        <w:del w:id="35" w:author="Michael Chambers" w:date="2015-08-27T15:37:00Z">
          <w:r w:rsidR="00A45A2F" w:rsidDel="00172568">
            <w:delText>t</w:delText>
          </w:r>
        </w:del>
      </w:ins>
      <w:commentRangeEnd w:id="27"/>
      <w:ins w:id="36" w:author="Albert Courey" w:date="2015-08-24T12:38:00Z">
        <w:del w:id="37" w:author="Michael Chambers" w:date="2015-08-27T15:37:00Z">
          <w:r w:rsidR="00A45A2F" w:rsidDel="00172568">
            <w:rPr>
              <w:rStyle w:val="CommentReference"/>
            </w:rPr>
            <w:commentReference w:id="27"/>
          </w:r>
        </w:del>
      </w:ins>
      <w:ins w:id="38" w:author="Albert Courey" w:date="2015-08-24T12:37:00Z">
        <w:del w:id="39" w:author="Michael Chambers" w:date="2015-08-27T15:37:00Z">
          <w:r w:rsidR="00A45A2F" w:rsidDel="00172568">
            <w:delText>…..</w:delText>
          </w:r>
        </w:del>
      </w:ins>
    </w:p>
    <w:p w14:paraId="064A83A5" w14:textId="7FC24980" w:rsidR="00D17E0A" w:rsidRDefault="00D17E0A" w:rsidP="00D17E0A">
      <w:pPr>
        <w:spacing w:line="480" w:lineRule="auto"/>
        <w:ind w:firstLine="720"/>
      </w:pPr>
      <w:r>
        <w:t xml:space="preserve">The accurate assignment of a binding region detected by ChIP-seq to a specific regulatory target (or targets) is a long standing problem in the useful interpretation of ChIP-seq studies </w:t>
      </w:r>
      <w:r w:rsidR="003069E4">
        <w:t>{Sikora-Wohlfeld,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{Dolinski, 2015 #3045}</w:t>
      </w:r>
      <w:r>
        <w:t>. To this end, we have employed RNA-seq to examine the effect of Gro-knockdown and Gro-overexpression on the transcriptome measurements at timepoints matching those used in the ChIP-seq analysis. When combined with the ChIP-seq binding profile data, this has allowed me produce a high-confidence set of Gro target genes at each</w:t>
      </w:r>
      <w:del w:id="40" w:author="Michael Chambers" w:date="2015-08-28T18:58:00Z">
        <w:r w:rsidDel="00DD49C1">
          <w:delText xml:space="preserve"> </w:delText>
        </w:r>
      </w:del>
      <w:r>
        <w:t xml:space="preserve"> timepoint, thus enabling me to thoroughly characterize the role of Gro during early development through a broad investigation of its influence on the developmentally-regulated gene network.</w:t>
      </w:r>
      <w:ins w:id="41" w:author="Albert Courey" w:date="2015-08-24T12:39:00Z">
        <w:r w:rsidR="009A457A">
          <w:t xml:space="preserve"> The analysis to be presented here shows </w:t>
        </w:r>
        <w:commentRangeStart w:id="42"/>
        <w:r w:rsidR="009A457A">
          <w:t>that</w:t>
        </w:r>
        <w:commentRangeEnd w:id="42"/>
        <w:r w:rsidR="009A457A">
          <w:rPr>
            <w:rStyle w:val="CommentReference"/>
          </w:rPr>
          <w:commentReference w:id="42"/>
        </w:r>
      </w:ins>
      <w:ins w:id="43" w:author="Michael Chambers" w:date="2015-08-28T18:58:00Z">
        <w:r w:rsidR="00DD49C1">
          <w:t xml:space="preserve"> Groucho targets are enriched for transcription factors, confirming its role as a pioneering factor in the establishment of cell</w:t>
        </w:r>
      </w:ins>
      <w:ins w:id="44" w:author="Michael Chambers" w:date="2015-08-28T19:00:00Z">
        <w:r w:rsidR="00DD49C1">
          <w:t>ular</w:t>
        </w:r>
      </w:ins>
      <w:ins w:id="45" w:author="Michael Chambers" w:date="2015-08-28T18:58:00Z">
        <w:r w:rsidR="00DD49C1">
          <w:t xml:space="preserve"> fate.</w:t>
        </w:r>
      </w:ins>
      <w:ins w:id="46" w:author="Albert Courey" w:date="2015-08-24T12:39:00Z">
        <w:del w:id="47"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48" w:author="Michael Chambers" w:date="2015-08-26T15:49:00Z"/>
          <w:i/>
        </w:rPr>
      </w:pPr>
      <w:ins w:id="49" w:author="Michael Chambers" w:date="2015-08-26T15:49:00Z">
        <w:r>
          <w:rPr>
            <w:i/>
          </w:rPr>
          <w:t>Groucho chromatin immunoprecipation (ChIP) and sequencing</w:t>
        </w:r>
      </w:ins>
    </w:p>
    <w:p w14:paraId="70527C49" w14:textId="77777777" w:rsidR="003C0EDF" w:rsidRDefault="003C0EDF" w:rsidP="003C0EDF">
      <w:pPr>
        <w:pStyle w:val="ListParagraph"/>
        <w:numPr>
          <w:ilvl w:val="0"/>
          <w:numId w:val="3"/>
        </w:numPr>
        <w:spacing w:line="480" w:lineRule="auto"/>
        <w:ind w:left="360"/>
        <w:rPr>
          <w:ins w:id="50" w:author="Michael Chambers" w:date="2015-08-26T15:49:00Z"/>
          <w:i/>
        </w:rPr>
      </w:pPr>
      <w:ins w:id="51"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52" w:author="Michael Chambers" w:date="2015-08-26T15:49:00Z"/>
        </w:rPr>
      </w:pPr>
      <w:ins w:id="53" w:author="Michael Chambers" w:date="2015-08-26T15:49:00Z">
        <w:r>
          <w: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(iGenomes BDGP 5.25 assembly) with Bowtie2 (v2.2.5) using the following parameters: </w:t>
        </w:r>
        <w:r>
          <w:rPr>
            <w:i/>
          </w:rPr>
          <w:t xml:space="preserve">-very-sensitive-local </w:t>
        </w:r>
        <w:r>
          <w:t>{Langmead, 2012 #3049}.  Peak calling was performed using MACS2 (v2.1.0) with default parameters {Zhang, 2008 #2203}. Peak visualizations generated with Integrated Genome Browser (v8.4.2) {Nicol, 2009 #3050}.</w:t>
        </w:r>
      </w:ins>
    </w:p>
    <w:p w14:paraId="176BBDC1" w14:textId="77777777" w:rsidR="003C0EDF" w:rsidRDefault="003C0EDF" w:rsidP="003C0EDF">
      <w:pPr>
        <w:pStyle w:val="ListParagraph"/>
        <w:numPr>
          <w:ilvl w:val="0"/>
          <w:numId w:val="3"/>
        </w:numPr>
        <w:spacing w:line="480" w:lineRule="auto"/>
        <w:ind w:left="360"/>
        <w:rPr>
          <w:ins w:id="54" w:author="Michael Chambers" w:date="2015-08-26T15:49:00Z"/>
          <w:i/>
        </w:rPr>
      </w:pPr>
      <w:ins w:id="55" w:author="Michael Chambers" w:date="2015-08-26T15:49:00Z">
        <w:r>
          <w:rPr>
            <w:i/>
          </w:rPr>
          <w:t>Embryonic RNA isolation and sequencing (RNA-seq)</w:t>
        </w:r>
      </w:ins>
    </w:p>
    <w:p w14:paraId="1B5B57CD" w14:textId="77777777" w:rsidR="003C0EDF" w:rsidRPr="008C0EBB" w:rsidRDefault="003C0EDF" w:rsidP="003C0EDF">
      <w:pPr>
        <w:pStyle w:val="ListParagraph"/>
        <w:spacing w:line="480" w:lineRule="auto"/>
        <w:ind w:left="360" w:firstLine="360"/>
        <w:rPr>
          <w:ins w:id="56" w:author="Michael Chambers" w:date="2015-08-26T15:49:00Z"/>
        </w:rPr>
      </w:pPr>
      <w:ins w:id="57" w:author="Michael Chambers" w:date="2015-08-26T15:49:00Z">
        <w:r>
          <w:t>Staged embryos were manually homogenized in TRIzol reagent (Life Technologies) according to manufacturer protocols. Purified RNA quality was assessed via Bioanalyzer 2100 (Agilent Technologies). polyA-selected libraries were generated with TruSeq Stranded mRNA Library Prep Kit (Illumina) and sequenced on the Illumina HiSeq 2000 platform.</w:t>
        </w:r>
      </w:ins>
    </w:p>
    <w:p w14:paraId="1A442047" w14:textId="77777777" w:rsidR="003C0EDF" w:rsidRDefault="003C0EDF" w:rsidP="003C0EDF">
      <w:pPr>
        <w:pStyle w:val="ListParagraph"/>
        <w:numPr>
          <w:ilvl w:val="0"/>
          <w:numId w:val="3"/>
        </w:numPr>
        <w:spacing w:line="480" w:lineRule="auto"/>
        <w:ind w:left="360"/>
        <w:rPr>
          <w:ins w:id="58" w:author="Michael Chambers" w:date="2015-08-26T15:49:00Z"/>
          <w:i/>
        </w:rPr>
      </w:pPr>
      <w:ins w:id="59" w:author="Michael Chambers" w:date="2015-08-26T15:49:00Z">
        <w:r>
          <w:rPr>
            <w:i/>
          </w:rPr>
          <w:t>RNA-seq data analysis</w:t>
        </w:r>
      </w:ins>
    </w:p>
    <w:p w14:paraId="4296FE3D" w14:textId="77777777" w:rsidR="003C0EDF" w:rsidRPr="006E55EC" w:rsidRDefault="003C0EDF" w:rsidP="003C0EDF">
      <w:pPr>
        <w:spacing w:line="480" w:lineRule="auto"/>
        <w:ind w:left="720"/>
        <w:rPr>
          <w:ins w:id="60" w:author="Michael Chambers" w:date="2015-08-26T15:49:00Z"/>
        </w:rPr>
      </w:pPr>
      <w:ins w:id="61" w:author="Michael Chambers" w:date="2015-08-26T15:49:00Z">
        <w:r>
          <w:t xml:space="preserve">Reads were demultiplexed via custom scripts. Low quality reads were trimmed and remaining reads were aligned with TopHat2 (v2.0.9) {Kim, 2013 #1817} against the </w:t>
        </w:r>
        <w:r>
          <w:rPr>
            <w:i/>
          </w:rPr>
          <w:t xml:space="preserve">Drosophila melanogaster </w:t>
        </w:r>
        <w:r>
          <w:t>genome (iGenomes BDGP 5.25 assembly) with iGenomes gene models as a guide. Gene assignment was performed with HTSeq {IAnders, 2015 #3027}. Differential expression analysis was performed with DESeq2 (v1.8.0) {Love, 2014 #3031}.</w:t>
        </w:r>
      </w:ins>
    </w:p>
    <w:p w14:paraId="30B2B3E4" w14:textId="77777777" w:rsidR="00A1068B" w:rsidRDefault="00A1068B" w:rsidP="00DF7C23">
      <w:pPr>
        <w:pStyle w:val="Heading2"/>
        <w:spacing w:line="480" w:lineRule="auto"/>
        <w:rPr>
          <w:ins w:id="62"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63" w:author="Michael Chambers" w:date="2015-08-26T15:49:00Z"/>
          <w:i/>
        </w:rPr>
      </w:pPr>
      <w:del w:id="64"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65" w:author="Michael Chambers" w:date="2015-08-26T15:49:00Z"/>
          <w:i/>
        </w:rPr>
      </w:pPr>
      <w:del w:id="66"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67" w:author="Michael Chambers" w:date="2015-08-26T15:49:00Z"/>
        </w:rPr>
      </w:pPr>
      <w:del w:id="68"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69" w:author="Michael Chambers" w:date="2015-08-28T19:00:00Z">
        <w:r w:rsidR="003069E4" w:rsidDel="00A1068B">
          <w:delText>{Langmead, 2012 #3049}</w:delText>
        </w:r>
      </w:del>
      <w:del w:id="70" w:author="Michael Chambers" w:date="2015-08-26T15:49:00Z">
        <w:r w:rsidDel="003C0EDF">
          <w:delText xml:space="preserve">.  Peak calling was performed using MACS2  (v2.1.0) </w:delText>
        </w:r>
      </w:del>
      <w:del w:id="71"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72" w:author="Michael Chambers" w:date="2015-08-26T15:49:00Z"/>
          <w:i/>
        </w:rPr>
      </w:pPr>
      <w:del w:id="73"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74" w:author="Michael Chambers" w:date="2015-08-26T15:49:00Z"/>
          <w:i/>
        </w:rPr>
      </w:pPr>
      <w:del w:id="75"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76" w:author="Michael Chambers" w:date="2015-08-28T19:00:00Z"/>
        </w:rPr>
      </w:pPr>
      <w:r>
        <w:t>Results</w:t>
      </w:r>
      <w:bookmarkStart w:id="77" w:name="_GoBack"/>
      <w:bookmarkEnd w:id="77"/>
    </w:p>
    <w:p w14:paraId="1BC223F3" w14:textId="77777777" w:rsidR="00DF7C23" w:rsidRDefault="00DF7C23" w:rsidP="00A1068B">
      <w:pPr>
        <w:pStyle w:val="Heading2"/>
        <w:spacing w:line="480" w:lineRule="auto"/>
        <w:pPrChange w:id="78" w:author="Michael Chambers" w:date="2015-08-28T19:00:00Z">
          <w:pPr>
            <w:spacing w:line="480" w:lineRule="auto"/>
          </w:pPr>
        </w:pPrChange>
      </w:pPr>
    </w:p>
    <w:p w14:paraId="1F932FF8" w14:textId="77777777" w:rsidR="00A1068B" w:rsidRDefault="00A1068B" w:rsidP="00DF7C23">
      <w:pPr>
        <w:spacing w:line="480" w:lineRule="auto"/>
        <w:rPr>
          <w:ins w:id="79"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80" w:author="Albert Courey" w:date="2015-08-24T12:29:00Z">
        <w:r w:rsidDel="00A45A2F">
          <w:delText xml:space="preserve">timepoints </w:delText>
        </w:r>
      </w:del>
      <w:ins w:id="81" w:author="Albert Courey" w:date="2015-08-24T12:29:00Z">
        <w:r w:rsidR="00A45A2F">
          <w:t xml:space="preserve">time windows </w:t>
        </w:r>
      </w:ins>
      <w:r>
        <w:t xml:space="preserve">used for the analysis were chosen to overlap significant events in embryonic development that have known Groucho interactions. The first </w:t>
      </w:r>
      <w:del w:id="82" w:author="Albert Courey" w:date="2015-08-24T12:29:00Z">
        <w:r w:rsidDel="00A45A2F">
          <w:delText xml:space="preserve">timepoint </w:delText>
        </w:r>
      </w:del>
      <w:ins w:id="83" w:author="Albert Courey" w:date="2015-08-24T12:29:00Z">
        <w:r w:rsidR="00A45A2F">
          <w:t xml:space="preserve">window </w:t>
        </w:r>
      </w:ins>
      <w:r>
        <w:t>(</w:t>
      </w:r>
      <w:ins w:id="84" w:author="Albert Courey" w:date="2015-08-24T12:29:00Z">
        <w:r w:rsidR="00A45A2F">
          <w:t xml:space="preserve">timepoint 1: </w:t>
        </w:r>
      </w:ins>
      <w:r>
        <w:t>1.5 – 4 hours post</w:t>
      </w:r>
      <w:ins w:id="85" w:author="Albert Courey" w:date="2015-08-24T12:30:00Z">
        <w:r w:rsidR="00A45A2F">
          <w:t>-</w:t>
        </w:r>
      </w:ins>
      <w:del w:id="86"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87" w:author="Albert Courey" w:date="2015-08-24T12:30:00Z">
        <w:r w:rsidDel="00A45A2F">
          <w:delText xml:space="preserve">timepoint </w:delText>
        </w:r>
      </w:del>
      <w:ins w:id="88" w:author="Albert Courey" w:date="2015-08-24T12:30:00Z">
        <w:r w:rsidR="00A45A2F">
          <w:t xml:space="preserve">window </w:t>
        </w:r>
      </w:ins>
      <w:r>
        <w:t>(</w:t>
      </w:r>
      <w:ins w:id="89" w:author="Albert Courey" w:date="2015-08-24T12:30:00Z">
        <w:r w:rsidR="00A45A2F">
          <w:t xml:space="preserve">timepoint 2: </w:t>
        </w:r>
      </w:ins>
      <w:r>
        <w:t>4 – 6.5 hours</w:t>
      </w:r>
      <w:ins w:id="90"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91" w:author="Albert Courey" w:date="2015-08-24T12:33:00Z">
        <w:r w:rsidR="00A45A2F">
          <w:t xml:space="preserve"> The third window</w:t>
        </w:r>
      </w:ins>
      <w:r>
        <w:t xml:space="preserve"> </w:t>
      </w:r>
      <w:ins w:id="92" w:author="Albert Courey" w:date="2015-08-24T12:33:00Z">
        <w:r w:rsidR="00A45A2F">
          <w:t>(t</w:t>
        </w:r>
      </w:ins>
      <w:del w:id="93" w:author="Albert Courey" w:date="2015-08-24T12:33:00Z">
        <w:r w:rsidDel="00A45A2F">
          <w:delText>T</w:delText>
        </w:r>
      </w:del>
      <w:r>
        <w:t>imepoint 3</w:t>
      </w:r>
      <w:ins w:id="94" w:author="Albert Courey" w:date="2015-08-24T12:33:00Z">
        <w:r w:rsidR="00A45A2F">
          <w:t xml:space="preserve">: </w:t>
        </w:r>
      </w:ins>
      <w:del w:id="95" w:author="Albert Courey" w:date="2015-08-24T12:33:00Z">
        <w:r w:rsidDel="00A45A2F">
          <w:delText xml:space="preserve"> (</w:delText>
        </w:r>
      </w:del>
      <w:r>
        <w:t>6.5 – 9 hours</w:t>
      </w:r>
      <w:ins w:id="96" w:author="Albert Courey" w:date="2015-08-24T12:33:00Z">
        <w:r w:rsidR="00A45A2F">
          <w:t xml:space="preserve"> post-</w:t>
        </w:r>
      </w:ins>
      <w:ins w:id="97"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98" w:author="Albert Courey" w:date="2015-08-24T12:48:00Z"/>
        </w:rPr>
      </w:pPr>
      <w:r>
        <w:t xml:space="preserve">ChIP-seq was performed in duplicate on fly embryos representing each time point.  We used an affinity purified </w:t>
      </w:r>
      <w:ins w:id="99" w:author="Albert Courey" w:date="2015-08-24T12:34:00Z">
        <w:r w:rsidR="00A45A2F">
          <w:t xml:space="preserve">polyclonal </w:t>
        </w:r>
      </w:ins>
      <w:r>
        <w:t>antibody raised against the Gro GP domain, which we validated extensively in immunopreci</w:t>
      </w:r>
      <w:r w:rsidR="00405377">
        <w:t>pitation and immunoblot assays. Sequencing libraries were sequenced to a depth that provided at minimum 5</w:t>
      </w:r>
      <w:ins w:id="100" w:author="Albert Courey" w:date="2015-08-24T12:34:00Z">
        <w:r w:rsidR="00A45A2F">
          <w:t xml:space="preserve"> million</w:t>
        </w:r>
      </w:ins>
      <w:del w:id="101" w:author="Albert Courey" w:date="2015-08-24T12:34:00Z">
        <w:r w:rsidR="00405377" w:rsidDel="00A45A2F">
          <w:delText>M</w:delText>
        </w:r>
      </w:del>
      <w:r w:rsidR="00405377">
        <w:t xml:space="preserve"> uniquely mappable reads, far in excess of the minimum recommended by modENCODE C</w:t>
      </w:r>
      <w:r w:rsidR="003A1A0C">
        <w:t>hIP-seq best-practices (Fig. 2-1</w:t>
      </w:r>
      <w:r w:rsidR="00405377">
        <w:t xml:space="preserve">A) </w:t>
      </w:r>
      <w:r w:rsidR="003069E4">
        <w:t>{Landt, 2012 #308}</w:t>
      </w:r>
      <w:r w:rsidR="00405377">
        <w:t>. Replicates exhibited high reproducibility in terms of both read density an</w:t>
      </w:r>
      <w:r w:rsidR="004207B2">
        <w:t>d resulting peak model (Fig. 2-1</w:t>
      </w:r>
      <w:r w:rsidR="00405377">
        <w:t xml:space="preserve">B, left and right, respectively). </w:t>
      </w:r>
    </w:p>
    <w:p w14:paraId="35392F92" w14:textId="52DBE393" w:rsidR="008160BB" w:rsidRDefault="008160BB" w:rsidP="008160BB">
      <w:pPr>
        <w:spacing w:line="480" w:lineRule="auto"/>
        <w:ind w:firstLine="720"/>
      </w:pPr>
      <w:r>
        <w:t xml:space="preserve">The high degree of correlation between our </w:t>
      </w:r>
      <w:r w:rsidR="00C91541">
        <w:t>ChIP-seq data set</w:t>
      </w:r>
      <w:ins w:id="102" w:author="Albert Courey" w:date="2015-08-24T12:48:00Z">
        <w:r w:rsidR="009A457A">
          <w:t>s</w:t>
        </w:r>
      </w:ins>
      <w:r w:rsidR="00C91541">
        <w:t xml:space="preserve"> and </w:t>
      </w:r>
      <w:del w:id="103" w:author="Albert Courey" w:date="2015-08-24T12:48:00Z">
        <w:r w:rsidR="00C91541" w:rsidDel="009A457A">
          <w:delText xml:space="preserve">a </w:delText>
        </w:r>
      </w:del>
      <w:r w:rsidR="00C91541">
        <w:t>ChIP-chip</w:t>
      </w:r>
      <w:r>
        <w:t xml:space="preserve"> data set</w:t>
      </w:r>
      <w:ins w:id="104" w:author="Albert Courey" w:date="2015-08-24T12:48:00Z">
        <w:r w:rsidR="009A457A">
          <w:t>s</w:t>
        </w:r>
      </w:ins>
      <w:r>
        <w:t xml:space="preserve"> obtained from 0-12 hour embryos</w:t>
      </w:r>
      <w:ins w:id="105" w:author="Albert Courey" w:date="2015-08-24T12:35:00Z">
        <w:r w:rsidR="00A45A2F">
          <w:t xml:space="preserve"> </w:t>
        </w:r>
      </w:ins>
      <w:r w:rsidR="003069E4">
        <w:t>{Negre, 2011 #3035}</w:t>
      </w:r>
      <w:r w:rsidR="00BE7AAB">
        <w:t xml:space="preserve"> </w:t>
      </w:r>
      <w:r>
        <w:t>using completely independent antibodies also validates our ChIP-seq data</w:t>
      </w:r>
      <w:r w:rsidR="00927C5A">
        <w:t xml:space="preserve"> (Fig. </w:t>
      </w:r>
      <w:r w:rsidR="005B535B">
        <w:t>2-</w:t>
      </w:r>
      <w:commentRangeStart w:id="106"/>
      <w:r w:rsidR="005B535B">
        <w:t>2</w:t>
      </w:r>
      <w:commentRangeEnd w:id="106"/>
      <w:r w:rsidR="009A457A">
        <w:rPr>
          <w:rStyle w:val="CommentReference"/>
        </w:rPr>
        <w:commentReference w:id="106"/>
      </w:r>
      <w:r w:rsidR="002509E0">
        <w:t>)</w:t>
      </w:r>
      <w:r>
        <w:t>.</w:t>
      </w:r>
      <w:r w:rsidR="001E45E1">
        <w:t xml:space="preserve"> The modENCODE Groucho peaks were </w:t>
      </w:r>
      <w:r w:rsidR="00CD348D">
        <w:t>generated</w:t>
      </w:r>
      <w:r w:rsidR="001E45E1">
        <w:t xml:space="preserve"> from 0 – 12 </w:t>
      </w:r>
      <w:r w:rsidR="008428ED">
        <w:t xml:space="preserve">hour embryos and so </w:t>
      </w:r>
      <w:ins w:id="107" w:author="Albert Courey" w:date="2015-08-24T12:48:00Z">
        <w:r w:rsidR="009A457A">
          <w:t xml:space="preserve">should </w:t>
        </w:r>
      </w:ins>
      <w:r w:rsidR="008428ED">
        <w:t>represent</w:t>
      </w:r>
      <w:r w:rsidR="001E45E1">
        <w:t xml:space="preserve"> a time-averaged superset of our data. </w:t>
      </w:r>
      <w:ins w:id="108" w:author="Albert Courey" w:date="2015-08-24T12:49:00Z">
        <w:r w:rsidR="00E047A0">
          <w:t xml:space="preserve">Collectively the ChIP-seq peaks from our three data sets, include xx% of the modEncode ChIP-chip peaks. </w:t>
        </w:r>
      </w:ins>
      <w:del w:id="109"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10" w:author="Albert Courey" w:date="2015-08-24T12:52:00Z">
        <w:r w:rsidR="00E81819" w:rsidDel="00E047A0">
          <w:delText>Additional c</w:delText>
        </w:r>
      </w:del>
      <w:ins w:id="111" w:author="Albert Courey" w:date="2015-08-24T12:52:00Z">
        <w:r w:rsidR="00E047A0">
          <w:t>C</w:t>
        </w:r>
      </w:ins>
      <w:r w:rsidR="00E81819">
        <w:t xml:space="preserve">omparison </w:t>
      </w:r>
      <w:del w:id="112" w:author="Albert Courey" w:date="2015-08-24T12:52:00Z">
        <w:r w:rsidR="00E81819" w:rsidDel="00E047A0">
          <w:delText xml:space="preserve">with </w:delText>
        </w:r>
      </w:del>
      <w:ins w:id="113" w:author="Albert Courey" w:date="2015-08-24T12:52:00Z">
        <w:r w:rsidR="00E047A0">
          <w:t xml:space="preserve">of our ChIP-seq data with </w:t>
        </w:r>
      </w:ins>
      <w:r w:rsidR="00E81819">
        <w:t xml:space="preserve">modENCODE Groucho ChIP-chip data generated from white pre-pupae </w:t>
      </w:r>
      <w:ins w:id="114" w:author="Albert Courey" w:date="2015-08-24T12:52:00Z">
        <w:r w:rsidR="00E047A0">
          <w:t xml:space="preserve">also shows a significant overlap </w:t>
        </w:r>
      </w:ins>
      <w:del w:id="115"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t>However,</w:t>
      </w:r>
      <w:r w:rsidR="00E81819">
        <w:t xml:space="preserve"> </w:t>
      </w:r>
      <w:del w:id="116" w:author="Albert Courey" w:date="2015-08-24T12:53:00Z">
        <w:r w:rsidR="00E81819" w:rsidDel="00E047A0">
          <w:delText xml:space="preserve">the utilization of </w:delText>
        </w:r>
      </w:del>
      <w:r w:rsidR="00E81819">
        <w:t xml:space="preserve">a large fraction of </w:t>
      </w:r>
      <w:del w:id="117" w:author="Albert Courey" w:date="2015-08-24T12:54:00Z">
        <w:r w:rsidR="00E81819" w:rsidDel="00E047A0">
          <w:delText xml:space="preserve">Groucho </w:delText>
        </w:r>
      </w:del>
      <w:ins w:id="118" w:author="Albert Courey" w:date="2015-08-24T12:54:00Z">
        <w:r w:rsidR="00E047A0">
          <w:t xml:space="preserve">embryonic and pre-pupal </w:t>
        </w:r>
      </w:ins>
      <w:r w:rsidR="00E81819">
        <w:t>binding sites</w:t>
      </w:r>
      <w:ins w:id="119" w:author="Albert Courey" w:date="2015-08-24T12:53:00Z">
        <w:r w:rsidR="00E047A0">
          <w:t xml:space="preserve"> </w:t>
        </w:r>
      </w:ins>
      <w:ins w:id="120" w:author="Albert Courey" w:date="2015-08-24T12:54:00Z">
        <w:r w:rsidR="00E047A0">
          <w:t>are distinct from one another</w:t>
        </w:r>
      </w:ins>
      <w:del w:id="121"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p>
    <w:p w14:paraId="57A82F30" w14:textId="59F8695C"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22" w:author="Albert Courey" w:date="2015-08-24T13:10:00Z">
        <w:r w:rsidR="00CD348D" w:rsidDel="007A1216">
          <w:delText>more consistent</w:delText>
        </w:r>
      </w:del>
      <w:ins w:id="123" w:author="Albert Courey" w:date="2015-08-24T13:10:00Z">
        <w:r w:rsidR="007A1216">
          <w:t>higher confidence</w:t>
        </w:r>
      </w:ins>
      <w:r w:rsidR="00CD348D">
        <w:t xml:space="preserve"> subset of all identified peaks</w:t>
      </w:r>
      <w:r w:rsidR="00A002D8">
        <w:t xml:space="preserve"> </w:t>
      </w:r>
      <w:r w:rsidR="00704DC2">
        <w:t>(Fig. 2-4</w:t>
      </w:r>
      <w:r w:rsidR="00A002D8">
        <w:t xml:space="preserve">). </w:t>
      </w:r>
      <w:commentRangeStart w:id="124"/>
      <w:r w:rsidR="00A002D8">
        <w:t>Groucho</w:t>
      </w:r>
      <w:commentRangeEnd w:id="124"/>
      <w:r w:rsidR="00243CF0">
        <w:rPr>
          <w:rStyle w:val="CommentReference"/>
        </w:rPr>
        <w:commentReference w:id="124"/>
      </w:r>
      <w:r w:rsidR="00A002D8">
        <w:t xml:space="preserve">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25"/>
      <w:r w:rsidR="00704DC2">
        <w:t>5</w:t>
      </w:r>
      <w:commentRangeEnd w:id="125"/>
      <w:r w:rsidR="007A1216">
        <w:rPr>
          <w:rStyle w:val="CommentReference"/>
        </w:rPr>
        <w:commentReference w:id="125"/>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126"/>
      <w:r w:rsidR="00DB5779">
        <w:rPr>
          <w:i/>
        </w:rPr>
        <w:t>stages</w:t>
      </w:r>
      <w:commentRangeEnd w:id="126"/>
      <w:r w:rsidR="00864BFE">
        <w:rPr>
          <w:rStyle w:val="CommentReference"/>
        </w:rPr>
        <w:commentReference w:id="126"/>
      </w:r>
    </w:p>
    <w:p w14:paraId="10A31D1D" w14:textId="7BE3394A"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ventrolateral regions of the embryo, Dorsal facilitates the repression of </w:t>
      </w:r>
      <w:r w:rsidR="00C66AD0">
        <w:rPr>
          <w:i/>
        </w:rPr>
        <w:t xml:space="preserve">zen </w:t>
      </w:r>
      <w:r w:rsidR="00C66AD0">
        <w:t xml:space="preserve">and </w:t>
      </w:r>
      <w:r w:rsidR="00C66AD0">
        <w:rPr>
          <w:i/>
        </w:rPr>
        <w:t>dpp</w:t>
      </w:r>
      <w:r w:rsidR="00C66AD0">
        <w:t xml:space="preserve"> through its interaction with Groucho</w:t>
      </w:r>
      <w:r w:rsidR="00CD348D">
        <w:t>, a critical step in delineating presumptive mesodermal and neuroectodermal regions</w:t>
      </w:r>
      <w:r w:rsidR="00C66AD0">
        <w:t xml:space="preserve"> </w:t>
      </w:r>
      <w:commentRangeStart w:id="127"/>
      <w:r w:rsidR="003069E4">
        <w:t>{Dubnicoff, 1997 #2366}</w:t>
      </w:r>
      <w:commentRangeEnd w:id="127"/>
      <w:r w:rsidR="002E5109">
        <w:rPr>
          <w:rStyle w:val="CommentReference"/>
        </w:rPr>
        <w:commentReference w:id="127"/>
      </w:r>
      <w:r w:rsidR="00C66AD0">
        <w:t xml:space="preserve">. Ventral repression of </w:t>
      </w:r>
      <w:r w:rsidR="00C66AD0">
        <w:rPr>
          <w:i/>
        </w:rPr>
        <w:t>zen</w:t>
      </w:r>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r w:rsidR="00BA7BC7" w:rsidRPr="00BA7BC7">
        <w:rPr>
          <w:i/>
        </w:rPr>
        <w:t>ct</w:t>
      </w:r>
      <w:r w:rsidR="00BA7BC7">
        <w:t>) and Dead ringer (</w:t>
      </w:r>
      <w:r w:rsidR="00BA7BC7">
        <w:rPr>
          <w:i/>
        </w:rPr>
        <w:t xml:space="preserve">dri, </w:t>
      </w:r>
      <w:r w:rsidR="00BA7BC7">
        <w:t>also known as</w:t>
      </w:r>
      <w:r w:rsidR="00C66AD0">
        <w:t xml:space="preserve"> </w:t>
      </w:r>
      <w:r w:rsidR="00BA7BC7">
        <w:t xml:space="preserve">Retained, </w:t>
      </w:r>
      <w:r w:rsidR="00BA7BC7">
        <w:rPr>
          <w:i/>
        </w:rPr>
        <w:t>retn</w:t>
      </w:r>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Gro localizes </w:t>
      </w:r>
      <w:del w:id="128" w:author="Albert Courey" w:date="2015-08-24T13:25:00Z">
        <w:r w:rsidR="00BA7BC7" w:rsidDel="003B1728">
          <w:delText xml:space="preserve">the </w:delText>
        </w:r>
      </w:del>
      <w:r w:rsidR="00BA7BC7">
        <w:t>the VRR, however Gro density is comparatively weak</w:t>
      </w:r>
      <w:r w:rsidR="00704DC2">
        <w:t xml:space="preserve"> within the VRR region (Fig. 2-6</w:t>
      </w:r>
      <w:r w:rsidR="00391BC9">
        <w:t>A</w:t>
      </w:r>
      <w:r w:rsidR="00BA7BC7">
        <w:t xml:space="preserve">). Stronger Gro signal is seen both directly upstream of the VRR (compared to </w:t>
      </w:r>
      <w:r w:rsidR="00BA7BC7">
        <w:rPr>
          <w:i/>
        </w:rPr>
        <w:t>zen</w:t>
      </w:r>
      <w:r w:rsidR="00BA7BC7">
        <w:t xml:space="preserve">), as well as downstream. This downstream region overlaps the TSS of </w:t>
      </w:r>
      <w:r w:rsidR="00BA7BC7">
        <w:rPr>
          <w:i/>
        </w:rPr>
        <w:t xml:space="preserve">zen </w:t>
      </w:r>
      <w:r w:rsidR="00BA7BC7">
        <w:t xml:space="preserve">and extends an additional 700 bp upstream of the gene. </w:t>
      </w:r>
      <w:r w:rsidR="005242B2">
        <w:t>Following</w:t>
      </w:r>
      <w:r w:rsidR="00BA7BC7">
        <w:t xml:space="preserve"> the 1.5 – 4 </w:t>
      </w:r>
      <w:r w:rsidR="005242B2">
        <w:t xml:space="preserve">hour </w:t>
      </w:r>
      <w:del w:id="129" w:author="Albert Courey" w:date="2015-08-24T13:26:00Z">
        <w:r w:rsidR="0093515F" w:rsidDel="003B1728">
          <w:delText>timespan</w:delText>
        </w:r>
      </w:del>
      <w:ins w:id="130" w:author="Albert Courey" w:date="2015-08-24T13:26:00Z">
        <w:r w:rsidR="003B1728">
          <w:t>timepoint</w:t>
        </w:r>
      </w:ins>
      <w:r w:rsidR="00BA7BC7">
        <w:t xml:space="preserve">, Groucho recruitment to the </w:t>
      </w:r>
      <w:r w:rsidR="00BA7BC7">
        <w:rPr>
          <w:i/>
        </w:rPr>
        <w:t>zen</w:t>
      </w:r>
      <w:r w:rsidR="00BA7BC7">
        <w:t xml:space="preserve"> locus shifts to a pair of peaks centered approximately 500 bp downstream of </w:t>
      </w:r>
      <w:r w:rsidR="00BA7BC7">
        <w:rPr>
          <w:i/>
        </w:rPr>
        <w:t>zen</w:t>
      </w:r>
      <w:r w:rsidR="00BA7BC7">
        <w:t xml:space="preserve">, and all upstream binding is lost. As no </w:t>
      </w:r>
      <w:r w:rsidR="00BA7BC7">
        <w:rPr>
          <w:i/>
        </w:rPr>
        <w:t>zen</w:t>
      </w:r>
      <w:r w:rsidR="00BA7BC7">
        <w:t xml:space="preserve"> regulatory regions have been characterized 3’ of the gene, it is </w:t>
      </w:r>
      <w:del w:id="131" w:author="Albert Courey" w:date="2015-08-24T13:27:00Z">
        <w:r w:rsidR="00BA7BC7" w:rsidDel="003B1728">
          <w:delText xml:space="preserve">now </w:delText>
        </w:r>
      </w:del>
      <w:ins w:id="132"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r w:rsidR="00BA7BC7">
        <w:rPr>
          <w:i/>
        </w:rPr>
        <w:t xml:space="preserve">zen </w:t>
      </w:r>
      <w:r w:rsidR="002E3A14">
        <w:t>expression contracts in stage 5 (</w:t>
      </w:r>
      <w:r w:rsidR="00391BC9">
        <w:t>2 – 3 hr) embryos, and becomes permanently repressed afterwards.</w:t>
      </w:r>
      <w:r w:rsidR="00CD348D">
        <w:t xml:space="preserve"> Overall, Gro binding </w:t>
      </w:r>
      <w:r w:rsidR="00224435">
        <w:t xml:space="preserve">at the </w:t>
      </w:r>
      <w:r w:rsidR="00224435">
        <w:rPr>
          <w:i/>
        </w:rPr>
        <w:t xml:space="preserve">zen </w:t>
      </w:r>
      <w:r w:rsidR="00224435">
        <w:t>locus confirms that Gro is recruited specifically to the VRR, as previously described, but does not remain confined to this position. This Gro-associated region then appears to associate directly with the TSS of zen, as well as several hundred bases upstream. It is unlikely Gro is directly recruited adjacent to the TSS, as this region is not sufficient for Gro-mediated repression.</w:t>
      </w:r>
    </w:p>
    <w:p w14:paraId="717110CB" w14:textId="171E96F0" w:rsidR="00810B6C" w:rsidRDefault="00391BC9" w:rsidP="00391BC9">
      <w:pPr>
        <w:spacing w:line="480" w:lineRule="auto"/>
      </w:pPr>
      <w:r>
        <w:tab/>
      </w:r>
      <w:r w:rsidR="00AF4F59">
        <w:t xml:space="preserve">Additionally, </w:t>
      </w:r>
      <w:r>
        <w:t xml:space="preserve">Dorsal </w:t>
      </w:r>
      <w:r w:rsidR="00BE0C0F">
        <w:t xml:space="preserve">is </w:t>
      </w:r>
      <w:r>
        <w:t>responsible for ventral repre</w:t>
      </w:r>
      <w:r w:rsidR="00AF4F59">
        <w:t>ssion of</w:t>
      </w:r>
      <w:r>
        <w:t xml:space="preserve"> decapentaplegic (dpp) i</w:t>
      </w:r>
      <w:r w:rsidR="00BE0C0F">
        <w:t>n early embryos</w:t>
      </w:r>
      <w:r w:rsidR="00AF4F59">
        <w:t xml:space="preserve"> (1.5 – 2 hours post fertilization) through the recruitment of Gro. Loss of Gro activity at this stage results in complete derepression of </w:t>
      </w:r>
      <w:r w:rsidR="00AF4F59">
        <w:rPr>
          <w:i/>
        </w:rPr>
        <w:t xml:space="preserve">dpp </w:t>
      </w:r>
      <w:r w:rsidR="00AF4F59">
        <w:t xml:space="preserve">in ventral regions of the embryo </w:t>
      </w:r>
      <w:r w:rsidR="003069E4">
        <w:t>{Dubnicoff, 1997 #2366}</w:t>
      </w:r>
      <w:r w:rsidR="00AF4F59">
        <w:t>.</w:t>
      </w:r>
      <w:r w:rsidR="00974E74">
        <w:t xml:space="preserve"> Dorsal binding sites </w:t>
      </w:r>
      <w:r w:rsidR="00C4678B">
        <w:t xml:space="preserve">necessary for restriction of </w:t>
      </w:r>
      <w:r w:rsidR="00C4678B">
        <w:rPr>
          <w:i/>
        </w:rPr>
        <w:t xml:space="preserve">dpp </w:t>
      </w:r>
      <w:r w:rsidR="00C4678B">
        <w:t xml:space="preserve">expression to the dorsal portion of the embryo </w:t>
      </w:r>
      <w:r w:rsidR="00224435">
        <w:t>have been</w:t>
      </w:r>
      <w:r w:rsidR="00C4678B">
        <w:t xml:space="preserve"> mapped to the second intron </w:t>
      </w:r>
      <w:r w:rsidR="003069E4">
        <w:t>{Huang, 1993 #3037}</w:t>
      </w:r>
      <w:r w:rsidR="00C4678B">
        <w:t>. Our ChIP-seq data confirms extensive Gro rec</w:t>
      </w:r>
      <w:r w:rsidR="00704DC2">
        <w:t>ruitment to this site (Fig. 2-6</w:t>
      </w:r>
      <w:r w:rsidR="00C4678B">
        <w:t xml:space="preserve">B), indicating also that Groucho is lost from this locus at later timepoints, consistent with the finding that in later embryonic development multiple elements upstream of </w:t>
      </w:r>
      <w:r w:rsidR="00C4678B">
        <w:rPr>
          <w:i/>
        </w:rPr>
        <w:t>dpp</w:t>
      </w:r>
      <w:r w:rsidR="00C4678B">
        <w:t xml:space="preserve"> confine its expression into multiple lateral stripes along the extending germ band </w:t>
      </w:r>
      <w:r w:rsidR="003069E4">
        <w:t>{Schwyter, 1995 #3038}</w:t>
      </w:r>
      <w:r w:rsidR="00C4678B">
        <w:t xml:space="preserve">. Extensive binding of Gro within these regions suggests that it also </w:t>
      </w:r>
      <w:r w:rsidR="00224435">
        <w:t>potentially has</w:t>
      </w:r>
      <w:r w:rsidR="00C4678B">
        <w:t xml:space="preserve"> a role in </w:t>
      </w:r>
      <w:r w:rsidR="00C4678B">
        <w:rPr>
          <w:i/>
        </w:rPr>
        <w:t>dpp</w:t>
      </w:r>
      <w:r w:rsidR="00C4678B">
        <w:t xml:space="preserve"> expression resulting from these </w:t>
      </w:r>
      <w:commentRangeStart w:id="133"/>
      <w:r w:rsidR="00C4678B">
        <w:t>elements</w:t>
      </w:r>
      <w:commentRangeEnd w:id="133"/>
      <w:r w:rsidR="0006404C">
        <w:rPr>
          <w:rStyle w:val="CommentReference"/>
        </w:rPr>
        <w:commentReference w:id="133"/>
      </w:r>
      <w:r w:rsidR="00C4678B">
        <w:t xml:space="preserve">. </w:t>
      </w:r>
      <w:del w:id="134"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del w:id="135"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del w:id="136" w:author="Albert Courey" w:date="2015-08-24T13:30:00Z">
        <w:r w:rsidR="00F6363E" w:rsidDel="009E7E20">
          <w:delText xml:space="preserve">. </w:delText>
        </w:r>
        <w:r w:rsidR="007B0590" w:rsidDel="009E7E20">
          <w:delText xml:space="preserve"> While this enhancer region is not known to </w:delText>
        </w:r>
        <w:r w:rsidR="00224435" w:rsidDel="009E7E20">
          <w:delText xml:space="preserve">participate </w:delText>
        </w:r>
        <w:r w:rsidR="007B0590" w:rsidDel="009E7E20">
          <w:delText xml:space="preserve">in </w:delText>
        </w:r>
        <w:r w:rsidR="007B0590" w:rsidDel="009E7E20">
          <w:rPr>
            <w:i/>
          </w:rPr>
          <w:delText xml:space="preserve">dpp </w:delText>
        </w:r>
        <w:r w:rsidR="007B0590" w:rsidDel="009E7E20">
          <w:delText xml:space="preserve">expression during embryogenesis, Groucho does bind both immediately downstream of </w:delText>
        </w:r>
        <w:r w:rsidR="007B0590" w:rsidDel="009E7E20">
          <w:rPr>
            <w:i/>
          </w:rPr>
          <w:delText>dpp</w:delText>
        </w:r>
        <w:r w:rsidR="007B0590" w:rsidDel="009E7E20">
          <w:delText xml:space="preserve"> and </w:delText>
        </w:r>
        <w:r w:rsidR="00224435" w:rsidDel="009E7E20">
          <w:delText>overlapping</w:delText>
        </w:r>
        <w:r w:rsidR="007B0590" w:rsidDel="009E7E20">
          <w:delText xml:space="preserve"> the second of three </w:delText>
        </w:r>
        <w:r w:rsidR="00224435" w:rsidDel="009E7E20">
          <w:delText xml:space="preserve">spaced </w:delText>
        </w:r>
        <w:r w:rsidR="007B0590" w:rsidDel="009E7E20">
          <w:delText>Pangolin binding sites between 4 to 9 hours of development</w:delText>
        </w:r>
        <w:r w:rsidR="00AD14A9" w:rsidDel="009E7E20">
          <w:delText>, indicating that these sites may potentially play a role earlier in development than previously hypothesized</w:delText>
        </w:r>
        <w:r w:rsidR="007B0590" w:rsidDel="009E7E20">
          <w:delText>.</w:delText>
        </w:r>
      </w:del>
    </w:p>
    <w:p w14:paraId="54656F6A" w14:textId="6416FC6B" w:rsidR="00391BC9" w:rsidRDefault="00810B6C" w:rsidP="00391BC9">
      <w:pPr>
        <w:spacing w:line="480" w:lineRule="auto"/>
      </w:pPr>
      <w:r>
        <w:tab/>
      </w:r>
      <w:commentRangeStart w:id="137"/>
      <w:r w:rsidR="00094D56">
        <w:t>Dorsal</w:t>
      </w:r>
      <w:commentRangeEnd w:id="137"/>
      <w:r w:rsidR="00727F5D">
        <w:rPr>
          <w:rStyle w:val="CommentReference"/>
        </w:rPr>
        <w:commentReference w:id="137"/>
      </w:r>
      <w:r w:rsidR="00094D56">
        <w:t xml:space="preserve"> is also necessary for the ventral activation of a number of genes, a process that </w:t>
      </w:r>
      <w:r w:rsidR="0061663A">
        <w:t xml:space="preserve">is thought to be Groucho-independent. These ventrally-activated genes include rhomboid (rho), single-minded (sim), and short gastrulation (sog) </w:t>
      </w:r>
      <w:r w:rsidR="003069E4">
        <w:t>{Ip, 1992 #3042;Gonzalez-Crespo, 1993 #3043}</w:t>
      </w:r>
      <w:r w:rsidR="0061663A">
        <w:t xml:space="preserve">.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t>
      </w:r>
    </w:p>
    <w:p w14:paraId="6F636C22" w14:textId="58B7B599"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 xml:space="preserve">lays a role in </w:t>
      </w:r>
      <w:commentRangeStart w:id="138"/>
      <w:r w:rsidR="00125DEA">
        <w:t>regulating</w:t>
      </w:r>
      <w:commentRangeEnd w:id="138"/>
      <w:r w:rsidR="00864BFE">
        <w:rPr>
          <w:rStyle w:val="CommentReference"/>
        </w:rPr>
        <w:commentReference w:id="138"/>
      </w:r>
      <w:r>
        <w:t xml:space="preserve"> expression of these genes in some portions of the embryo</w:t>
      </w:r>
      <w:r w:rsidR="00FD1EAB">
        <w:t xml:space="preserve"> (Fig. 2-7)</w:t>
      </w:r>
      <w:r>
        <w:t xml:space="preserve">. A significant Gro peak overlaps </w:t>
      </w:r>
      <w:r w:rsidR="00125DEA">
        <w:t>a regulatory region</w:t>
      </w:r>
      <w:r>
        <w:t xml:space="preserve"> termed the neuroectoderm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neuroectoderm </w:t>
      </w:r>
      <w:r w:rsidR="003069E4">
        <w:t>{Ip, 1992 #3042}</w:t>
      </w:r>
      <w:r w:rsidR="00125DEA">
        <w:t xml:space="preserve">.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potentially indicative of a repressive mechanism whereby Gro interacts with or blocks assembly of the primary </w:t>
      </w:r>
      <w:r w:rsidR="0060322B">
        <w:t>transcriptional</w:t>
      </w:r>
      <w:r w:rsidR="001D2B5B">
        <w:t xml:space="preserve"> </w:t>
      </w:r>
      <w:commentRangeStart w:id="139"/>
      <w:r w:rsidR="001D2B5B">
        <w:t>machinery</w:t>
      </w:r>
      <w:commentRangeEnd w:id="139"/>
      <w:r w:rsidR="0006404C">
        <w:rPr>
          <w:rStyle w:val="CommentReference"/>
        </w:rPr>
        <w:commentReference w:id="139"/>
      </w:r>
      <w:r w:rsidR="001D2B5B">
        <w:t>.</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336CB068"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 xml:space="preserve">binding sites per associated </w:t>
      </w:r>
      <w:commentRangeStart w:id="140"/>
      <w:r w:rsidR="004822AC">
        <w:t>gene</w:t>
      </w:r>
      <w:commentRangeEnd w:id="140"/>
      <w:r w:rsidR="00C106E2">
        <w:rPr>
          <w:rStyle w:val="CommentReference"/>
        </w:rPr>
        <w:commentReference w:id="140"/>
      </w:r>
      <w:r>
        <w:t>.</w:t>
      </w:r>
      <w:r w:rsidR="005726D7">
        <w:t xml:space="preserve"> These peaks have median widths in the 500 – 700 bp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ins w:id="141" w:author="Albert Courey" w:date="2015-08-24T16:06:00Z">
        <w:r w:rsidR="00C106E2">
          <w:t>2-</w:t>
        </w:r>
      </w:ins>
      <w:commentRangeStart w:id="142"/>
      <w:r w:rsidR="00DC538D">
        <w:t>9</w:t>
      </w:r>
      <w:commentRangeEnd w:id="142"/>
      <w:r w:rsidR="00C106E2">
        <w:rPr>
          <w:rStyle w:val="CommentReference"/>
        </w:rPr>
        <w:commentReference w:id="142"/>
      </w:r>
      <w:r w:rsidR="00DC538D">
        <w:t>)</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5379EA13" w:rsidR="00A54005" w:rsidRDefault="00A54005" w:rsidP="00A25B2F">
      <w:pPr>
        <w:spacing w:line="480" w:lineRule="auto"/>
        <w:ind w:firstLine="720"/>
      </w:pPr>
      <w:r>
        <w:t xml:space="preserve">Groucho binding is enriched </w:t>
      </w:r>
      <w:del w:id="143" w:author="Albert Courey" w:date="2015-08-25T15:27:00Z">
        <w:r w:rsidDel="00CB3FB0">
          <w:delText xml:space="preserve">in </w:delText>
        </w:r>
        <w:r w:rsidR="008E3112" w:rsidDel="00CB3FB0">
          <w:delText>promoter regions within 500bp of</w:delText>
        </w:r>
      </w:del>
      <w:ins w:id="144" w:author="Albert Courey" w:date="2015-08-25T15:27:00Z">
        <w:r w:rsidR="00CB3FB0">
          <w:t>close to</w:t>
        </w:r>
      </w:ins>
      <w:r w:rsidR="008E3112">
        <w:t xml:space="preserve"> trans</w:t>
      </w:r>
      <w:r w:rsidR="007B05E7">
        <w:t>cript</w:t>
      </w:r>
      <w:r w:rsidR="00DC538D">
        <w:t>ion start sites (Fig. 2-</w:t>
      </w:r>
      <w:commentRangeStart w:id="145"/>
      <w:r w:rsidR="00DC538D">
        <w:t>10</w:t>
      </w:r>
      <w:r w:rsidR="008E3112">
        <w:t>A</w:t>
      </w:r>
      <w:commentRangeEnd w:id="145"/>
      <w:r w:rsidR="00A5148C">
        <w:rPr>
          <w:rStyle w:val="CommentReference"/>
        </w:rPr>
        <w:commentReference w:id="145"/>
      </w:r>
      <w:r w:rsidR="008E3112">
        <w:t xml:space="preserve">). Regions further upstream (20 kb to 2 kb) are depleted for Gro occupancy, and intermediate range regions (2 kb to 500 bp) show neither depletion </w:t>
      </w:r>
      <w:r w:rsidR="00237EB9">
        <w:t>n</w:t>
      </w:r>
      <w:r w:rsidR="008E3112">
        <w:t xml:space="preserve">or enrichment. Binding within introns and 5’ UTRs is </w:t>
      </w:r>
      <w:ins w:id="146" w:author="Albert Courey" w:date="2015-08-25T15:28:00Z">
        <w:r w:rsidR="00CB3FB0">
          <w:t xml:space="preserve">also </w:t>
        </w:r>
      </w:ins>
      <w:r w:rsidR="008E3112">
        <w:t xml:space="preserve">enriched. This pattern of occupancy is </w:t>
      </w:r>
      <w:del w:id="147" w:author="Albert Courey" w:date="2015-08-25T15:28:00Z">
        <w:r w:rsidR="008E3112" w:rsidDel="00CB3FB0">
          <w:delText>at odds with the</w:delText>
        </w:r>
      </w:del>
      <w:ins w:id="148" w:author="Albert Courey" w:date="2015-08-25T15:28:00Z">
        <w:r w:rsidR="00CB3FB0">
          <w:t>somewhat surprising given the</w:t>
        </w:r>
      </w:ins>
      <w:r w:rsidR="008E3112">
        <w:t xml:space="preserve"> traditional view that Groucho is pri</w:t>
      </w:r>
      <w:r w:rsidR="00873A87">
        <w:t>marily a long-range corepressor</w:t>
      </w:r>
      <w:r w:rsidR="00C77C2F" w:rsidRPr="00C77C2F">
        <w:t xml:space="preserve"> </w:t>
      </w:r>
      <w:r w:rsidR="003069E4">
        <w:t>{Dubnicoff, 1997 #2366}</w:t>
      </w:r>
      <w:r w:rsidR="00C77C2F" w:rsidRPr="00C77C2F">
        <w:t xml:space="preserve"> </w:t>
      </w:r>
      <w:r w:rsidR="003069E4">
        <w:t>{Barolo, 1997 #2365}</w:t>
      </w:r>
      <w:r w:rsidR="0016503B">
        <w:t>, capable of repressing genes several kilobases away from its recruitment site, though it has also been shown to be capable of short-range repression through recruitment by additional transcription factors, such as knirps</w:t>
      </w:r>
      <w:r w:rsidR="00C77C2F" w:rsidRPr="00C77C2F">
        <w:t xml:space="preserve"> </w:t>
      </w:r>
      <w:commentRangeStart w:id="149"/>
      <w:r w:rsidR="003069E4">
        <w:t>{Payankaulam, 2009 #2955}</w:t>
      </w:r>
      <w:commentRangeEnd w:id="149"/>
      <w:r w:rsidR="00CB3FB0">
        <w:rPr>
          <w:rStyle w:val="CommentReference"/>
        </w:rPr>
        <w:commentReference w:id="149"/>
      </w:r>
      <w:r w:rsidR="0016503B">
        <w:t>. Our data</w:t>
      </w:r>
      <w:r w:rsidR="00A15868">
        <w:t xml:space="preserve"> indicates that Gro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start sites (3 – 10%), and </w:t>
      </w:r>
      <w:r w:rsidR="0016503B">
        <w:t>intergenic binding</w:t>
      </w:r>
      <w:r w:rsidR="00170024">
        <w:t xml:space="preserve"> is </w:t>
      </w:r>
      <w:r w:rsidR="0016503B">
        <w:t xml:space="preserve">nearly </w:t>
      </w:r>
      <w:r w:rsidR="00170024">
        <w:t>evenly split between binding upstream and downstream of the nearest feature. Due to the complexity of enhancer-gene interactions, it is difficult to assign these intergenic binding sites accurately to a regulatory target, if such a target even exists for each peak.</w:t>
      </w:r>
    </w:p>
    <w:p w14:paraId="759C4F58" w14:textId="3A0770F4"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3069E4">
        <w:t>{Bradnam, 2008 #3034}</w:t>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to intergenic</w:t>
      </w:r>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resulting in immunoprecipation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factors known to colocalize with Groucho</w:t>
      </w:r>
      <w:r w:rsidR="000F37B2">
        <w:t>, including twist</w:t>
      </w:r>
      <w:r w:rsidR="00062ABD">
        <w:t xml:space="preserve"> (twi)</w:t>
      </w:r>
      <w:r w:rsidR="000F37B2">
        <w:t>, tinman</w:t>
      </w:r>
      <w:r w:rsidR="00062ABD">
        <w:t xml:space="preserve"> (tin)</w:t>
      </w:r>
      <w:r w:rsidR="000F37B2">
        <w:t>, and pannier</w:t>
      </w:r>
      <w:r w:rsidR="007B05E7">
        <w:t xml:space="preserve"> (pnr), as well as</w:t>
      </w:r>
      <w:r w:rsidR="00062ABD">
        <w:t xml:space="preserve"> previously unassociated factors, including </w:t>
      </w:r>
      <w:r w:rsidR="00062ABD" w:rsidRPr="00062ABD">
        <w:t>vielfältig</w:t>
      </w:r>
      <w:r w:rsidR="00062ABD">
        <w:t xml:space="preserve"> (vlf)</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commentRangeStart w:id="150"/>
      <w:r w:rsidR="007B05E7">
        <w:t>ultraspiracle</w:t>
      </w:r>
      <w:commentRangeEnd w:id="150"/>
      <w:r w:rsidR="00D41A26">
        <w:rPr>
          <w:rStyle w:val="CommentReference"/>
        </w:rPr>
        <w:commentReference w:id="150"/>
      </w:r>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(Gro∆</w:t>
      </w:r>
      <w:commentRangeStart w:id="151"/>
      <w:r w:rsidR="009D5C49">
        <w:t>SP</w:t>
      </w:r>
      <w:commentRangeEnd w:id="151"/>
      <w:r w:rsidR="00071D1D">
        <w:rPr>
          <w:rStyle w:val="CommentReference"/>
        </w:rPr>
        <w:commentReference w:id="151"/>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germline clones of a Gro allele that give rise to a severely truncated and therefore non-functional Gro </w:t>
      </w:r>
      <w:r w:rsidR="00306543">
        <w:t>gene product</w:t>
      </w:r>
      <w:r w:rsidR="009D5C49">
        <w:t>.</w:t>
      </w:r>
      <w:r w:rsidR="00306543">
        <w:t xml:space="preserve"> Analysis of Gro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Gro transcripts to any significant degree across all </w:t>
      </w:r>
      <w:commentRangeStart w:id="152"/>
      <w:r w:rsidR="00306543">
        <w:t>timepoints</w:t>
      </w:r>
      <w:commentRangeEnd w:id="152"/>
      <w:r w:rsidR="00264E0A">
        <w:rPr>
          <w:rStyle w:val="CommentReference"/>
        </w:rPr>
        <w:commentReference w:id="152"/>
      </w:r>
      <w:r w:rsidR="00306543">
        <w:t xml:space="preserve">. </w:t>
      </w:r>
      <w:commentRangeStart w:id="153"/>
      <w:r w:rsidR="00306543">
        <w:t>Wild</w:t>
      </w:r>
      <w:commentRangeEnd w:id="153"/>
      <w:r w:rsidR="00264E0A">
        <w:rPr>
          <w:rStyle w:val="CommentReference"/>
        </w:rPr>
        <w:commentReference w:id="153"/>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 xml:space="preserve">Clustering of RNA-seq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heatmap.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Perturbation of Groucho levels results in the misregulation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154"/>
      <w:r w:rsidR="00E67908">
        <w:t>timepoint</w:t>
      </w:r>
      <w:commentRangeEnd w:id="154"/>
      <w:r w:rsidR="00071D1D">
        <w:rPr>
          <w:rStyle w:val="CommentReference"/>
        </w:rPr>
        <w:commentReference w:id="154"/>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2D93EAA5"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r w:rsidR="00E67908">
        <w:t>huckebein</w:t>
      </w:r>
      <w:r w:rsidR="00071D1D">
        <w:t>, zen, Sxl, dpp,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248 genes, of which 151 are common between the 2x and 4x G</w:t>
      </w:r>
      <w:r w:rsidR="00DC53DC">
        <w:t>r</w:t>
      </w:r>
      <w:r w:rsidR="00DC538D">
        <w:t>o overexpression lines (Fig 2-19</w:t>
      </w:r>
      <w:r w:rsidR="003E4050">
        <w:t xml:space="preserve"> &amp; Supplemental Table 1). </w:t>
      </w:r>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5C4807">
        <w:t xml:space="preserve"> </w:t>
      </w:r>
      <w:r w:rsidR="003069E4">
        <w:t>{Villanueva, 2011 #1659}</w:t>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5C4807" w:rsidRPr="005C4807">
        <w:t xml:space="preserve"> </w:t>
      </w:r>
      <w:r w:rsidR="003069E4">
        <w:t>{Bhambhani,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05F1C790" w:rsidR="00866555" w:rsidRDefault="009B74B7" w:rsidP="00D174D1">
      <w:pPr>
        <w:spacing w:line="480" w:lineRule="auto"/>
        <w:ind w:firstLine="720"/>
      </w:pPr>
      <w:r>
        <w:t xml:space="preserve">Promotor-proximal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3069E4">
        <w:t>{Conaway, 2000 #2381}</w:t>
      </w:r>
      <w:r>
        <w:t xml:space="preserve">, with strong peaks of PolII present in the promoter regions of a diverse array of genes throughout the </w:t>
      </w:r>
      <w:r>
        <w:rPr>
          <w:i/>
        </w:rPr>
        <w:t>Droosphila</w:t>
      </w:r>
      <w:r w:rsidR="00B570B8">
        <w:t xml:space="preserve"> </w:t>
      </w:r>
      <w:r>
        <w:t>genome.</w:t>
      </w:r>
      <w:r w:rsidR="00866555">
        <w:t xml:space="preserve"> </w:t>
      </w:r>
    </w:p>
    <w:p w14:paraId="770FE57D" w14:textId="06DEC51B"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r w:rsidR="005A72DA">
        <w:t>PolII localization data</w:t>
      </w:r>
      <w:r w:rsidR="00780FE2">
        <w:t xml:space="preserve"> </w:t>
      </w:r>
      <w:r w:rsidR="003069E4">
        <w:t>{Zeitlinger, 2007 #3010}</w:t>
      </w:r>
      <w:r w:rsidR="005A72DA">
        <w:t xml:space="preserve">.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155" w:author="Michael Chambers" w:date="2015-08-26T15:52:00Z"/>
        </w:rPr>
      </w:pPr>
      <w:bookmarkStart w:id="156" w:name="revised-results-section"/>
      <w:bookmarkEnd w:id="156"/>
      <w:r>
        <w:t>Discussion</w:t>
      </w:r>
    </w:p>
    <w:p w14:paraId="6A287F00" w14:textId="77777777" w:rsidR="003C0EDF" w:rsidRDefault="003C0EDF">
      <w:pPr>
        <w:rPr>
          <w:ins w:id="157" w:author="Michael Chambers" w:date="2015-08-26T15:52:00Z"/>
        </w:rPr>
        <w:pPrChange w:id="158" w:author="Michael Chambers" w:date="2015-08-26T15:52:00Z">
          <w:pPr>
            <w:pStyle w:val="Heading2"/>
            <w:spacing w:line="480" w:lineRule="auto"/>
          </w:pPr>
        </w:pPrChange>
      </w:pPr>
    </w:p>
    <w:p w14:paraId="5C9BBC3A" w14:textId="77777777" w:rsidR="003C0EDF" w:rsidRDefault="003C0EDF" w:rsidP="003C0EDF">
      <w:pPr>
        <w:spacing w:line="480" w:lineRule="auto"/>
        <w:rPr>
          <w:ins w:id="159" w:author="Michael Chambers" w:date="2015-08-26T15:52:00Z"/>
          <w:i/>
        </w:rPr>
      </w:pPr>
      <w:ins w:id="160" w:author="Michael Chambers" w:date="2015-08-26T15:52:00Z">
        <w:r>
          <w:rPr>
            <w:i/>
          </w:rPr>
          <w:t>Groucho is recruited ubiquitiously and dynamically throughout the genome</w:t>
        </w:r>
      </w:ins>
    </w:p>
    <w:p w14:paraId="5D90DE07" w14:textId="77777777" w:rsidR="003C0EDF" w:rsidRDefault="003C0EDF" w:rsidP="003C0EDF">
      <w:pPr>
        <w:spacing w:line="480" w:lineRule="auto"/>
        <w:rPr>
          <w:ins w:id="161" w:author="Michael Chambers" w:date="2015-08-26T15:52:00Z"/>
        </w:rPr>
      </w:pPr>
    </w:p>
    <w:p w14:paraId="19A28E08" w14:textId="77777777" w:rsidR="003C0EDF" w:rsidRDefault="003C0EDF" w:rsidP="003C0EDF">
      <w:pPr>
        <w:spacing w:line="480" w:lineRule="auto"/>
        <w:rPr>
          <w:ins w:id="162" w:author="Michael Chambers" w:date="2015-08-26T15:52:00Z"/>
        </w:rPr>
      </w:pPr>
      <w:ins w:id="163" w:author="Michael Chambers" w:date="2015-08-26T15:52:00Z">
        <w:r>
          <w:tab/>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hr to 4 – 6.5 hr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164" w:author="Michael Chambers" w:date="2015-08-26T15:52:00Z"/>
        </w:rPr>
      </w:pPr>
      <w:ins w:id="165" w:author="Michael Chambers" w:date="2015-08-26T15:52:00Z">
        <w:r>
          <w:t xml:space="preserve">During the 1.5 – 4 hr stage, Gro is essential for correct determination of cell fates along the dorsal-ventral axis through cooperation with Dorsal. Groucho is recruited both within and surrounding two early ventrally-repressed genes, </w:t>
        </w:r>
        <w:r>
          <w:rPr>
            <w:i/>
          </w:rPr>
          <w:t xml:space="preserve">zen </w:t>
        </w:r>
        <w:r>
          <w:t xml:space="preserve">and </w:t>
        </w:r>
        <w:r>
          <w:rPr>
            <w:i/>
          </w:rPr>
          <w:t>dpp</w:t>
        </w:r>
        <w:r>
          <w:t xml:space="preserve">. </w:t>
        </w:r>
        <w:r>
          <w:rPr>
            <w:i/>
          </w:rPr>
          <w:t>zen</w:t>
        </w:r>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PolII elongation, which is supported by the finding that Groucho occupancy positively correlates with stalled PolII in the developing embryo. Repression may also be initiated by the well-documented interaction of Groucho with HDAC1/Rpd3, leading to deacetylation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r>
          <w:rPr>
            <w:i/>
          </w:rPr>
          <w:t xml:space="preserve">zen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166" w:author="Michael Chambers" w:date="2015-08-26T15:52:00Z"/>
        </w:rPr>
      </w:pPr>
      <w:ins w:id="167"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and in animals generally. Multiple factors, including kruppel and twist have been shown to commonly localize to intronic regions</w:t>
        </w:r>
        <w:r w:rsidRPr="00876316">
          <w:t>{Matyash, 2004 #3046}</w:t>
        </w:r>
        <w:r>
          <w:t xml:space="preserve"> </w:t>
        </w:r>
        <w:r w:rsidRPr="00876316">
          <w:t>{Sandmann, 2007 #3048} {Zeitlinger, 2007 #3025}</w:t>
        </w:r>
        <w:r>
          <w:t xml:space="preserve">.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{Yenerall, 2011 #3051}. Consistent with this hypothesis, developmentally-regulated genes known to exhibit promoter-proximal pausing of RNA PolII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{Bothma, 2011 #2304}.  Due to the relatively slow rate of progression of PolII (~ 1.1 to 1.5 kb per min in </w:t>
        </w:r>
        <w:r>
          <w:rPr>
            <w:i/>
          </w:rPr>
          <w:t>Drosophila)</w:t>
        </w:r>
        <w:r>
          <w:t xml:space="preserve"> {Ardehali, 2009 #3053}, this lag time can become significant, especially under developmental contexts in which temporal control of repression can be as important as activation. While microRNAs are known to dampen this effect in some contexts {Biemar, 2005 #3054}, Groucho-mediated repression initiated by binding intragenically could potentially be another method to achieve a similar end.</w:t>
        </w:r>
      </w:ins>
    </w:p>
    <w:p w14:paraId="2E9D1E2F" w14:textId="77777777" w:rsidR="003C0EDF" w:rsidRPr="003C0EDF" w:rsidRDefault="003C0EDF">
      <w:pPr>
        <w:pPrChange w:id="168"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CB3FB0" w:rsidRDefault="00CB3FB0"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CB3FB0" w:rsidRDefault="00CB3FB0"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CB3FB0" w:rsidRDefault="00CB3FB0" w:rsidP="00D17E0A">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24" w:author="Albert Courey" w:date="2015-08-24T12:26:00Z" w:initials="AC">
    <w:p w14:paraId="353B18A2" w14:textId="77777777" w:rsidR="00CB3FB0" w:rsidRDefault="00CB3FB0" w:rsidP="00D17E0A">
      <w:pPr>
        <w:pStyle w:val="CommentText"/>
      </w:pPr>
      <w:r>
        <w:rPr>
          <w:rStyle w:val="CommentReference"/>
        </w:rPr>
        <w:annotationRef/>
      </w:r>
      <w:r>
        <w:t>I think this is also suggested by a paper from Arnosti. Try to find this reference and add it.</w:t>
      </w:r>
    </w:p>
  </w:comment>
  <w:comment w:id="27" w:author="Albert Courey" w:date="2015-08-24T12:38:00Z" w:initials="AC">
    <w:p w14:paraId="46AF0A65" w14:textId="497690BF" w:rsidR="00CB3FB0" w:rsidRDefault="00CB3FB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42" w:author="Albert Courey" w:date="2015-08-24T12:41:00Z" w:initials="AC">
    <w:p w14:paraId="4A2ADE75" w14:textId="19EB58F4" w:rsidR="00CB3FB0" w:rsidRDefault="00CB3FB0">
      <w:pPr>
        <w:pStyle w:val="CommentText"/>
      </w:pPr>
      <w:r>
        <w:rPr>
          <w:rStyle w:val="CommentReference"/>
        </w:rPr>
        <w:annotationRef/>
      </w:r>
      <w:r>
        <w:t>Please complete this sentence explaining what we conclude, based on the analysis presented in this chapter, about Gro’s influence on the developmentally regulated gene network.</w:t>
      </w:r>
    </w:p>
  </w:comment>
  <w:comment w:id="106" w:author="Albert Courey" w:date="2015-08-24T12:46:00Z" w:initials="AC">
    <w:p w14:paraId="08EF274D" w14:textId="3B033900" w:rsidR="00CB3FB0" w:rsidRDefault="00CB3FB0">
      <w:pPr>
        <w:pStyle w:val="CommentText"/>
      </w:pPr>
      <w:r>
        <w:rPr>
          <w:rStyle w:val="CommentReference"/>
        </w:rPr>
        <w:annotationRef/>
      </w:r>
      <w:r>
        <w:t>Maybe a single Venn diagram in which you compare the modencode data to the combination of our 3 time points would be a better way of making this point.</w:t>
      </w:r>
    </w:p>
  </w:comment>
  <w:comment w:id="124" w:author="Albert Courey" w:date="2015-08-24T13:15:00Z" w:initials="AC">
    <w:p w14:paraId="14BCFC62" w14:textId="11D23CE7" w:rsidR="00CB3FB0" w:rsidRDefault="00CB3FB0">
      <w:pPr>
        <w:pStyle w:val="CommentText"/>
      </w:pPr>
      <w:r>
        <w:rPr>
          <w:rStyle w:val="CommentReference"/>
        </w:rPr>
        <w:annotationRef/>
      </w:r>
      <w:r>
        <w:t xml:space="preserve">Did you subtract input peaks. If so, you should say so? </w:t>
      </w:r>
    </w:p>
  </w:comment>
  <w:comment w:id="125" w:author="Albert Courey" w:date="2015-08-24T13:16:00Z" w:initials="AC">
    <w:p w14:paraId="49772C3B" w14:textId="7EF06415" w:rsidR="00CB3FB0" w:rsidRDefault="00CB3FB0">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126" w:author="Albert Courey" w:date="2015-08-25T14:42:00Z" w:initials="AC">
    <w:p w14:paraId="540EDB9D" w14:textId="7E763478" w:rsidR="00CB3FB0" w:rsidRDefault="00CB3FB0">
      <w:pPr>
        <w:pStyle w:val="CommentText"/>
      </w:pPr>
      <w:r>
        <w:rPr>
          <w:rStyle w:val="CommentReference"/>
        </w:rPr>
        <w:annotationRef/>
      </w:r>
      <w:r>
        <w:t>This is all very interesting, but we need to consider what the broader message is behind it. It does lend credibility to our findings, by showing correspondence of Gro binding to known VREs. But what else? Perhaps another point we could make is that it shows the dynamic nature of Gro binding. Binding of Gro to the VREs is only seen in the early embryo indicating that unlike PcG repression, Gro-mediated repression may be more readily reversible. The question of whether Gro is regulating these genes later on could potentially be addressed by looking at the RNA-seq data. Should we wait until after we introduce the RNA-seq analysis before talking about this stuff?</w:t>
      </w:r>
    </w:p>
  </w:comment>
  <w:comment w:id="127" w:author="Albert Courey" w:date="2015-08-24T15:47:00Z" w:initials="AC">
    <w:p w14:paraId="7C86F00F" w14:textId="40F1DD04" w:rsidR="00CB3FB0" w:rsidRDefault="00CB3FB0">
      <w:pPr>
        <w:pStyle w:val="CommentText"/>
      </w:pPr>
      <w:r>
        <w:rPr>
          <w:rStyle w:val="CommentReference"/>
        </w:rPr>
        <w:annotationRef/>
      </w:r>
      <w:r>
        <w:t xml:space="preserve">Another gene that is repressed by Dorsal in a very similar way is tolloid. The VRE in tolloid has been mapped. It is published here: </w:t>
      </w:r>
      <w:hyperlink r:id="rId1" w:history="1">
        <w:r w:rsidRPr="003F6E51">
          <w:rPr>
            <w:rStyle w:val="Hyperlink"/>
          </w:rPr>
          <w:t>http://www.ncbi.nlm.nih.gov/pubmed/8264640</w:t>
        </w:r>
      </w:hyperlink>
      <w:r>
        <w:t>. You should compare the Gro ChIP-seq data for these genes (zen, dpp, tld) with the genome wide Dorsal-ChIP data that is publically available. We need to see if there is correspondence between the Gro and Dorsal peaks.</w:t>
      </w:r>
    </w:p>
  </w:comment>
  <w:comment w:id="133" w:author="Albert Courey" w:date="2015-08-24T15:47:00Z" w:initials="AC">
    <w:p w14:paraId="19B8B5A0" w14:textId="075DF27F" w:rsidR="00CB3FB0" w:rsidRDefault="00CB3FB0">
      <w:pPr>
        <w:pStyle w:val="CommentText"/>
      </w:pPr>
      <w:r>
        <w:rPr>
          <w:rStyle w:val="CommentReference"/>
        </w:rPr>
        <w:annotationRef/>
      </w:r>
      <w:r>
        <w:t>I decided to delete this stuff on imaginal development as it seems beside the point.</w:t>
      </w:r>
    </w:p>
  </w:comment>
  <w:comment w:id="137" w:author="Albert Courey" w:date="2015-08-25T14:44:00Z" w:initials="AC">
    <w:p w14:paraId="2C0CA558" w14:textId="657A3C09" w:rsidR="00CB3FB0" w:rsidRDefault="00CB3FB0">
      <w:pPr>
        <w:pStyle w:val="CommentText"/>
      </w:pPr>
      <w:r>
        <w:rPr>
          <w:rStyle w:val="CommentReference"/>
        </w:rPr>
        <w:annotationRef/>
      </w:r>
      <w:r>
        <w:t>If you are going to talk about genes that are activated by Dorsal, you should include the mesodermal genes (twist and snail) and not just the neuroectodermal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(Dri, etc.) our required to assist Dorsal in the recruit of Gro. But another possibility is that those other factors somehow are required not for recruitment by Gro, but for repression.</w:t>
      </w:r>
    </w:p>
  </w:comment>
  <w:comment w:id="138" w:author="Albert Courey" w:date="2015-08-24T15:51:00Z" w:initials="AC">
    <w:p w14:paraId="09298E63" w14:textId="5D47F19B" w:rsidR="00CB3FB0" w:rsidRDefault="00CB3FB0">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139" w:author="Albert Courey" w:date="2015-08-25T14:45:00Z" w:initials="AC">
    <w:p w14:paraId="083FA668" w14:textId="39BDCE67" w:rsidR="00CB3FB0" w:rsidRDefault="00CB3FB0">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140" w:author="Albert Courey" w:date="2015-08-24T16:05:00Z" w:initials="AC">
    <w:p w14:paraId="5E543679" w14:textId="730F779D" w:rsidR="00CB3FB0" w:rsidRDefault="00CB3FB0">
      <w:pPr>
        <w:pStyle w:val="CommentText"/>
      </w:pPr>
      <w:r>
        <w:rPr>
          <w:rStyle w:val="CommentReference"/>
        </w:rPr>
        <w:annotationRef/>
      </w:r>
      <w:r>
        <w:t>Mike, Can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142" w:author="Albert Courey" w:date="2015-08-25T14:47:00Z" w:initials="AC">
    <w:p w14:paraId="6BB84EAF" w14:textId="3D7E7045" w:rsidR="00CB3FB0" w:rsidRDefault="00CB3FB0">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145" w:author="Albert Courey" w:date="2015-08-25T15:27:00Z" w:initials="AC">
    <w:p w14:paraId="70A20A73" w14:textId="14440D9F" w:rsidR="00CB3FB0" w:rsidRDefault="00CB3FB0">
      <w:pPr>
        <w:pStyle w:val="CommentText"/>
      </w:pPr>
      <w:r>
        <w:rPr>
          <w:rStyle w:val="CommentReference"/>
        </w:rPr>
        <w:annotationRef/>
      </w:r>
      <w:r>
        <w:t>I don’t like the phrase “promoter regions within 500 bp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149" w:author="Albert Courey" w:date="2015-08-25T15:34:00Z" w:initials="AC">
    <w:p w14:paraId="6E1BC84E" w14:textId="7A9CD644" w:rsidR="00CB3FB0" w:rsidRDefault="00CB3FB0">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Gro is enriched near transcriptional starts and within transcription units, but depleted in intergenic regions. This is somewhat surprising given the view that Gro is a long-range co-repressor. </w:t>
      </w:r>
    </w:p>
  </w:comment>
  <w:comment w:id="150" w:author="Albert Courey" w:date="2015-08-25T15:44:00Z" w:initials="AC">
    <w:p w14:paraId="4EF02F6F" w14:textId="38137125" w:rsidR="00D41A26" w:rsidRDefault="00D41A26">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RNA-seq) are enriched for any particular motifs relative to binding sites for genes that are not associated with regulated genes.  I’m also not sure if the best way to divide the data are by intergenic vs. inside gene. What is the criteria for deciding if a binding site is intergenic (does that mean it’s within the transcribed region?)</w:t>
      </w:r>
    </w:p>
  </w:comment>
  <w:comment w:id="151" w:author="Albert Courey" w:date="2015-08-13T11:47:00Z" w:initials="AC">
    <w:p w14:paraId="206BD1C8" w14:textId="4DCC0AFA" w:rsidR="00CB3FB0" w:rsidRDefault="00CB3FB0">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152" w:author="Albert Courey" w:date="2015-08-25T16:01:00Z" w:initials="AC">
    <w:p w14:paraId="2673BC1D" w14:textId="5FB3F11F" w:rsidR="00264E0A" w:rsidRDefault="00264E0A">
      <w:pPr>
        <w:pStyle w:val="CommentText"/>
      </w:pPr>
      <w:r>
        <w:rPr>
          <w:rStyle w:val="CommentReference"/>
        </w:rPr>
        <w:annotationRef/>
      </w:r>
      <w:r>
        <w:t>What is molecular nature of the mutant allele used to make the LOF embryos? Is it a deletion or a non-sense mutation. If the latter, then is this decrease in transcripts in the LOF due to nonsense mediated decay.</w:t>
      </w:r>
    </w:p>
  </w:comment>
  <w:comment w:id="153" w:author="Albert Courey" w:date="2015-08-25T16:04:00Z" w:initials="AC">
    <w:p w14:paraId="15361864" w14:textId="1D978A91" w:rsidR="00264E0A" w:rsidRDefault="00264E0A">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154" w:author="Albert Courey" w:date="2015-08-13T11:49:00Z" w:initials="AC">
    <w:p w14:paraId="2AA433FB" w14:textId="6582F9B1" w:rsidR="00CB3FB0" w:rsidRDefault="00CB3FB0">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76C3"/>
    <w:rsid w:val="00041DE0"/>
    <w:rsid w:val="000451FA"/>
    <w:rsid w:val="000514F0"/>
    <w:rsid w:val="00056237"/>
    <w:rsid w:val="00062ABD"/>
    <w:rsid w:val="000633C8"/>
    <w:rsid w:val="0006404C"/>
    <w:rsid w:val="00071D1D"/>
    <w:rsid w:val="00091FF8"/>
    <w:rsid w:val="00094D56"/>
    <w:rsid w:val="000A6193"/>
    <w:rsid w:val="000A776F"/>
    <w:rsid w:val="000B3215"/>
    <w:rsid w:val="000B41DA"/>
    <w:rsid w:val="000D2F6D"/>
    <w:rsid w:val="000F37B2"/>
    <w:rsid w:val="000F4492"/>
    <w:rsid w:val="001029DD"/>
    <w:rsid w:val="00112A9C"/>
    <w:rsid w:val="001243BA"/>
    <w:rsid w:val="00125DEA"/>
    <w:rsid w:val="0014086B"/>
    <w:rsid w:val="00156EA1"/>
    <w:rsid w:val="0016503B"/>
    <w:rsid w:val="00170024"/>
    <w:rsid w:val="0017002A"/>
    <w:rsid w:val="00172568"/>
    <w:rsid w:val="00173597"/>
    <w:rsid w:val="0019686A"/>
    <w:rsid w:val="001A137F"/>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43CF0"/>
    <w:rsid w:val="002509E0"/>
    <w:rsid w:val="002563E7"/>
    <w:rsid w:val="00264E0A"/>
    <w:rsid w:val="00275CDA"/>
    <w:rsid w:val="00284E7F"/>
    <w:rsid w:val="002B5B8B"/>
    <w:rsid w:val="002B6AE9"/>
    <w:rsid w:val="002C058C"/>
    <w:rsid w:val="002C0657"/>
    <w:rsid w:val="002E08A6"/>
    <w:rsid w:val="002E3A14"/>
    <w:rsid w:val="002E5109"/>
    <w:rsid w:val="00306543"/>
    <w:rsid w:val="003069E4"/>
    <w:rsid w:val="00326671"/>
    <w:rsid w:val="00327E1B"/>
    <w:rsid w:val="003358B1"/>
    <w:rsid w:val="0035211A"/>
    <w:rsid w:val="003546C5"/>
    <w:rsid w:val="003553D9"/>
    <w:rsid w:val="0035579F"/>
    <w:rsid w:val="00391BC9"/>
    <w:rsid w:val="00396F32"/>
    <w:rsid w:val="003A1A0C"/>
    <w:rsid w:val="003B1728"/>
    <w:rsid w:val="003C0EDF"/>
    <w:rsid w:val="003C259C"/>
    <w:rsid w:val="003D6ECE"/>
    <w:rsid w:val="003E0380"/>
    <w:rsid w:val="003E4050"/>
    <w:rsid w:val="003E4C8C"/>
    <w:rsid w:val="003F10ED"/>
    <w:rsid w:val="00405377"/>
    <w:rsid w:val="00407EF6"/>
    <w:rsid w:val="0041464F"/>
    <w:rsid w:val="004207B2"/>
    <w:rsid w:val="00420B5B"/>
    <w:rsid w:val="004314D5"/>
    <w:rsid w:val="00461586"/>
    <w:rsid w:val="004643B0"/>
    <w:rsid w:val="004822AC"/>
    <w:rsid w:val="004933F0"/>
    <w:rsid w:val="00495D91"/>
    <w:rsid w:val="004A7559"/>
    <w:rsid w:val="004B64AB"/>
    <w:rsid w:val="004C62C0"/>
    <w:rsid w:val="004D243C"/>
    <w:rsid w:val="004D40D9"/>
    <w:rsid w:val="004F0276"/>
    <w:rsid w:val="004F0AF3"/>
    <w:rsid w:val="004F14EE"/>
    <w:rsid w:val="0051034C"/>
    <w:rsid w:val="005230E1"/>
    <w:rsid w:val="005242B2"/>
    <w:rsid w:val="005368F2"/>
    <w:rsid w:val="00540604"/>
    <w:rsid w:val="00543456"/>
    <w:rsid w:val="00550E71"/>
    <w:rsid w:val="00551DEF"/>
    <w:rsid w:val="0055323B"/>
    <w:rsid w:val="0055499D"/>
    <w:rsid w:val="00555693"/>
    <w:rsid w:val="005726D7"/>
    <w:rsid w:val="005774BE"/>
    <w:rsid w:val="00592BBF"/>
    <w:rsid w:val="005A72DA"/>
    <w:rsid w:val="005B535B"/>
    <w:rsid w:val="005C2AB8"/>
    <w:rsid w:val="005C4807"/>
    <w:rsid w:val="005D0256"/>
    <w:rsid w:val="005D1703"/>
    <w:rsid w:val="005D1B49"/>
    <w:rsid w:val="0060322B"/>
    <w:rsid w:val="006063EB"/>
    <w:rsid w:val="0061663A"/>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619C"/>
    <w:rsid w:val="00704DC2"/>
    <w:rsid w:val="00717E3E"/>
    <w:rsid w:val="007263B7"/>
    <w:rsid w:val="00727F5D"/>
    <w:rsid w:val="0073152C"/>
    <w:rsid w:val="00742D23"/>
    <w:rsid w:val="00743AF1"/>
    <w:rsid w:val="0077458B"/>
    <w:rsid w:val="00780FE2"/>
    <w:rsid w:val="00781A3B"/>
    <w:rsid w:val="00781EB7"/>
    <w:rsid w:val="007961E8"/>
    <w:rsid w:val="007A01F5"/>
    <w:rsid w:val="007A1216"/>
    <w:rsid w:val="007A779E"/>
    <w:rsid w:val="007A7FF8"/>
    <w:rsid w:val="007B0590"/>
    <w:rsid w:val="007B05E7"/>
    <w:rsid w:val="007B1C60"/>
    <w:rsid w:val="007B6A08"/>
    <w:rsid w:val="007C33E3"/>
    <w:rsid w:val="007D0A4F"/>
    <w:rsid w:val="007D448A"/>
    <w:rsid w:val="007E0AFD"/>
    <w:rsid w:val="00807AA6"/>
    <w:rsid w:val="00810B6C"/>
    <w:rsid w:val="00811640"/>
    <w:rsid w:val="008160BB"/>
    <w:rsid w:val="00824312"/>
    <w:rsid w:val="00824D9F"/>
    <w:rsid w:val="008428ED"/>
    <w:rsid w:val="00844138"/>
    <w:rsid w:val="00844F7B"/>
    <w:rsid w:val="00864BFE"/>
    <w:rsid w:val="00866555"/>
    <w:rsid w:val="00873A87"/>
    <w:rsid w:val="008754BB"/>
    <w:rsid w:val="00882A36"/>
    <w:rsid w:val="0089157F"/>
    <w:rsid w:val="008A2834"/>
    <w:rsid w:val="008B018F"/>
    <w:rsid w:val="008B050E"/>
    <w:rsid w:val="008B10CF"/>
    <w:rsid w:val="008B77F7"/>
    <w:rsid w:val="008C46AF"/>
    <w:rsid w:val="008C7EA1"/>
    <w:rsid w:val="008D4207"/>
    <w:rsid w:val="008D6626"/>
    <w:rsid w:val="008E3112"/>
    <w:rsid w:val="008F7C1E"/>
    <w:rsid w:val="00903FF8"/>
    <w:rsid w:val="00907157"/>
    <w:rsid w:val="00917E11"/>
    <w:rsid w:val="00921735"/>
    <w:rsid w:val="00927C5A"/>
    <w:rsid w:val="0093515F"/>
    <w:rsid w:val="00943FAB"/>
    <w:rsid w:val="00957C1F"/>
    <w:rsid w:val="00970989"/>
    <w:rsid w:val="00973604"/>
    <w:rsid w:val="00974E74"/>
    <w:rsid w:val="00994A53"/>
    <w:rsid w:val="009A457A"/>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95BC0"/>
    <w:rsid w:val="00AA2523"/>
    <w:rsid w:val="00AB3610"/>
    <w:rsid w:val="00AC2836"/>
    <w:rsid w:val="00AC5D7C"/>
    <w:rsid w:val="00AD14A9"/>
    <w:rsid w:val="00AD5890"/>
    <w:rsid w:val="00AE6E36"/>
    <w:rsid w:val="00AF4F59"/>
    <w:rsid w:val="00B00EF6"/>
    <w:rsid w:val="00B36BCB"/>
    <w:rsid w:val="00B438DD"/>
    <w:rsid w:val="00B570B8"/>
    <w:rsid w:val="00B60E91"/>
    <w:rsid w:val="00B77326"/>
    <w:rsid w:val="00B97924"/>
    <w:rsid w:val="00BA12A8"/>
    <w:rsid w:val="00BA569C"/>
    <w:rsid w:val="00BA7BC7"/>
    <w:rsid w:val="00BC0E7A"/>
    <w:rsid w:val="00BC2982"/>
    <w:rsid w:val="00BC4CE7"/>
    <w:rsid w:val="00BE0C0F"/>
    <w:rsid w:val="00BE1E61"/>
    <w:rsid w:val="00BE570B"/>
    <w:rsid w:val="00BE7AAB"/>
    <w:rsid w:val="00BF4AA0"/>
    <w:rsid w:val="00C106E2"/>
    <w:rsid w:val="00C316C2"/>
    <w:rsid w:val="00C4614F"/>
    <w:rsid w:val="00C4678B"/>
    <w:rsid w:val="00C46D6E"/>
    <w:rsid w:val="00C56855"/>
    <w:rsid w:val="00C66AD0"/>
    <w:rsid w:val="00C77C2F"/>
    <w:rsid w:val="00C91541"/>
    <w:rsid w:val="00C923DA"/>
    <w:rsid w:val="00CA7E4A"/>
    <w:rsid w:val="00CB3FB0"/>
    <w:rsid w:val="00CC067C"/>
    <w:rsid w:val="00CD348D"/>
    <w:rsid w:val="00D007C0"/>
    <w:rsid w:val="00D11037"/>
    <w:rsid w:val="00D13193"/>
    <w:rsid w:val="00D155A5"/>
    <w:rsid w:val="00D174D1"/>
    <w:rsid w:val="00D17E0A"/>
    <w:rsid w:val="00D24DC3"/>
    <w:rsid w:val="00D3227B"/>
    <w:rsid w:val="00D41A26"/>
    <w:rsid w:val="00D53A78"/>
    <w:rsid w:val="00D65F42"/>
    <w:rsid w:val="00D662BF"/>
    <w:rsid w:val="00D74350"/>
    <w:rsid w:val="00D80AD3"/>
    <w:rsid w:val="00D863C5"/>
    <w:rsid w:val="00D8676F"/>
    <w:rsid w:val="00D95401"/>
    <w:rsid w:val="00D97BEB"/>
    <w:rsid w:val="00DA2565"/>
    <w:rsid w:val="00DA7CE5"/>
    <w:rsid w:val="00DB11F5"/>
    <w:rsid w:val="00DB5779"/>
    <w:rsid w:val="00DC538D"/>
    <w:rsid w:val="00DC53DC"/>
    <w:rsid w:val="00DD142F"/>
    <w:rsid w:val="00DD49C1"/>
    <w:rsid w:val="00DE0327"/>
    <w:rsid w:val="00DE77EE"/>
    <w:rsid w:val="00DF7C23"/>
    <w:rsid w:val="00E047A0"/>
    <w:rsid w:val="00E04A56"/>
    <w:rsid w:val="00E0560C"/>
    <w:rsid w:val="00E15708"/>
    <w:rsid w:val="00E30565"/>
    <w:rsid w:val="00E31AE1"/>
    <w:rsid w:val="00E3439D"/>
    <w:rsid w:val="00E408C1"/>
    <w:rsid w:val="00E40A04"/>
    <w:rsid w:val="00E534FE"/>
    <w:rsid w:val="00E55542"/>
    <w:rsid w:val="00E67908"/>
    <w:rsid w:val="00E81819"/>
    <w:rsid w:val="00E86375"/>
    <w:rsid w:val="00E94AB8"/>
    <w:rsid w:val="00EB13DB"/>
    <w:rsid w:val="00EB162A"/>
    <w:rsid w:val="00ED2BD5"/>
    <w:rsid w:val="00EF39B8"/>
    <w:rsid w:val="00EF6429"/>
    <w:rsid w:val="00F034D8"/>
    <w:rsid w:val="00F17D84"/>
    <w:rsid w:val="00F227AE"/>
    <w:rsid w:val="00F51F22"/>
    <w:rsid w:val="00F55887"/>
    <w:rsid w:val="00F6363E"/>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5970"/>
    <w:rsid w:val="00FF68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96D89-B1C8-7B4F-A0F4-6F652484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23</Pages>
  <Words>5792</Words>
  <Characters>33018</Characters>
  <Application>Microsoft Macintosh Word</Application>
  <DocSecurity>0</DocSecurity>
  <Lines>275</Lines>
  <Paragraphs>77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Chapter 2: Groucho activity in the developing embryo</vt:lpstr>
      <vt:lpstr>    Abstract</vt:lpstr>
      <vt:lpstr>    Introduction</vt:lpstr>
      <vt:lpstr>    Materials &amp; Methods</vt:lpstr>
      <vt:lpstr>    </vt:lpstr>
      <vt:lpstr>    Results</vt:lpstr>
      <vt:lpstr>    Discussion</vt:lpstr>
      <vt:lpstr>    References</vt:lpstr>
    </vt:vector>
  </TitlesOfParts>
  <Company>UCLA</Company>
  <LinksUpToDate>false</LinksUpToDate>
  <CharactersWithSpaces>38733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7</cp:revision>
  <cp:lastPrinted>2015-08-19T19:32:00Z</cp:lastPrinted>
  <dcterms:created xsi:type="dcterms:W3CDTF">2015-08-24T19:24:00Z</dcterms:created>
  <dcterms:modified xsi:type="dcterms:W3CDTF">2015-08-29T02:01:00Z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