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3F914424" w:rsidR="005230E1" w:rsidRDefault="00FF5970" w:rsidP="00DF7C23">
      <w:pPr>
        <w:pStyle w:val="Heading1"/>
        <w:spacing w:line="480" w:lineRule="auto"/>
      </w:pPr>
      <w:r>
        <w:t>Chapter X: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r>
        <w:t>Abstract</w:t>
      </w:r>
    </w:p>
    <w:p w14:paraId="07643449" w14:textId="77777777" w:rsidR="00FF5970" w:rsidRDefault="00FF5970"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042D9F70"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As Groucho is maternally deposited, high levels of the transcript are present from the onset of development, allowing Groucho to play a role as</w:t>
      </w:r>
      <w:r w:rsidR="00970989">
        <w:t xml:space="preserve"> one of the earliest available transcription factors </w:t>
      </w:r>
      <w:r w:rsidR="00921735">
        <w:t xml:space="preserve">in the embryo.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A</w:t>
      </w:r>
      <w:r w:rsidR="000A776F">
        <w:t xml:space="preserve">nd, due to Groucho’s highly-connected position in the developmental regulatory network, mutations in </w:t>
      </w:r>
      <w:r w:rsidR="000A776F">
        <w:lastRenderedPageBreak/>
        <w:t xml:space="preserve">the function or regulation of Groucho can result in </w:t>
      </w:r>
      <w:r w:rsidR="00970989">
        <w:t xml:space="preserve">profound </w:t>
      </w:r>
      <w:r w:rsidR="000A776F">
        <w:t>developmental abnormalities and disease.</w:t>
      </w:r>
    </w:p>
    <w:p w14:paraId="2D8925B7" w14:textId="654A4DFF" w:rsidR="001E6EA2"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precisely position Groucho into the </w:t>
      </w:r>
      <w:r w:rsidR="00970989">
        <w:t xml:space="preserve">fly </w:t>
      </w:r>
      <w:r w:rsidR="000A776F">
        <w:t>developmental regulatory network. To this end, we have adopted a multi-</w:t>
      </w:r>
      <w:proofErr w:type="spellStart"/>
      <w:r w:rsidR="000A776F">
        <w:t>omics</w:t>
      </w:r>
      <w:proofErr w:type="spellEnd"/>
      <w:r w:rsidR="000A776F">
        <w:t xml:space="preserve"> approach to identify Groucho target genes with high-confidence and at discrete times in early Drosophila development. </w:t>
      </w:r>
      <w:r w:rsidR="00A138E6">
        <w:t xml:space="preserve">The </w:t>
      </w:r>
      <w:proofErr w:type="spellStart"/>
      <w:r w:rsidR="00A138E6">
        <w:t>timepoints</w:t>
      </w:r>
      <w:proofErr w:type="spellEnd"/>
      <w:r w:rsidR="00A138E6">
        <w:t xml:space="preserve"> used for the analysis were chosen to overlap significant even</w:t>
      </w:r>
      <w:r w:rsidR="00D80AD3">
        <w:t>t</w:t>
      </w:r>
      <w:r w:rsidR="00A138E6">
        <w:t>s in embryonic development that have known Groucho interactions.</w:t>
      </w:r>
      <w:r w:rsidR="00D80AD3">
        <w:t xml:space="preserve"> </w:t>
      </w:r>
    </w:p>
    <w:p w14:paraId="4BAE8734" w14:textId="707F7204" w:rsidR="001E6EA2" w:rsidRDefault="00D80AD3" w:rsidP="00A25B2F">
      <w:pPr>
        <w:spacing w:line="480" w:lineRule="auto"/>
        <w:ind w:firstLine="720"/>
      </w:pPr>
      <w:r>
        <w:t xml:space="preserve">The first timepoint (1.5 – 4 hours post deposition) encompasses </w:t>
      </w:r>
      <w:r w:rsidR="001E6EA2">
        <w:t xml:space="preserve">formation of the syncytial </w:t>
      </w:r>
      <w:proofErr w:type="spellStart"/>
      <w:r w:rsidR="001E6EA2">
        <w:t>blastoderm</w:t>
      </w:r>
      <w:proofErr w:type="spellEnd"/>
      <w:r w:rsidR="001E6EA2">
        <w:t xml:space="preserve"> and subsequent </w:t>
      </w:r>
      <w:proofErr w:type="spellStart"/>
      <w:r w:rsidR="001E6EA2">
        <w:t>cellularization</w:t>
      </w:r>
      <w:proofErr w:type="spellEnd"/>
      <w:r w:rsidR="001E6EA2">
        <w:t>. It is during this stage that the expression patterns of the pair-rule and segment polarity genes (including engrailed, a Groucho interacting TF) are establ</w:t>
      </w:r>
      <w:r w:rsidR="00BC0E7A">
        <w:t xml:space="preserve">ished. </w:t>
      </w:r>
      <w:r w:rsidR="001E6EA2">
        <w:t>The second timepoint (4 – 6.</w:t>
      </w:r>
      <w:r w:rsidR="00BC0E7A">
        <w:t>5 hours) encompasses</w:t>
      </w:r>
      <w:r w:rsidR="00DA2565">
        <w:t xml:space="preserve"> the growth and segmentation of the germ band, including the formation of </w:t>
      </w:r>
      <w:proofErr w:type="spellStart"/>
      <w:r w:rsidR="00DA2565">
        <w:t>neuroblasts</w:t>
      </w:r>
      <w:proofErr w:type="spellEnd"/>
      <w:r w:rsidR="00DA2565">
        <w:t xml:space="preserve">. Timepoint 3 (6.5 – 9 hours) encompasses retraction of the germ band and fusion of the anterior and posterior </w:t>
      </w:r>
      <w:proofErr w:type="spellStart"/>
      <w:r w:rsidR="00DA2565">
        <w:t>midgut</w:t>
      </w:r>
      <w:proofErr w:type="spellEnd"/>
      <w:r w:rsidR="00DA2565">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77777777" w:rsidR="00FF5970" w:rsidRDefault="00FF5970" w:rsidP="00DF7C23">
      <w:pPr>
        <w:spacing w:line="480" w:lineRule="auto"/>
      </w:pP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676550B" w14:textId="57FCA65A" w:rsidR="00DF7C23"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04A93396" w14:textId="77777777" w:rsidR="00DF7C23" w:rsidRDefault="00DF7C23" w:rsidP="00DF7C23">
      <w:pPr>
        <w:spacing w:line="480" w:lineRule="auto"/>
      </w:pPr>
    </w:p>
    <w:p w14:paraId="57A82F30" w14:textId="6A272F0F" w:rsidR="00DB11F5" w:rsidRDefault="00DF7C23" w:rsidP="00DB11F5">
      <w:pPr>
        <w:spacing w:line="480" w:lineRule="auto"/>
        <w:ind w:firstLine="720"/>
      </w:pPr>
      <w:proofErr w:type="spellStart"/>
      <w:r>
        <w:t>ChIP-seq</w:t>
      </w:r>
      <w:proofErr w:type="spellEnd"/>
      <w:r>
        <w:t xml:space="preserve"> was performed in duplicate on fly embryos collected at three </w:t>
      </w:r>
      <w:proofErr w:type="spellStart"/>
      <w:r>
        <w:t>timepoints</w:t>
      </w:r>
      <w:proofErr w:type="spellEnd"/>
      <w:r>
        <w:t xml:space="preserve"> </w:t>
      </w:r>
      <w:r w:rsidR="006433AF">
        <w:t>using</w:t>
      </w:r>
      <w:r>
        <w:t xml:space="preserve"> a</w:t>
      </w:r>
      <w:r w:rsidR="006433AF">
        <w:t>n affinity-purified</w:t>
      </w:r>
      <w:r>
        <w:t xml:space="preserve"> polyclonal Groucho antibody. </w:t>
      </w:r>
      <w:r w:rsidR="006433AF">
        <w:t xml:space="preserve">Sequencing libraries were sequenced to a depth that provided at minimum 5M uniquely </w:t>
      </w:r>
      <w:proofErr w:type="spellStart"/>
      <w:r w:rsidR="006433AF">
        <w:t>mappable</w:t>
      </w:r>
      <w:proofErr w:type="spellEnd"/>
      <w:r w:rsidR="006433AF">
        <w:t xml:space="preserve"> reads, </w:t>
      </w:r>
      <w:r w:rsidR="007A779E">
        <w:t xml:space="preserve">far in excess of the minimum recommended by </w:t>
      </w:r>
      <w:proofErr w:type="spellStart"/>
      <w:r w:rsidR="006433AF">
        <w:t>mo</w:t>
      </w:r>
      <w:r w:rsidR="007A779E">
        <w:t>dENCODE</w:t>
      </w:r>
      <w:proofErr w:type="spellEnd"/>
      <w:r w:rsidR="007A779E">
        <w:t xml:space="preserve"> </w:t>
      </w:r>
      <w:proofErr w:type="spellStart"/>
      <w:r w:rsidR="007A779E">
        <w:t>ChIP-seq</w:t>
      </w:r>
      <w:proofErr w:type="spellEnd"/>
      <w:r w:rsidR="007A779E">
        <w:t xml:space="preserve"> best-</w:t>
      </w:r>
      <w:r w:rsidR="006B5A0E">
        <w:t>practices</w:t>
      </w:r>
      <w:r w:rsidR="007A779E">
        <w:t xml:space="preserve"> (Fig. 2-a//A)</w:t>
      </w:r>
      <w:r w:rsidR="006B5A0E">
        <w:t xml:space="preserve"> </w:t>
      </w:r>
      <w:r w:rsidR="006433AF" w:rsidRPr="006433AF">
        <w:t>{</w:t>
      </w:r>
      <w:proofErr w:type="spellStart"/>
      <w:r w:rsidR="006433AF" w:rsidRPr="006433AF">
        <w:t>Landt</w:t>
      </w:r>
      <w:proofErr w:type="spellEnd"/>
      <w:r w:rsidR="006433AF" w:rsidRPr="006433AF">
        <w:t>, 2012 #308}</w:t>
      </w:r>
      <w:r w:rsidR="006433AF">
        <w:t xml:space="preserve">. </w:t>
      </w:r>
      <w:r w:rsidR="00A002D8">
        <w:t xml:space="preserve">Replicates exhibited high reproducibility in terms of both read density and resulting peak models. (Fig. 2-a//B, left and right, respectively). </w:t>
      </w:r>
      <w:r>
        <w:t>Peak modeling identified widespread Groucho binding throughout the genome</w:t>
      </w:r>
      <w:r w:rsidR="00A002D8">
        <w:t xml:space="preserve">; peaks with overlapping regions between replicates were chosen for further analysis </w:t>
      </w:r>
      <w:r w:rsidR="007A779E">
        <w:t>(Fig. 2-b</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D155A5">
        <w:t xml:space="preserve"> Groucho at all </w:t>
      </w:r>
      <w:proofErr w:type="spellStart"/>
      <w:r w:rsidR="00D155A5">
        <w:t>timepoints</w:t>
      </w:r>
      <w:proofErr w:type="spellEnd"/>
      <w:r w:rsidR="00D863C5">
        <w:t xml:space="preserve">, and therefore potentially participating in Grouch-mediated repression in at least one cell type or tissue throughout </w:t>
      </w:r>
      <w:r w:rsidR="001029DD">
        <w:t>the developmental timeframe analyzed</w:t>
      </w:r>
      <w:r w:rsidR="0089157F">
        <w:t xml:space="preserve"> (Fig 2-c)</w:t>
      </w:r>
      <w:r w:rsidR="00D863C5">
        <w:t>.</w:t>
      </w:r>
    </w:p>
    <w:p w14:paraId="7E19F558" w14:textId="2743CCCA"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 xml:space="preserve">some Groucho binding sites are utilized throughout early development. Interestingly, no sites are occupied in only the first and third </w:t>
      </w:r>
      <w:proofErr w:type="spellStart"/>
      <w:r w:rsidR="005726D7">
        <w:t>timepoints</w:t>
      </w:r>
      <w:proofErr w:type="spellEnd"/>
      <w:r w:rsidR="005726D7">
        <w:t xml:space="preserve">, indicating that Groucho occupied sites during the first timepoint tend to either be utilized at all </w:t>
      </w:r>
      <w:proofErr w:type="spellStart"/>
      <w:r w:rsidR="005726D7">
        <w:t>timepoints</w:t>
      </w:r>
      <w:proofErr w:type="spellEnd"/>
      <w:r w:rsidR="005726D7">
        <w:t xml:space="preserve">, or are only utilized very early in development and not utilized again. </w:t>
      </w:r>
    </w:p>
    <w:p w14:paraId="5B91A954" w14:textId="77777777" w:rsidR="00DB11F5" w:rsidRDefault="00DB11F5" w:rsidP="00DB11F5">
      <w:pPr>
        <w:spacing w:line="480" w:lineRule="auto"/>
      </w:pPr>
    </w:p>
    <w:p w14:paraId="56961FFB" w14:textId="763F2ABB" w:rsid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7CF3D4BE" w14:textId="77777777" w:rsidR="00275CDA" w:rsidRPr="00DB11F5" w:rsidRDefault="00275CDA" w:rsidP="00DB11F5">
      <w:pPr>
        <w:spacing w:line="480" w:lineRule="auto"/>
        <w:rPr>
          <w:i/>
        </w:rPr>
      </w:pPr>
    </w:p>
    <w:p w14:paraId="3A9DF1C0" w14:textId="50775901" w:rsidR="0051034C" w:rsidRDefault="00DB11F5" w:rsidP="00A25B2F">
      <w:pPr>
        <w:spacing w:line="480" w:lineRule="auto"/>
        <w:ind w:firstLine="720"/>
      </w:pPr>
      <w:r>
        <w:t xml:space="preserve">Groucho binding regions </w:t>
      </w:r>
      <w:r w:rsidR="00275CDA">
        <w:t>are</w:t>
      </w:r>
      <w:r>
        <w:t xml:space="preserve"> associated with a smaller number of genes (Fig. 2-d//A), due to the tendency of Groucho to localize to multiple regions around its potential targets. </w:t>
      </w:r>
      <w:r w:rsidR="005726D7">
        <w:t>H</w:t>
      </w:r>
      <w:r>
        <w:t>alf of all Grouch-associated genes have two or more Groucho peaks in relative proximity (Fig. 2-d//B).</w:t>
      </w:r>
      <w:r w:rsidR="005726D7">
        <w:t xml:space="preserve"> These peaks have median widths in the 500 – 700 </w:t>
      </w:r>
      <w:proofErr w:type="spellStart"/>
      <w:r w:rsidR="005726D7">
        <w:t>bp</w:t>
      </w:r>
      <w:proofErr w:type="spellEnd"/>
      <w:r w:rsidR="005726D7">
        <w:t xml:space="preserve"> range, indicative of point source peak, as commonly seen for sequence-specific transcription factors, rather than the broad peaks typical of polymeric factors or histone </w:t>
      </w:r>
      <w:r w:rsidR="005368F2">
        <w:t xml:space="preserve">marks. However, at all three </w:t>
      </w:r>
      <w:proofErr w:type="spellStart"/>
      <w:r w:rsidR="005368F2">
        <w:t>timepoints</w:t>
      </w:r>
      <w:proofErr w:type="spellEnd"/>
      <w:r w:rsidR="005368F2">
        <w:t>,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 peak widths slightly increase at later </w:t>
      </w:r>
      <w:proofErr w:type="spellStart"/>
      <w:r w:rsidR="00E04A56">
        <w:t>timepoints</w:t>
      </w:r>
      <w:proofErr w:type="spellEnd"/>
      <w:r w:rsidR="00E04A56">
        <w:t>, though whether this is indicative of a time-dependent change in the way Groucho interacts with chromatin, or slight differences in library composition, is unclear.</w:t>
      </w:r>
    </w:p>
    <w:p w14:paraId="35DB4B4C" w14:textId="21FA8B93" w:rsidR="00A54005" w:rsidRDefault="00A54005" w:rsidP="00A25B2F">
      <w:pPr>
        <w:spacing w:line="480" w:lineRule="auto"/>
        <w:ind w:firstLine="720"/>
      </w:pPr>
      <w:r>
        <w:t xml:space="preserve">Groucho binding is enriched in </w:t>
      </w:r>
      <w:r w:rsidR="008E3112">
        <w:t xml:space="preserve">promoter regions within 500bp of transcription start sites (Fig. 2-e//A).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show neither depletion 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C77C2F">
        <w:t>{</w:t>
      </w:r>
      <w:proofErr w:type="spellStart"/>
      <w:r w:rsidR="00C77C2F">
        <w:t>Dubnicoff</w:t>
      </w:r>
      <w:proofErr w:type="spellEnd"/>
      <w:r w:rsidR="00C77C2F">
        <w:t>, 1997 #2366}</w:t>
      </w:r>
      <w:r w:rsidR="00C77C2F" w:rsidRPr="00C77C2F">
        <w:t xml:space="preserve"> </w:t>
      </w:r>
      <w:r w:rsidR="00C77C2F">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C77C2F">
        <w:t>{</w:t>
      </w:r>
      <w:proofErr w:type="spellStart"/>
      <w:r w:rsidR="00C77C2F">
        <w:t>Payankaulam</w:t>
      </w:r>
      <w:proofErr w:type="spellEnd"/>
      <w:r w:rsidR="00C77C2F">
        <w:t>, 2009 #2955}</w:t>
      </w:r>
      <w:r w:rsidR="0016503B">
        <w:t>. Our data</w:t>
      </w:r>
      <w:r w:rsidR="008E3112">
        <w:t xml:space="preserve"> indicates that it preferentially associates near TSSs and within genes.</w:t>
      </w:r>
      <w:r w:rsidR="00170024">
        <w:t xml:space="preserve"> Groucho sites exhibit a strong preference for binding within genes, with approximately 50% of peaks occurring within gene bodies across all </w:t>
      </w:r>
      <w:proofErr w:type="spellStart"/>
      <w:r w:rsidR="00170024">
        <w:t>timepoints</w:t>
      </w:r>
      <w:proofErr w:type="spellEnd"/>
      <w:r w:rsidR="00170024">
        <w:t xml:space="preserve"> (Fig. 2-e//B). A small fraction of binding overlaps start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2F657041"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E04A56">
        <w:t xml:space="preserve"> (Fig. 2-g//A)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w:t>
      </w:r>
      <w:proofErr w:type="spellStart"/>
      <w:r w:rsidR="00FA6064">
        <w:t>Bradnam</w:t>
      </w:r>
      <w:proofErr w:type="spellEnd"/>
      <w:r w:rsidR="00FA6064">
        <w:t>, 2008 #3034}.</w:t>
      </w:r>
    </w:p>
    <w:p w14:paraId="4AE7A489" w14:textId="5C9B2631"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enhancer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 the surround chromatin, is not known.</w:t>
      </w:r>
    </w:p>
    <w:p w14:paraId="32C6AA8E" w14:textId="14659812" w:rsidR="00062ABD" w:rsidRPr="00062ABD" w:rsidRDefault="002031D7" w:rsidP="00062ABD">
      <w:pPr>
        <w:spacing w:line="480" w:lineRule="auto"/>
        <w:ind w:firstLine="720"/>
      </w:pPr>
      <w:r>
        <w:t xml:space="preserve">Motif analysis of the intronic Groucho recruitment sites </w:t>
      </w:r>
      <w:r w:rsidR="000F37B2">
        <w:t>identifies a small number of transcription factor biding motifs enriched at each timepoint, including some know Groucho-associated factors,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062ABD">
        <w:t xml:space="preserve"> (pnr)</w:t>
      </w:r>
      <w:bookmarkStart w:id="0" w:name="_GoBack"/>
      <w:bookmarkEnd w:id="0"/>
      <w:r w:rsidR="00062ABD">
        <w:t xml:space="preserve">, and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AB7C1B7" w14:textId="77777777" w:rsidR="00645F6F" w:rsidRPr="00C316C2" w:rsidRDefault="004C62C0" w:rsidP="00DF7C23">
      <w:pPr>
        <w:spacing w:line="480" w:lineRule="auto"/>
        <w:rPr>
          <w:i/>
        </w:rPr>
      </w:pPr>
      <w:r w:rsidRPr="00C316C2">
        <w:rPr>
          <w:i/>
        </w:rPr>
        <w:t>Identification of Groucho Targets by Developmental Stage</w:t>
      </w:r>
    </w:p>
    <w:p w14:paraId="4B17F8B9" w14:textId="77777777" w:rsidR="00C56855" w:rsidRDefault="00C56855" w:rsidP="00DF7C23">
      <w:pPr>
        <w:spacing w:line="480" w:lineRule="auto"/>
      </w:pPr>
    </w:p>
    <w:p w14:paraId="155F22AB" w14:textId="7FEFEBBA" w:rsidR="00A30785" w:rsidRDefault="00F85351" w:rsidP="009D28D1">
      <w:pPr>
        <w:spacing w:line="480" w:lineRule="auto"/>
        <w:ind w:firstLine="720"/>
      </w:pPr>
      <w:r>
        <w:t xml:space="preserve">While </w:t>
      </w:r>
      <w:proofErr w:type="spellStart"/>
      <w:r>
        <w:t>ChIP-seq</w:t>
      </w:r>
      <w:proofErr w:type="spellEnd"/>
      <w:r>
        <w:t xml:space="preserve"> provides a genome-wide picture of how Groucho is associated with various genes, and how these dynamics change over time, it is does not provide evidence that Grouc</w:t>
      </w:r>
      <w:r w:rsidR="00631114">
        <w:t>ho is actively involved in regulating</w:t>
      </w:r>
      <w:r>
        <w:t xml:space="preserve"> the expression of </w:t>
      </w:r>
      <w:r w:rsidR="00631114">
        <w:t xml:space="preserve">those </w:t>
      </w:r>
      <w:r>
        <w:t xml:space="preserve">genes it is binding within or adjacent to. The </w:t>
      </w:r>
      <w:r w:rsidR="00326671">
        <w:t xml:space="preserve">accurate </w:t>
      </w:r>
      <w:r>
        <w:t xml:space="preserve">assignment of </w:t>
      </w:r>
      <w:r w:rsidR="00326671">
        <w:t xml:space="preserve">a binding region detected by </w:t>
      </w:r>
      <w:proofErr w:type="spellStart"/>
      <w:r w:rsidR="00326671">
        <w:t>ChIP-seq</w:t>
      </w:r>
      <w:proofErr w:type="spellEnd"/>
      <w:r>
        <w:t xml:space="preserve"> to a </w:t>
      </w:r>
      <w:r w:rsidR="00326671">
        <w:t>specific regulatory target (or targets)</w:t>
      </w:r>
      <w:r>
        <w:t xml:space="preserve"> is a long standing problem in these types of binding studies; a problem that becomes even more significant when considering enhancer-binding factors, as genomic complexity often makes assignment of </w:t>
      </w:r>
      <w:r w:rsidR="00326671">
        <w:t>enhancer/gene interactions</w:t>
      </w:r>
      <w:r>
        <w:t xml:space="preserve"> uncertain. </w:t>
      </w:r>
      <w:r w:rsidR="00631114">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Gro∆SP</w:t>
      </w:r>
      <w:proofErr w:type="spellEnd"/>
      <w:r w:rsidR="009D5C49">
        <w:t>)</w:t>
      </w:r>
      <w:r w:rsidR="00A30785">
        <w:t xml:space="preserve">. Additionally, we analyzed the transcriptome of embryos </w:t>
      </w:r>
      <w:r w:rsidR="00555693">
        <w:t xml:space="preserve">lacking maternally-contributed </w:t>
      </w:r>
      <w:r w:rsidR="009D5C49">
        <w:t xml:space="preserve">functional </w:t>
      </w:r>
      <w:r w:rsidR="00A51973">
        <w:t xml:space="preserve">Groucho. These embryos </w:t>
      </w:r>
      <w:r w:rsidR="009D28D1">
        <w:t>possess</w:t>
      </w:r>
      <w:r w:rsidR="009D5C49">
        <w:t xml:space="preserve"> a severely truncated and non-functional form of Groucho.</w:t>
      </w:r>
    </w:p>
    <w:p w14:paraId="206C37C0" w14:textId="72944245" w:rsidR="009D5C49" w:rsidRPr="00742D23" w:rsidRDefault="009D5C49" w:rsidP="009D28D1">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7D448A" w:rsidRPr="00DF7C23">
        <w:t xml:space="preserve"> 2-k</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timepoint</w:t>
      </w:r>
      <w:r w:rsidR="004643B0">
        <w:t>. As Groucho is known to restrict the expression patterns of several transcription factors (including tailless and</w:t>
      </w:r>
      <w:r w:rsidR="00E67908">
        <w:t xml:space="preserve"> </w:t>
      </w:r>
      <w:proofErr w:type="spellStart"/>
      <w:r w:rsidR="00E67908">
        <w:t>huckebein</w:t>
      </w:r>
      <w:proofErr w:type="spellEnd"/>
      <w:r w:rsidR="00E67908">
        <w:t>),</w:t>
      </w:r>
      <w:r w:rsidR="004643B0">
        <w:t xml:space="preserve"> it is suspected that many of these </w:t>
      </w:r>
      <w:r w:rsidR="00ED2BD5">
        <w:t>potential</w:t>
      </w:r>
      <w:r w:rsidR="004643B0">
        <w:t xml:space="preserve"> Groucho targets are secondary targets of Groucho and are not regulated by</w:t>
      </w:r>
      <w:r w:rsidR="00FE0377">
        <w:t xml:space="preserve"> direct</w:t>
      </w:r>
      <w:r w:rsidR="004643B0">
        <w:t xml:space="preserve"> Groucho occupancy of their enhancer regions.</w:t>
      </w:r>
    </w:p>
    <w:p w14:paraId="79578B1E" w14:textId="77777777" w:rsidR="00742D23" w:rsidRDefault="00742D23" w:rsidP="00DF7C23">
      <w:pPr>
        <w:spacing w:line="480" w:lineRule="auto"/>
      </w:pPr>
    </w:p>
    <w:p w14:paraId="03CB6574" w14:textId="5FDC1008" w:rsidR="009D5C49" w:rsidRDefault="009D5C49" w:rsidP="00DF7C23">
      <w:pPr>
        <w:spacing w:line="480" w:lineRule="auto"/>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0514F0">
        <w:fldChar w:fldCharType="begin"/>
      </w:r>
      <w:r w:rsidR="002E08A6">
        <w:instrText xml:space="preserve"> ADDIN PAPERS2_CITATIONS &lt;citation&gt;&lt;uuid&gt;D365F4FE-8131-41FC-B5A4-B7C2DAF77CDC&lt;/uuid&gt;&lt;priority&gt;0&lt;/priority&gt;&lt;publications&gt;&lt;publication&gt;&lt;uuid&gt;CC60C8A9-C023-4F30-AC53-E88E67B12FF0&lt;/uuid&gt;&lt;volume&gt;13&lt;/volume&gt;&lt;doi&gt;10.1016/j.cmet.2011.02.014&lt;/doi&gt;&lt;startpage&gt;413&lt;/startpage&gt;&lt;publication_date&gt;99201104061200000000222000&lt;/publication_date&gt;&lt;url&gt;http://dx.doi.org/10.1016/j.cmet.2011.02.014&lt;/url&gt;&lt;type&gt;400&lt;/type&gt;&lt;title&gt;TLE3 Is a Dual-Function Transcriptional Coregulator of Adipogenesis&lt;/title&gt;&lt;publisher&gt;Elsevier Inc.&lt;/publisher&gt;&lt;number&gt;4&lt;/number&gt;&lt;subtype&gt;400&lt;/subtype&gt;&lt;endpage&gt;427&lt;/endpage&gt;&lt;bundle&gt;&lt;publication&gt;&lt;publisher&gt;Elsevier Inc.&lt;/publisher&gt;&lt;title&gt;Cell Metabolism&lt;/title&gt;&lt;type&gt;-100&lt;/type&gt;&lt;subtype&gt;-100&lt;/subtype&gt;&lt;uuid&gt;87CC1FD8-15F2-4E73-AC6C-4D32AE25652A&lt;/uuid&gt;&lt;/publication&gt;&lt;/bundle&gt;&lt;authors&gt;&lt;author&gt;&lt;firstName&gt;Claudio&lt;/firstName&gt;&lt;middleNames&gt;J&lt;/middleNames&gt;&lt;lastName&gt;Villanueva&lt;/lastName&gt;&lt;/author&gt;&lt;author&gt;&lt;firstName&gt;Hironori&lt;/firstName&gt;&lt;lastName&gt;Waki&lt;/lastName&gt;&lt;/author&gt;&lt;author&gt;&lt;firstName&gt;Cristina&lt;/firstName&gt;&lt;lastName&gt;Godio&lt;/lastName&gt;&lt;/author&gt;&lt;author&gt;&lt;firstName&gt;Ronni&lt;/firstName&gt;&lt;lastName&gt;Nielsen&lt;/lastName&gt;&lt;/author&gt;&lt;author&gt;&lt;firstName&gt;Wen-Ling&lt;/firstName&gt;&lt;lastName&gt;Chou&lt;/lastName&gt;&lt;/author&gt;&lt;author&gt;&lt;firstName&gt;Leo&lt;/firstName&gt;&lt;lastName&gt;Vargas&lt;/lastName&gt;&lt;/author&gt;&lt;author&gt;&lt;firstName&gt;Kevin&lt;/firstName&gt;&lt;lastName&gt;Wroblewski&lt;/lastName&gt;&lt;/author&gt;&lt;author&gt;&lt;firstName&gt;Christian&lt;/firstName&gt;&lt;lastName&gt;Schmedt&lt;/lastName&gt;&lt;/author&gt;&lt;author&gt;&lt;firstName&gt;Lily&lt;/firstName&gt;&lt;middleNames&gt;C&lt;/middleNames&gt;&lt;lastName&gt;Chao&lt;/lastName&gt;&lt;/author&gt;&lt;author&gt;&lt;firstName&gt;Rima&lt;/firstName&gt;&lt;lastName&gt;Boyadjian&lt;/lastName&gt;&lt;/author&gt;&lt;author&gt;&lt;firstName&gt;Susanne&lt;/firstName&gt;&lt;lastName&gt;Mandrup&lt;/lastName&gt;&lt;/author&gt;&lt;author&gt;&lt;firstName&gt;Andrea&lt;/firstName&gt;&lt;lastName&gt;Hevener&lt;/lastName&gt;&lt;/author&gt;&lt;author&gt;&lt;firstName&gt;Enrique&lt;/firstName&gt;&lt;lastName&gt;Saez&lt;/lastName&gt;&lt;/author&gt;&lt;author&gt;&lt;firstName&gt;Peter&lt;/firstName&gt;&lt;lastName&gt;Tontonoz&lt;/lastName&gt;&lt;/author&gt;&lt;/authors&gt;&lt;/publication&gt;&lt;/publications&gt;&lt;cites&gt;&lt;/cites&gt;&lt;/citation&gt;</w:instrText>
      </w:r>
      <w:r w:rsidR="000514F0">
        <w:fldChar w:fldCharType="separate"/>
      </w:r>
      <w:r w:rsidR="000B3215">
        <w:rPr>
          <w:rFonts w:ascii="Cambria" w:hAnsi="Cambria" w:cs="Cambria"/>
        </w:rPr>
        <w:t>{Villanueva:2011ff}</w:t>
      </w:r>
      <w:r w:rsidR="000514F0">
        <w:fldChar w:fldCharType="end"/>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0514F0">
        <w:fldChar w:fldCharType="begin"/>
      </w:r>
      <w:r w:rsidR="002E08A6">
        <w:instrText xml:space="preserve"> ADDIN PAPERS2_CITATIONS &lt;citation&gt;&lt;uuid&gt;120A6536-D8C9-4C6E-80F2-5CB9DEE5AB27&lt;/uuid&gt;&lt;priority&gt;1&lt;/priority&gt;&lt;publications&gt;&lt;publication&gt;&lt;uuid&gt;FD4D98ED-C2DE-41CD-BD74-21B68E7CB9A4&lt;/uuid&gt;&lt;volume&gt;30&lt;/volume&gt;&lt;doi&gt;10.1038/emboj.2011.100&lt;/doi&gt;&lt;startpage&gt;2031&lt;/startpage&gt;&lt;publication_date&gt;99201104051200000000222000&lt;/publication_date&gt;&lt;url&gt;http://dx.doi.org/10.1038/emboj.2011.100&lt;/url&gt;&lt;type&gt;400&lt;/type&gt;&lt;title&gt;The oligomeric state of CtBP determines its role as a transcriptional co-activator and co-repressor of Wingless targets&lt;/title&gt;&lt;publisher&gt;Nature Publishing Group&lt;/publisher&gt;&lt;number&gt;10&lt;/number&gt;&lt;subtype&gt;400&lt;/subtype&gt;&lt;endpage&gt;2043&lt;/endpage&gt;&lt;bundle&gt;&lt;publication&gt;&lt;publisher&gt;Nature Publishing Group&lt;/publisher&gt;&lt;url&gt;http://www.nature.com/emboj/&lt;/url&gt;&lt;title&gt;The EMBO Journal&lt;/title&gt;&lt;type&gt;-100&lt;/type&gt;&lt;subtype&gt;-100&lt;/subtype&gt;&lt;uuid&gt;838DA89D-C445-45C6-9D90-1A8B8915018A&lt;/uuid&gt;&lt;/publication&gt;&lt;/bundle&gt;&lt;authors&gt;&lt;author&gt;&lt;firstName&gt;Chandan&lt;/firstName&gt;&lt;lastName&gt;Bhambhani&lt;/lastName&gt;&lt;/author&gt;&lt;author&gt;&lt;firstName&gt;Jinhee&lt;/firstName&gt;&lt;middleNames&gt;L&lt;/middleNames&gt;&lt;lastName&gt;Chang&lt;/lastName&gt;&lt;/author&gt;&lt;author&gt;&lt;firstName&gt;David&lt;/firstName&gt;&lt;middleNames&gt;L&lt;/middleNames&gt;&lt;lastName&gt;Akey&lt;/lastName&gt;&lt;/author&gt;&lt;author&gt;&lt;firstName&gt;Ken&lt;/firstName&gt;&lt;middleNames&gt;M&lt;/middleNames&gt;&lt;lastName&gt;Cadigan&lt;/lastName&gt;&lt;/author&gt;&lt;/authors&gt;&lt;/publication&gt;&lt;/publications&gt;&lt;cites&gt;&lt;/cites&gt;&lt;/citation&gt;</w:instrText>
      </w:r>
      <w:r w:rsidR="000514F0">
        <w:fldChar w:fldCharType="separate"/>
      </w:r>
      <w:r w:rsidR="000B3215">
        <w:rPr>
          <w:rFonts w:ascii="Cambria" w:hAnsi="Cambria" w:cs="Cambria"/>
        </w:rPr>
        <w:t>{Bhambhani:2011je}</w:t>
      </w:r>
      <w:r w:rsidR="000514F0">
        <w:fldChar w:fldCharType="end"/>
      </w:r>
      <w:r w:rsidR="000514F0">
        <w:t>.</w:t>
      </w:r>
    </w:p>
    <w:p w14:paraId="7C96ADAA" w14:textId="77777777" w:rsidR="008C46AF" w:rsidRDefault="008C46AF" w:rsidP="00DF7C23">
      <w:pPr>
        <w:spacing w:line="480" w:lineRule="auto"/>
      </w:pPr>
    </w:p>
    <w:p w14:paraId="7DC1B77C" w14:textId="2575DF0F" w:rsidR="00A30785" w:rsidRDefault="008C46AF" w:rsidP="00DF7C23">
      <w:pPr>
        <w:spacing w:line="480" w:lineRule="auto"/>
      </w:pPr>
      <w:r>
        <w:t xml:space="preserve">To identify primary targets of Groucho at each timepoint, we compared differential gene expression of every expressed gene under conditions of Groucho overexpression versus Groucho null. Genes which show an opposite magnitude change in expression under the two conditions were then considered for further analysis. </w:t>
      </w:r>
      <w:r w:rsidR="003E0380">
        <w:t xml:space="preserve">At early </w:t>
      </w:r>
      <w:proofErr w:type="spellStart"/>
      <w:r w:rsidR="003E0380">
        <w:t>timepoints</w:t>
      </w:r>
      <w:proofErr w:type="spellEnd"/>
      <w:r w:rsidR="003E0380">
        <w:t>, a</w:t>
      </w:r>
      <w:r w:rsidR="00661362">
        <w:t xml:space="preserve"> greater percentage of genes appear to be repressed by Groucho than activated, with this trend reversing with increasing age.</w:t>
      </w:r>
      <w:r w:rsidR="008D6626">
        <w:t xml:space="preserve"> </w:t>
      </w:r>
      <w:r w:rsidR="000B41DA">
        <w:t>(</w:t>
      </w:r>
      <w:r w:rsidR="000B41DA">
        <w:rPr>
          <w:i/>
        </w:rPr>
        <w:t xml:space="preserve">Fig : </w:t>
      </w:r>
      <w:proofErr w:type="spellStart"/>
      <w:r w:rsidR="000B41DA">
        <w:rPr>
          <w:i/>
        </w:rPr>
        <w:t>heatmap</w:t>
      </w:r>
      <w:proofErr w:type="spellEnd"/>
      <w:r w:rsidR="000B41DA">
        <w:rPr>
          <w:i/>
        </w:rPr>
        <w:t xml:space="preserve"> of selected gene expression changes in </w:t>
      </w:r>
      <w:proofErr w:type="spellStart"/>
      <w:r w:rsidR="000B41DA">
        <w:rPr>
          <w:i/>
        </w:rPr>
        <w:t>Gro</w:t>
      </w:r>
      <w:proofErr w:type="spellEnd"/>
      <w:r w:rsidR="000B41DA">
        <w:rPr>
          <w:i/>
        </w:rPr>
        <w:t xml:space="preserve"> MB36 embryos) </w:t>
      </w:r>
      <w:r w:rsidR="008D6626">
        <w:t xml:space="preserve">The significantly enriched gene ontology groups for predicted Groucho-repressed genes (n = 162) contain several groups indicative of transcription regulation (GO:0006355, n = 37) and developmental processes (GO:0032502, n = 81). </w:t>
      </w:r>
      <w:r w:rsidR="000B41DA">
        <w:t>(</w:t>
      </w:r>
      <w:r w:rsidR="000B41DA">
        <w:rPr>
          <w:i/>
        </w:rPr>
        <w:t xml:space="preserve">Fig: GO groups) </w:t>
      </w:r>
      <w:r w:rsidR="008D6626">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rsidR="008D6626">
        <w:t xml:space="preserve"> and do not represent direct Groucho targets.</w:t>
      </w:r>
    </w:p>
    <w:p w14:paraId="275DF794" w14:textId="77777777" w:rsidR="0035211A" w:rsidRDefault="0035211A" w:rsidP="00DF7C23">
      <w:pPr>
        <w:spacing w:line="480" w:lineRule="auto"/>
      </w:pPr>
    </w:p>
    <w:p w14:paraId="065CDE8E" w14:textId="5A797B85" w:rsidR="003F10ED" w:rsidRDefault="003F10ED" w:rsidP="00DF7C23">
      <w:pPr>
        <w:spacing w:line="480" w:lineRule="auto"/>
        <w:rPr>
          <w:i/>
        </w:rPr>
      </w:pPr>
      <w:r>
        <w:rPr>
          <w:i/>
        </w:rPr>
        <w:t xml:space="preserve">Total mRNA levels correlate well with nascent mRNA levels at all </w:t>
      </w:r>
      <w:proofErr w:type="spellStart"/>
      <w:r>
        <w:rPr>
          <w:i/>
        </w:rPr>
        <w:t>timepoints</w:t>
      </w:r>
      <w:proofErr w:type="spellEnd"/>
      <w:r>
        <w:rPr>
          <w:i/>
        </w:rPr>
        <w:t xml:space="preserve"> </w:t>
      </w:r>
    </w:p>
    <w:p w14:paraId="33D294C6" w14:textId="77777777" w:rsidR="003F10ED" w:rsidRDefault="003F10ED" w:rsidP="00DF7C23">
      <w:pPr>
        <w:spacing w:line="480" w:lineRule="auto"/>
      </w:pPr>
    </w:p>
    <w:p w14:paraId="5F2A32FD" w14:textId="73002353" w:rsidR="00C923DA" w:rsidRDefault="00D11037" w:rsidP="00DF7C23">
      <w:pPr>
        <w:spacing w:line="480" w:lineRule="auto"/>
      </w:pPr>
      <w:r>
        <w:t>As embryos at the stages utilized for transcriptome measurements are highly dynamic systems, with rapidly fluctuating levels of transcripts, we used Nascent-</w:t>
      </w:r>
      <w:proofErr w:type="spellStart"/>
      <w:r>
        <w:t>seq</w:t>
      </w:r>
      <w:proofErr w:type="spellEnd"/>
      <w:r>
        <w:t xml:space="preserve"> to confirm that the transcriptome measurements were indicative of actual transcription rates, and not overwhelmed by the various contributions of maternal mRNA contribution or differential rates of mRNA maturation and degradation.</w:t>
      </w:r>
      <w:r w:rsidR="000D2F6D">
        <w:t xml:space="preserve"> Sequencing of nascent RNA has been utilized to monitor fluctuating mRNA levels, for example following induction of an immune response in cell culture</w:t>
      </w:r>
      <w:r w:rsidR="003E4C8C">
        <w:t>{Bhatt, 2012 #2995}</w:t>
      </w:r>
      <w:r w:rsidR="000D2F6D">
        <w:t xml:space="preserve">. In </w:t>
      </w:r>
      <w:r w:rsidR="000D2F6D" w:rsidRPr="00327E1B">
        <w:rPr>
          <w:i/>
        </w:rPr>
        <w:t>Drosophila</w:t>
      </w:r>
      <w:r w:rsidR="000D2F6D">
        <w:t xml:space="preserve">, </w:t>
      </w:r>
      <w:r w:rsidR="00327E1B">
        <w:t>nascent-</w:t>
      </w:r>
      <w:proofErr w:type="spellStart"/>
      <w:r w:rsidR="00327E1B">
        <w:t>seq</w:t>
      </w:r>
      <w:proofErr w:type="spellEnd"/>
      <w:r w:rsidR="00327E1B">
        <w:t xml:space="preserve"> has been used to monitor </w:t>
      </w:r>
      <w:proofErr w:type="spellStart"/>
      <w:r w:rsidR="00327E1B">
        <w:t>cotranscriptional</w:t>
      </w:r>
      <w:proofErr w:type="spellEnd"/>
      <w:r w:rsidR="00327E1B">
        <w:t xml:space="preserve"> splicing in adult flies</w:t>
      </w:r>
      <w:r w:rsidR="003E4C8C">
        <w:t>{</w:t>
      </w:r>
      <w:proofErr w:type="spellStart"/>
      <w:r w:rsidR="003E4C8C">
        <w:t>Khodor</w:t>
      </w:r>
      <w:proofErr w:type="spellEnd"/>
      <w:r w:rsidR="003E4C8C">
        <w:t>, 2011 #2081}</w:t>
      </w:r>
      <w:r w:rsidR="00327E1B">
        <w:t>, as well as circadian transcript cycling</w:t>
      </w:r>
      <w:r w:rsidR="005D1703">
        <w:t>{Rodriguez, 2013 #1782}</w:t>
      </w:r>
      <w:r w:rsidR="00327E1B">
        <w:t>, in which the authors saw significant differences in total mRNA and nascent mRNA levels over ninety minute collections.</w:t>
      </w:r>
    </w:p>
    <w:p w14:paraId="379F767C" w14:textId="77777777" w:rsidR="00C923DA" w:rsidRDefault="00C923DA" w:rsidP="00DF7C23">
      <w:pPr>
        <w:spacing w:line="480" w:lineRule="auto"/>
      </w:pPr>
    </w:p>
    <w:p w14:paraId="17D06021" w14:textId="280FB1ED" w:rsidR="00D11037" w:rsidRPr="00C923DA" w:rsidRDefault="000D2F6D" w:rsidP="00DF7C23">
      <w:pPr>
        <w:spacing w:line="480" w:lineRule="auto"/>
      </w:pPr>
      <w:r w:rsidRPr="000D2F6D">
        <w:t>Embryos</w:t>
      </w:r>
      <w:r>
        <w:t xml:space="preserve"> were collected at </w:t>
      </w:r>
      <w:r w:rsidR="00C923DA">
        <w:t xml:space="preserve">each timepoint and fractionated </w:t>
      </w:r>
      <w:r>
        <w:t xml:space="preserve">to isolate chromatin-associated RNA, which is enriched for nascent transcripts. </w:t>
      </w:r>
      <w:r w:rsidR="00C923DA">
        <w:t xml:space="preserve"> Efficient fractionation was confirmed by </w:t>
      </w:r>
      <w:proofErr w:type="spellStart"/>
      <w:r w:rsidR="00C923DA">
        <w:t>immunobloting</w:t>
      </w:r>
      <w:proofErr w:type="spellEnd"/>
      <w:r w:rsidR="00C923DA">
        <w:t xml:space="preserve"> for cytoplasmic and nuclear components (</w:t>
      </w:r>
      <w:r w:rsidR="00C923DA">
        <w:rPr>
          <w:i/>
        </w:rPr>
        <w:t>Supplemental figure</w:t>
      </w:r>
      <w:r w:rsidR="00C923DA">
        <w:t xml:space="preserve">). </w:t>
      </w:r>
    </w:p>
    <w:p w14:paraId="02978A21" w14:textId="77777777" w:rsidR="00BE1E61" w:rsidRPr="00BE1E61" w:rsidRDefault="00BE1E61" w:rsidP="00DF7C23">
      <w:pPr>
        <w:spacing w:line="480" w:lineRule="auto"/>
      </w:pP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6EAD1522" w:rsidR="00866555" w:rsidRDefault="009B74B7" w:rsidP="00DF7C23">
      <w:pPr>
        <w:spacing w:line="480" w:lineRule="auto"/>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DE77EE">
        <w:fldChar w:fldCharType="begin"/>
      </w:r>
      <w:r w:rsidR="002E08A6">
        <w:instrText xml:space="preserve"> ADDIN PAPERS2_CITATIONS &lt;citation&gt;&lt;uuid&gt;C7533AC0-E7A1-47C0-8E8F-15A239457E24&lt;/uuid&gt;&lt;priority&gt;7&lt;/priority&gt;&lt;publications&gt;&lt;publication&gt;&lt;uuid&gt;091660EF-AEBF-4661-9194-6844A38D9331&lt;/uuid&gt;&lt;volume&gt;74&lt;/volume&gt;&lt;startpage&gt;1&lt;/startpage&gt;&lt;publication_date&gt;99199307161200000000222000&lt;/publication_date&gt;&lt;url&gt;http://eutils.ncbi.nlm.nih.gov/entrez/eutils/elink.fcgi?dbfrom=pubmed&amp;amp;id=8334697&amp;amp;retmode=ref&amp;amp;cmd=prlinks&lt;/url&gt;&lt;type&gt;400&lt;/type&gt;&lt;title&gt;Protein traffic on the heat shock promoter: parking, stalling, and trucking along.&lt;/title&gt;&lt;location&gt;&amp;lt;html&amp;gt;&amp;lt;head&amp;gt;&amp;lt;meta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Home&amp;lt;/a&amp;gt;&amp;lt;/div&amp;gt;&amp;lt;/body&amp;gt;&amp;lt;/html&amp;gt;&lt;/location&gt;&lt;institution&gt;Section of Biochemistry, Molecular and Cell Biology, Cornell University, Ithaca, New York 14850.&lt;/institution&gt;&lt;number&gt;1&lt;/number&gt;&lt;subtype&gt;400&lt;/subtype&gt;&lt;endpage&gt;4&lt;/endpage&gt;&lt;bundle&gt;&lt;publication&gt;&lt;publisher&gt;Elsevier Ltd&lt;/publisher&gt;&lt;url&gt;http://www.cell.com/&lt;/url&gt;&lt;title&gt;Cell&lt;/title&gt;&lt;type&gt;-100&lt;/type&gt;&lt;subtype&gt;-100&lt;/subtype&gt;&lt;uuid&gt;2C58968A-967D-4060-B7A6-C212EBF7833D&lt;/uuid&gt;&lt;/publication&gt;&lt;/bundle&gt;&lt;authors&gt;&lt;author&gt;&lt;firstName&gt;J&lt;/firstName&gt;&lt;lastName&gt;Lis&lt;/lastName&gt;&lt;/author&gt;&lt;author&gt;&lt;firstName&gt;C&lt;/firstName&gt;&lt;lastName&gt;Wu&lt;/lastName&gt;&lt;/author&gt;&lt;/authors&gt;&lt;/publication&gt;&lt;/publications&gt;&lt;cites&gt;&lt;/cites&gt;&lt;/citation&gt;</w:instrText>
      </w:r>
      <w:r w:rsidR="00DE77EE">
        <w:fldChar w:fldCharType="separate"/>
      </w:r>
      <w:r w:rsidR="000B3215">
        <w:rPr>
          <w:rFonts w:ascii="Cambria" w:hAnsi="Cambria" w:cs="Cambria"/>
        </w:rPr>
        <w:t>{Lis:1993uk}</w:t>
      </w:r>
      <w:r w:rsidR="00DE77EE">
        <w:fldChar w:fldCharType="end"/>
      </w:r>
      <w:r>
        <w:t xml:space="preserve">. Since this discovery, polymerase stalling has been found to be a </w:t>
      </w:r>
      <w:r w:rsidR="00DE77EE">
        <w:t>ubiquitous</w:t>
      </w:r>
      <w:r>
        <w:t xml:space="preserve"> regulatory </w:t>
      </w:r>
      <w:r w:rsidR="00DE77EE">
        <w:t>mechanism</w:t>
      </w:r>
      <w:r w:rsidR="00DE77EE">
        <w:fldChar w:fldCharType="begin"/>
      </w:r>
      <w:r w:rsidR="000B3215">
        <w:instrText xml:space="preserve"> ADDIN PAPERS2_CITATIONS &lt;citation&gt;&lt;uuid&gt;207D0BB6-B7A4-4CB1-B1F5-4BD343F05E0A&lt;/uuid&gt;&lt;priority&gt;8&lt;/priority&gt;&lt;publications&gt;&lt;publication&gt;&lt;uuid&gt;9DA7D2F0-FC69-4CEA-BBBD-441FAAB2091E&lt;/uuid&gt;&lt;volume&gt;25&lt;/volume&gt;&lt;startpage&gt;375&lt;/startpage&gt;&lt;publication_date&gt;99200008001200000000220000&lt;/publication_date&gt;&lt;url&gt;http://eutils.ncbi.nlm.nih.gov/entrez/eutils/elink.fcgi?dbfrom=pubmed&amp;amp;id=10916156&amp;amp;retmode=ref&amp;amp;cmd=prlinks&lt;/url&gt;&lt;type&gt;400&lt;/type&gt;&lt;title&gt;Control of elongation by RNA polymerase II.&lt;/title&gt;&lt;location&gt;&amp;lt;html&amp;gt;&amp;lt;head&amp;gt;&amp;lt;meta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Home&amp;lt;/a&amp;gt;&amp;lt;/div&amp;gt;&amp;lt;/body&amp;gt;&amp;lt;/html&amp;gt;&lt;/location&gt;&lt;institution&gt;Program in Molecular and Cell Biology, Oklahoma Medical Research Foundation, Oklahoma City, OK 73104, USA. conawayj@omrf.ouhsc.edu&lt;/institution&gt;&lt;number&gt;8&lt;/number&gt;&lt;subtype&gt;400&lt;/subtype&gt;&lt;endpage&gt;380&lt;/endpage&gt;&lt;bundle&gt;&lt;publication&gt;&lt;title&gt;Trends in biochemical sciences&lt;/title&gt;&lt;type&gt;-100&lt;/type&gt;&lt;subtype&gt;-100&lt;/subtype&gt;&lt;uuid&gt;349135EF-DD92-4CFF-97A2-570E99860049&lt;/uuid&gt;&lt;/publication&gt;&lt;/bundle&gt;&lt;authors&gt;&lt;author&gt;&lt;firstName&gt;J&lt;/firstName&gt;&lt;middleNames&gt;W&lt;/middleNames&gt;&lt;lastName&gt;Conaway&lt;/lastName&gt;&lt;/author&gt;&lt;author&gt;&lt;firstName&gt;A&lt;/firstName&gt;&lt;lastName&gt;Shilatifard&lt;/lastName&gt;&lt;/author&gt;&lt;author&gt;&lt;firstName&gt;A&lt;/firstName&gt;&lt;lastName&gt;Dvir&lt;/lastName&gt;&lt;/author&gt;&lt;author&gt;&lt;firstName&gt;R&lt;/firstName&gt;&lt;middleNames&gt;C&lt;/middleNames&gt;&lt;lastName&gt;Conaway&lt;/lastName&gt;&lt;/author&gt;&lt;/authors&gt;&lt;/publication&gt;&lt;/publications&gt;&lt;cites&gt;&lt;/cites&gt;&lt;/citation&gt;</w:instrText>
      </w:r>
      <w:r w:rsidR="00DE77EE">
        <w:fldChar w:fldCharType="separate"/>
      </w:r>
      <w:r w:rsidR="000B3215">
        <w:rPr>
          <w:rFonts w:ascii="Cambria" w:hAnsi="Cambria" w:cs="Cambria"/>
        </w:rPr>
        <w:t>{Conaway:2000un}</w:t>
      </w:r>
      <w:r w:rsidR="00DE77EE">
        <w:fldChar w:fldCharType="end"/>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F5ECB3C" w14:textId="77777777" w:rsidR="00866555" w:rsidRDefault="00866555" w:rsidP="00DF7C23">
      <w:pPr>
        <w:spacing w:line="480" w:lineRule="auto"/>
      </w:pPr>
    </w:p>
    <w:p w14:paraId="770FE57D" w14:textId="2E765605" w:rsidR="00683D3D" w:rsidRPr="00AB3610" w:rsidRDefault="00866555" w:rsidP="00DF7C23">
      <w:pPr>
        <w:spacing w:line="480" w:lineRule="auto"/>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AB3610">
        <w:t xml:space="preserve">( 179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 xml:space="preserve">&gt; 0.05).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w:t>
      </w:r>
      <w:proofErr w:type="spellStart"/>
      <w:r w:rsidR="00AB3610">
        <w:t>timepoints</w:t>
      </w:r>
      <w:proofErr w:type="spellEnd"/>
      <w:r w:rsidR="00AB3610">
        <w:t xml:space="preserve">,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7DADF3FD" w14:textId="3D903DA5" w:rsidR="00A40D79" w:rsidRDefault="00FF5970" w:rsidP="00DF7C23">
      <w:pPr>
        <w:pStyle w:val="Heading2"/>
        <w:spacing w:line="480" w:lineRule="auto"/>
      </w:pPr>
      <w:bookmarkStart w:id="1" w:name="revised-results-section"/>
      <w:bookmarkEnd w:id="1"/>
      <w:r>
        <w:t>Discussion</w:t>
      </w:r>
    </w:p>
    <w:sectPr w:rsidR="00A40D79" w:rsidSect="00645F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451FA"/>
    <w:rsid w:val="000514F0"/>
    <w:rsid w:val="00062ABD"/>
    <w:rsid w:val="000633C8"/>
    <w:rsid w:val="000A6193"/>
    <w:rsid w:val="000A776F"/>
    <w:rsid w:val="000B3215"/>
    <w:rsid w:val="000B41DA"/>
    <w:rsid w:val="000D2F6D"/>
    <w:rsid w:val="000F37B2"/>
    <w:rsid w:val="000F4492"/>
    <w:rsid w:val="001029DD"/>
    <w:rsid w:val="001243BA"/>
    <w:rsid w:val="0016503B"/>
    <w:rsid w:val="00170024"/>
    <w:rsid w:val="0017002A"/>
    <w:rsid w:val="001A137F"/>
    <w:rsid w:val="001B3BB0"/>
    <w:rsid w:val="001E0562"/>
    <w:rsid w:val="001E6EA2"/>
    <w:rsid w:val="001F41CC"/>
    <w:rsid w:val="002031D7"/>
    <w:rsid w:val="0020322A"/>
    <w:rsid w:val="00230A55"/>
    <w:rsid w:val="002563E7"/>
    <w:rsid w:val="00275CDA"/>
    <w:rsid w:val="00284E7F"/>
    <w:rsid w:val="002B5B8B"/>
    <w:rsid w:val="002C058C"/>
    <w:rsid w:val="002E08A6"/>
    <w:rsid w:val="00326671"/>
    <w:rsid w:val="00327E1B"/>
    <w:rsid w:val="0035211A"/>
    <w:rsid w:val="0035579F"/>
    <w:rsid w:val="003E0380"/>
    <w:rsid w:val="003E4C8C"/>
    <w:rsid w:val="003F10ED"/>
    <w:rsid w:val="00407EF6"/>
    <w:rsid w:val="00420B5B"/>
    <w:rsid w:val="004314D5"/>
    <w:rsid w:val="004643B0"/>
    <w:rsid w:val="00495D91"/>
    <w:rsid w:val="004C62C0"/>
    <w:rsid w:val="004D243C"/>
    <w:rsid w:val="004F0AF3"/>
    <w:rsid w:val="0051034C"/>
    <w:rsid w:val="005230E1"/>
    <w:rsid w:val="005368F2"/>
    <w:rsid w:val="00540604"/>
    <w:rsid w:val="0055323B"/>
    <w:rsid w:val="00555693"/>
    <w:rsid w:val="005726D7"/>
    <w:rsid w:val="005774BE"/>
    <w:rsid w:val="005A72DA"/>
    <w:rsid w:val="005D0256"/>
    <w:rsid w:val="005D1703"/>
    <w:rsid w:val="005D1B49"/>
    <w:rsid w:val="00631114"/>
    <w:rsid w:val="006433AF"/>
    <w:rsid w:val="0064453B"/>
    <w:rsid w:val="00645F6F"/>
    <w:rsid w:val="00661362"/>
    <w:rsid w:val="00666EF2"/>
    <w:rsid w:val="00683D3D"/>
    <w:rsid w:val="006A0C78"/>
    <w:rsid w:val="006B5A0E"/>
    <w:rsid w:val="006E56FE"/>
    <w:rsid w:val="006F619C"/>
    <w:rsid w:val="0073152C"/>
    <w:rsid w:val="00742D23"/>
    <w:rsid w:val="00743AF1"/>
    <w:rsid w:val="0077458B"/>
    <w:rsid w:val="00781A3B"/>
    <w:rsid w:val="007A01F5"/>
    <w:rsid w:val="007A779E"/>
    <w:rsid w:val="007A7FF8"/>
    <w:rsid w:val="007B1C60"/>
    <w:rsid w:val="007B6A08"/>
    <w:rsid w:val="007C33E3"/>
    <w:rsid w:val="007D448A"/>
    <w:rsid w:val="007E0AFD"/>
    <w:rsid w:val="00811640"/>
    <w:rsid w:val="00824312"/>
    <w:rsid w:val="00824D9F"/>
    <w:rsid w:val="00844F7B"/>
    <w:rsid w:val="00866555"/>
    <w:rsid w:val="00873A87"/>
    <w:rsid w:val="0089157F"/>
    <w:rsid w:val="008A2834"/>
    <w:rsid w:val="008B018F"/>
    <w:rsid w:val="008B77F7"/>
    <w:rsid w:val="008C46AF"/>
    <w:rsid w:val="008D4207"/>
    <w:rsid w:val="008D6626"/>
    <w:rsid w:val="008E3112"/>
    <w:rsid w:val="008F7C1E"/>
    <w:rsid w:val="00903FF8"/>
    <w:rsid w:val="00907157"/>
    <w:rsid w:val="00921735"/>
    <w:rsid w:val="00957C1F"/>
    <w:rsid w:val="00970989"/>
    <w:rsid w:val="009B74B7"/>
    <w:rsid w:val="009C3245"/>
    <w:rsid w:val="009D28D1"/>
    <w:rsid w:val="009D5C49"/>
    <w:rsid w:val="00A002D8"/>
    <w:rsid w:val="00A1095E"/>
    <w:rsid w:val="00A138E6"/>
    <w:rsid w:val="00A25B2F"/>
    <w:rsid w:val="00A30785"/>
    <w:rsid w:val="00A40D79"/>
    <w:rsid w:val="00A4351E"/>
    <w:rsid w:val="00A457EE"/>
    <w:rsid w:val="00A51973"/>
    <w:rsid w:val="00A54005"/>
    <w:rsid w:val="00A63CBC"/>
    <w:rsid w:val="00AA2523"/>
    <w:rsid w:val="00AB3610"/>
    <w:rsid w:val="00AC2836"/>
    <w:rsid w:val="00AE6E36"/>
    <w:rsid w:val="00B438DD"/>
    <w:rsid w:val="00B570B8"/>
    <w:rsid w:val="00B60E91"/>
    <w:rsid w:val="00B77326"/>
    <w:rsid w:val="00B97924"/>
    <w:rsid w:val="00BC0E7A"/>
    <w:rsid w:val="00BC2982"/>
    <w:rsid w:val="00BC4CE7"/>
    <w:rsid w:val="00BE1E61"/>
    <w:rsid w:val="00BE570B"/>
    <w:rsid w:val="00BF4AA0"/>
    <w:rsid w:val="00C316C2"/>
    <w:rsid w:val="00C4614F"/>
    <w:rsid w:val="00C56855"/>
    <w:rsid w:val="00C77C2F"/>
    <w:rsid w:val="00C923DA"/>
    <w:rsid w:val="00CC067C"/>
    <w:rsid w:val="00D007C0"/>
    <w:rsid w:val="00D11037"/>
    <w:rsid w:val="00D155A5"/>
    <w:rsid w:val="00D3227B"/>
    <w:rsid w:val="00D74350"/>
    <w:rsid w:val="00D80AD3"/>
    <w:rsid w:val="00D863C5"/>
    <w:rsid w:val="00D8676F"/>
    <w:rsid w:val="00DA2565"/>
    <w:rsid w:val="00DA7CE5"/>
    <w:rsid w:val="00DB11F5"/>
    <w:rsid w:val="00DE77EE"/>
    <w:rsid w:val="00DF7C23"/>
    <w:rsid w:val="00E04A56"/>
    <w:rsid w:val="00E30565"/>
    <w:rsid w:val="00E31AE1"/>
    <w:rsid w:val="00E3439D"/>
    <w:rsid w:val="00E40A04"/>
    <w:rsid w:val="00E534FE"/>
    <w:rsid w:val="00E55542"/>
    <w:rsid w:val="00E67908"/>
    <w:rsid w:val="00E86375"/>
    <w:rsid w:val="00ED2BD5"/>
    <w:rsid w:val="00EF39B8"/>
    <w:rsid w:val="00EF6429"/>
    <w:rsid w:val="00F17D84"/>
    <w:rsid w:val="00F227AE"/>
    <w:rsid w:val="00F51F22"/>
    <w:rsid w:val="00F55887"/>
    <w:rsid w:val="00F73A0E"/>
    <w:rsid w:val="00F85351"/>
    <w:rsid w:val="00FA6064"/>
    <w:rsid w:val="00FA7B2A"/>
    <w:rsid w:val="00FC4361"/>
    <w:rsid w:val="00FC7328"/>
    <w:rsid w:val="00FD1B41"/>
    <w:rsid w:val="00FD6185"/>
    <w:rsid w:val="00FE0377"/>
    <w:rsid w:val="00FE4409"/>
    <w:rsid w:val="00FF59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3533</Words>
  <Characters>20139</Characters>
  <Application>Microsoft Macintosh Word</Application>
  <DocSecurity>0</DocSecurity>
  <Lines>167</Lines>
  <Paragraphs>47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X: Groucho activity in the developing embryo</vt:lpstr>
      <vt:lpstr>    Abstract</vt:lpstr>
      <vt:lpstr>    Introduction</vt:lpstr>
      <vt:lpstr>    Materials &amp; Methods</vt:lpstr>
      <vt:lpstr>    Results</vt:lpstr>
      <vt:lpstr>    Discussion</vt:lpstr>
    </vt:vector>
  </TitlesOfParts>
  <Company>UCLA</Company>
  <LinksUpToDate>false</LinksUpToDate>
  <CharactersWithSpaces>23625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38</cp:revision>
  <cp:lastPrinted>2015-04-27T23:56:00Z</cp:lastPrinted>
  <dcterms:created xsi:type="dcterms:W3CDTF">2015-08-10T21:41:00Z</dcterms:created>
  <dcterms:modified xsi:type="dcterms:W3CDTF">2015-08-12T03:21:00Z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