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00FDE28B" w:rsidR="005230E1" w:rsidRPr="00204E7F" w:rsidRDefault="00645A1B" w:rsidP="00DF7C23">
      <w:pPr>
        <w:pStyle w:val="Heading1"/>
        <w:spacing w:line="480" w:lineRule="auto"/>
        <w:rPr>
          <w:b/>
        </w:rPr>
      </w:pPr>
      <w:r>
        <w:rPr>
          <w:b/>
        </w:rPr>
        <w:t>Chapter 2</w:t>
      </w:r>
      <w:r w:rsidR="00FF5970" w:rsidRPr="00204E7F">
        <w:rPr>
          <w:b/>
        </w:rPr>
        <w:t>: Groucho activity in the developing embryo</w:t>
      </w:r>
    </w:p>
    <w:p w14:paraId="52EBEA88" w14:textId="77777777" w:rsidR="00FF5970" w:rsidRDefault="00FF5970" w:rsidP="00DF7C23">
      <w:pPr>
        <w:spacing w:line="480" w:lineRule="auto"/>
      </w:pPr>
    </w:p>
    <w:p w14:paraId="42EFDFA9" w14:textId="2A36787D" w:rsidR="00FF5970" w:rsidRDefault="00FF5970" w:rsidP="00DF7C23">
      <w:pPr>
        <w:pStyle w:val="Heading2"/>
        <w:spacing w:line="480" w:lineRule="auto"/>
      </w:pPr>
      <w:commentRangeStart w:id="0"/>
      <w:r>
        <w:t>Abstract</w:t>
      </w:r>
      <w:commentRangeEnd w:id="0"/>
      <w:r w:rsidR="00237EB9">
        <w:rPr>
          <w:rStyle w:val="CommentReference"/>
          <w:rFonts w:asciiTheme="minorHAnsi" w:eastAsiaTheme="minorEastAsia" w:hAnsiTheme="minorHAnsi" w:cstheme="minorBidi"/>
          <w:b w:val="0"/>
          <w:bCs w:val="0"/>
          <w:color w:val="auto"/>
        </w:rPr>
        <w:commentReference w:id="0"/>
      </w:r>
    </w:p>
    <w:p w14:paraId="07643449" w14:textId="78E5EED9" w:rsidR="00FF5970" w:rsidRDefault="008C7EA1" w:rsidP="00DF7C23">
      <w:pPr>
        <w:spacing w:line="480" w:lineRule="auto"/>
      </w:pPr>
      <w:r>
        <w:t>Anim</w:t>
      </w:r>
      <w:r w:rsidR="00173597">
        <w:t>al developmental patterning is a</w:t>
      </w:r>
      <w:r>
        <w:t xml:space="preserve"> vastly complex and intricate process, requiring the integration of multiple temporally and spatially variant signals to define the transcription profile of each cell. </w:t>
      </w:r>
      <w:r w:rsidR="00173597">
        <w:t>The Groucho family of transcriptional corepressors play a crucial role in this process throughout the animal kingdom</w:t>
      </w:r>
      <w:r>
        <w:t xml:space="preserve">. </w:t>
      </w:r>
      <w:r w:rsidR="00672E09">
        <w:t xml:space="preserve">In </w:t>
      </w:r>
      <w:r w:rsidR="00672E09">
        <w:rPr>
          <w:i/>
        </w:rPr>
        <w:t xml:space="preserve">Drosophila, </w:t>
      </w:r>
      <w:r w:rsidR="00672E09">
        <w:t>Groucho exerts control over gene expression</w:t>
      </w:r>
      <w:r>
        <w:t xml:space="preserve"> </w:t>
      </w:r>
      <w:r w:rsidR="00672E09">
        <w:t>via</w:t>
      </w:r>
      <w:r>
        <w:t xml:space="preserve"> recruitment to the genome through the action of multiple DNA binding factors</w:t>
      </w:r>
      <w:r w:rsidR="00672E09">
        <w:t xml:space="preserve"> to which Groucho binds with tunable affinity</w:t>
      </w:r>
      <w:r>
        <w:t>. While Groucho is ubiquitously expressed in the early fly embryo, t</w:t>
      </w:r>
      <w:r w:rsidR="00672E09">
        <w:t>hese factors are not, ensuring</w:t>
      </w:r>
      <w:r>
        <w:t xml:space="preserve"> Groucho mediated expression </w:t>
      </w:r>
      <w:r w:rsidR="00672E09">
        <w:t>is</w:t>
      </w:r>
      <w:r>
        <w:t xml:space="preserve"> dependent on the presence and concentrati</w:t>
      </w:r>
      <w:r w:rsidR="00672E09">
        <w:t>on of these recruiting elements, and</w:t>
      </w:r>
      <w:r>
        <w:t xml:space="preserve"> </w:t>
      </w:r>
      <w:r w:rsidR="00672E09">
        <w:t xml:space="preserve">Groucho itself is regulated through multiple extracellular signaling pathways. </w:t>
      </w:r>
      <w:r>
        <w:t>Despite the broad importance of Groucho in fly development, a full picture of its regulatory network in the developing embryo has yet to be established. To this end, we have undertaken a multiomics approach to identify Groucho targets during three discrete stages of embryonic development. At each stage, we have analyzed the embryonic transcriptome of wild-type and Groucho mutant embryos. Additionally, we have utilized high-throughput sequencing</w:t>
      </w:r>
      <w:r w:rsidR="00672E09">
        <w:t xml:space="preserve"> of chromatin-associated RNAs (n</w:t>
      </w:r>
      <w:r>
        <w:t xml:space="preserve">ascent-seq) to confirm transcriptional rates at each timepoint. Groucho ChIP-seq provides </w:t>
      </w:r>
      <w:r>
        <w:lastRenderedPageBreak/>
        <w:t xml:space="preserve">information about the dynamics of the localization of Groucho to the chromatin in wild-type embryos. By combining these data sources, we </w:t>
      </w:r>
      <w:r w:rsidR="00672E09">
        <w:t>gain mechanistic insights into how, when, and why Groucho is recruited to the genome. Additionally, we establish</w:t>
      </w:r>
      <w:r>
        <w:t xml:space="preserve"> a temporally discrete high-confidence set of Groucho regulated genes, illuminating Groucho's multiple roles in developmental processes. Groucho appears to be involved in the regulation of hundreds of </w:t>
      </w:r>
      <w:r w:rsidR="00672E09">
        <w:t>genes throughout embryonic development</w:t>
      </w:r>
      <w:r>
        <w:t>, a significant proportion of which are regulatory genes themselves, reinforcing the idea that Groucho is a highly-connected node or hub in the developmental regulatory network. Groucho's recruitment is highly dynamic, with a widespread transition in genomic lo</w:t>
      </w:r>
      <w:r w:rsidR="00A46041">
        <w:t xml:space="preserve">calization occurring in </w:t>
      </w:r>
      <w:r w:rsidR="00672E09">
        <w:t>embryos 4 to 6.5 hours post fertilization. While h</w:t>
      </w:r>
      <w:r>
        <w:t xml:space="preserve">uman homologs of Groucho have been shown to act as both coactivators and corepressors, Drosophila Gro appears to be a dedicated repressor. While Groucho has long been considered to be a long-range corepressor, often binding thousands of base pairs away from its target genes, we find that this is not an obligate condition for repression, as actively repressing Groucho is often bound directly adjacent to transcription start sites. Furthermore, while Groucho is known to oligomerize </w:t>
      </w:r>
      <w:r>
        <w:rPr>
          <w:i/>
        </w:rPr>
        <w:t>in vivo</w:t>
      </w:r>
      <w:r>
        <w:t xml:space="preserve">, the role and necessity of this oligomerization in repression remains unknown. We find that, while Groucho can bind over large portions of the genome, </w:t>
      </w:r>
      <w:r w:rsidR="00672E09">
        <w:t>potentially</w:t>
      </w:r>
      <w:r>
        <w:t xml:space="preserve"> through self-association, most binding events are more spatially constricted</w:t>
      </w:r>
      <w:r w:rsidR="00672E09">
        <w:t>. While few long homogeneous stretches of Groucho are observed, Groucho-regulated genes do tend to exhibit clusters of multiple Gro associated peaks</w:t>
      </w:r>
      <w:r>
        <w:t xml:space="preserve">. Around some classes of regulated genes, Groucho exhibits binding to both distal and proximal regions, perhaps indicative of Groucho serving a role in </w:t>
      </w:r>
      <w:r w:rsidR="00672E09">
        <w:t>facilitating contact between regulatory regions of the genome</w:t>
      </w:r>
      <w:r>
        <w:t>.</w:t>
      </w:r>
    </w:p>
    <w:p w14:paraId="433D6BB7" w14:textId="77777777" w:rsidR="008C7EA1" w:rsidRDefault="008C7EA1" w:rsidP="00DF7C23">
      <w:pPr>
        <w:spacing w:line="480" w:lineRule="auto"/>
      </w:pPr>
    </w:p>
    <w:p w14:paraId="619932FB" w14:textId="12E2C981" w:rsidR="005230E1" w:rsidRDefault="00FF5970" w:rsidP="00DF7C23">
      <w:pPr>
        <w:pStyle w:val="Heading2"/>
        <w:spacing w:line="480" w:lineRule="auto"/>
      </w:pPr>
      <w:r>
        <w:t>Introduction</w:t>
      </w:r>
    </w:p>
    <w:p w14:paraId="23F5419C" w14:textId="77777777" w:rsidR="00FF5970" w:rsidRDefault="00FF5970" w:rsidP="00DF7C23">
      <w:pPr>
        <w:spacing w:line="480" w:lineRule="auto"/>
      </w:pPr>
    </w:p>
    <w:p w14:paraId="67F6BCC0" w14:textId="3A5873A5" w:rsidR="009C3245" w:rsidRDefault="00284E7F" w:rsidP="00A25B2F">
      <w:pPr>
        <w:spacing w:line="480" w:lineRule="auto"/>
        <w:ind w:firstLine="720"/>
      </w:pPr>
      <w:r>
        <w:t xml:space="preserve">Groucho is a crucial regulator of gene expression throughout development and is centrally involved in the establishment of embryonic patterning in the early </w:t>
      </w:r>
      <w:r w:rsidR="009C3245">
        <w:rPr>
          <w:i/>
        </w:rPr>
        <w:t>Drosophila</w:t>
      </w:r>
      <w:r>
        <w:rPr>
          <w:i/>
        </w:rPr>
        <w:t xml:space="preserve"> </w:t>
      </w:r>
      <w:r>
        <w:t xml:space="preserve">embryo. </w:t>
      </w:r>
      <w:r w:rsidR="008B018F">
        <w:t>Through its interaction with a number of</w:t>
      </w:r>
      <w:r w:rsidR="008D4207">
        <w:t xml:space="preserve"> sequence-specific</w:t>
      </w:r>
      <w:r w:rsidR="008B018F">
        <w:t xml:space="preserve"> </w:t>
      </w:r>
      <w:r w:rsidR="008D4207">
        <w:t>transcription factors</w:t>
      </w:r>
      <w:r w:rsidR="008B018F">
        <w:t>, Groucho is crucial to the spatial and temporal restriction of gene expression beginning very early in development, and remains involved in tissue differentiation and specification through</w:t>
      </w:r>
      <w:r w:rsidR="002563E7">
        <w:t>out</w:t>
      </w:r>
      <w:r w:rsidR="008B018F">
        <w:t xml:space="preserve"> larval and pupal stages.</w:t>
      </w:r>
      <w:r w:rsidR="008D4207">
        <w:t xml:space="preserve"> </w:t>
      </w:r>
      <w:r w:rsidR="00921735">
        <w:t xml:space="preserve">As Groucho is maternally deposited, high levels of the transcript are present from the onset of development, </w:t>
      </w:r>
      <w:r w:rsidR="00112A9C">
        <w:t>and as such Groucho participates in many of the</w:t>
      </w:r>
      <w:r w:rsidR="00970989">
        <w:t xml:space="preserve"> earliest </w:t>
      </w:r>
      <w:r w:rsidR="00112A9C">
        <w:t>transcriptional decisions in the embryo</w:t>
      </w:r>
      <w:r w:rsidR="00921735">
        <w:t xml:space="preserve">. </w:t>
      </w:r>
      <w:r w:rsidR="00AE6E36">
        <w:t xml:space="preserve">Groucho is one of a </w:t>
      </w:r>
      <w:r w:rsidR="00970989">
        <w:t xml:space="preserve">vital </w:t>
      </w:r>
      <w:r w:rsidR="001243BA">
        <w:t>group</w:t>
      </w:r>
      <w:r w:rsidR="008D4207">
        <w:t xml:space="preserve"> of factors that enables a cell to alter its transcriptional profile, and therefore developmental fate, in response to</w:t>
      </w:r>
      <w:r w:rsidR="001243BA">
        <w:t xml:space="preserve"> informational signals arising outside of the cell. </w:t>
      </w:r>
      <w:r w:rsidR="009C3245">
        <w:t>This regulatory role of Groucho homologues is conserved</w:t>
      </w:r>
      <w:r w:rsidR="000A776F">
        <w:t xml:space="preserve"> throughout metazoans</w:t>
      </w:r>
      <w:r w:rsidR="00970989">
        <w:t xml:space="preserve">. </w:t>
      </w:r>
      <w:r w:rsidR="008160BB">
        <w:t>D</w:t>
      </w:r>
      <w:r w:rsidR="000A776F">
        <w:t xml:space="preserve">ue to Groucho’s highly-connected position in the developmental regulatory network, mutations in the function or regulation of Groucho can result in </w:t>
      </w:r>
      <w:r w:rsidR="00970989">
        <w:t xml:space="preserve">profound </w:t>
      </w:r>
      <w:r w:rsidR="000A776F">
        <w:t xml:space="preserve">developmental abnormalities and </w:t>
      </w:r>
      <w:commentRangeStart w:id="1"/>
      <w:r w:rsidR="000A776F">
        <w:t>disease</w:t>
      </w:r>
      <w:commentRangeEnd w:id="1"/>
      <w:r w:rsidR="00237EB9">
        <w:rPr>
          <w:rStyle w:val="CommentReference"/>
        </w:rPr>
        <w:commentReference w:id="1"/>
      </w:r>
      <w:r w:rsidR="000A776F">
        <w:t>.</w:t>
      </w:r>
    </w:p>
    <w:p w14:paraId="09D1F362" w14:textId="2C020930" w:rsidR="00550E71" w:rsidRDefault="00284E7F" w:rsidP="00A25B2F">
      <w:pPr>
        <w:spacing w:line="480" w:lineRule="auto"/>
        <w:ind w:firstLine="720"/>
      </w:pPr>
      <w:r>
        <w:t>Despite the</w:t>
      </w:r>
      <w:r w:rsidR="008B018F">
        <w:t xml:space="preserve"> extensively </w:t>
      </w:r>
      <w:r>
        <w:t xml:space="preserve">documented centrality of Groucho to multiple developmental processes, </w:t>
      </w:r>
      <w:r w:rsidR="000A776F">
        <w:t xml:space="preserve">especially in early embryonic development, </w:t>
      </w:r>
      <w:r w:rsidR="008B018F">
        <w:t xml:space="preserve">no </w:t>
      </w:r>
      <w:r w:rsidR="000A776F">
        <w:t xml:space="preserve">systematic genome wide investigation has been undertaken to position Groucho </w:t>
      </w:r>
      <w:r w:rsidR="008160BB">
        <w:t xml:space="preserve">in </w:t>
      </w:r>
      <w:r w:rsidR="000A776F">
        <w:t xml:space="preserve">the </w:t>
      </w:r>
      <w:r w:rsidR="00970989">
        <w:t xml:space="preserve">fly </w:t>
      </w:r>
      <w:r w:rsidR="000A776F">
        <w:t xml:space="preserve">developmental regulatory network. </w:t>
      </w:r>
      <w:r w:rsidR="00DD142F">
        <w:t xml:space="preserve">A more thorough understanding of the </w:t>
      </w:r>
      <w:r w:rsidR="0014086B">
        <w:t xml:space="preserve">recruitment patterns of Groucho in the early embryo, and the dynamics of such binding, will allow us to address multiple facets of Groucho-mediated repression that have eluded </w:t>
      </w:r>
      <w:r w:rsidR="00016448">
        <w:t>thorough investigation</w:t>
      </w:r>
      <w:r w:rsidR="0014086B">
        <w:t xml:space="preserve">. While Groucho has been shown to tetramerize </w:t>
      </w:r>
      <w:r w:rsidR="0014086B">
        <w:rPr>
          <w:i/>
        </w:rPr>
        <w:t xml:space="preserve">in vitro, </w:t>
      </w:r>
      <w:r w:rsidR="0014086B">
        <w:t xml:space="preserve">and that in some contexts Groucho oligomerization is necessary for repression </w:t>
      </w:r>
      <w:r w:rsidR="0014086B">
        <w:rPr>
          <w:i/>
        </w:rPr>
        <w:t>in vitro</w:t>
      </w:r>
      <w:r w:rsidR="00016448">
        <w:rPr>
          <w:i/>
        </w:rPr>
        <w:t xml:space="preserve"> </w:t>
      </w:r>
      <w:r w:rsidR="0014086B">
        <w:t xml:space="preserve">{Chen, 1998 #267} and </w:t>
      </w:r>
      <w:r w:rsidR="0014086B">
        <w:rPr>
          <w:i/>
        </w:rPr>
        <w:t>in vivo</w:t>
      </w:r>
      <w:r w:rsidR="00016448">
        <w:rPr>
          <w:i/>
        </w:rPr>
        <w:t xml:space="preserve"> </w:t>
      </w:r>
      <w:r w:rsidR="0014086B">
        <w:t>{Song, 2004 #1161}, this does not appear to be a universal require</w:t>
      </w:r>
      <w:r w:rsidR="00550E71">
        <w:t>ment for</w:t>
      </w:r>
      <w:r w:rsidR="0014086B">
        <w:t xml:space="preserve"> repressive activity </w:t>
      </w:r>
      <w:r w:rsidR="00016448">
        <w:t xml:space="preserve">in embryos </w:t>
      </w:r>
      <w:r w:rsidR="0014086B">
        <w:t>{Jennings, 2007 #2990}</w:t>
      </w:r>
      <w:r w:rsidR="00684F14">
        <w:t xml:space="preserve">. Some evidence from ChIP experiments suggests Groucho spreads over potentially long stretches of chromatin presumably through its ability to self-associate {Winkler, 2010 #2964}, though these studies are limited by the resolution of the ChIP regions analyzed. More recent Groucho ChIP-seq data obtained from two Drosophila cell lines (S2 and Kc167) </w:t>
      </w:r>
      <w:r w:rsidR="00461586">
        <w:t>{Kaul, 2014 #2204} indicate that binding is primarily localized to discrete peaks in those cell lines. It is unclear to what degree that binding pattern extends to embryos.</w:t>
      </w:r>
    </w:p>
    <w:p w14:paraId="5E03F4D8" w14:textId="10677BF9" w:rsidR="00016448" w:rsidRDefault="00550E71" w:rsidP="00781EB7">
      <w:pPr>
        <w:spacing w:line="480" w:lineRule="auto"/>
        <w:ind w:firstLine="720"/>
      </w:pPr>
      <w:r>
        <w:t>Accordingly, m</w:t>
      </w:r>
      <w:r w:rsidR="00041DE0">
        <w:t>ultiple</w:t>
      </w:r>
      <w:r w:rsidR="00A63DE2">
        <w:t>, non-mutually exclusive</w:t>
      </w:r>
      <w:r w:rsidR="00041DE0">
        <w:t xml:space="preserve"> mechanisms of Groucho-mediated repression have been proposed, both independent and dependent on Groucho oligomerization</w:t>
      </w:r>
      <w:r w:rsidR="00461586">
        <w:t xml:space="preserve"> {Turki-Judeh, 2012 #2385}. </w:t>
      </w:r>
      <w:r w:rsidR="00A63DE2">
        <w:t xml:space="preserve">Genome-wide analysis of </w:t>
      </w:r>
      <w:r w:rsidR="00461586">
        <w:t xml:space="preserve">binding patterns in embryos will enable us to analyze the recruitment strategies of Groucho </w:t>
      </w:r>
      <w:r w:rsidR="00461586">
        <w:rPr>
          <w:i/>
        </w:rPr>
        <w:t xml:space="preserve">in </w:t>
      </w:r>
      <w:r w:rsidR="00461586" w:rsidRPr="00461586">
        <w:rPr>
          <w:i/>
        </w:rPr>
        <w:t>vivo</w:t>
      </w:r>
      <w:r w:rsidR="00461586">
        <w:t xml:space="preserve"> during the developmental stages when Groucho is active and crucial to generating viable patterns of gene expression</w:t>
      </w:r>
      <w:r w:rsidR="00844138">
        <w:t>, specifically the 1.5 to 9 hours of development post-fertilization. Analysis of the size and distribution of Groucho peaks, and how that distribution evolves over time, will enable a thorough investigation of whether Groucho-mediated repression arises from spreading over long stretches of chromatin, and to what extent it do</w:t>
      </w:r>
      <w:r w:rsidR="003C259C">
        <w:t>es</w:t>
      </w:r>
      <w:r w:rsidR="00844138">
        <w:t xml:space="preserve"> so. Analysis of </w:t>
      </w:r>
      <w:r w:rsidR="003C259C">
        <w:t xml:space="preserve">patterns of </w:t>
      </w:r>
      <w:r w:rsidR="00844138">
        <w:t>Groucho recruitment to several known Groucho targets will enable us to explore how Groucho activity at those targets evolves over time, as the factor is bound and released from regulatory elements both within and adjacent to such targets. On a genome-wide scale, we can make determinations as to whether Groucho functions primarily as a long-range repressor, as is generally thought, or whether it is associated with promotors</w:t>
      </w:r>
      <w:r w:rsidR="003C259C">
        <w:t>, transcription start sites, or</w:t>
      </w:r>
      <w:r w:rsidR="00844138">
        <w:t xml:space="preserve"> </w:t>
      </w:r>
      <w:r w:rsidR="003C259C">
        <w:t>within genes</w:t>
      </w:r>
      <w:r w:rsidR="00844138">
        <w:t xml:space="preserve">. </w:t>
      </w:r>
      <w:r w:rsidR="003C259C">
        <w:t>Enrichment a</w:t>
      </w:r>
      <w:r w:rsidR="00844138">
        <w:t xml:space="preserve">nalysis of motifs </w:t>
      </w:r>
      <w:r w:rsidR="003C259C">
        <w:t xml:space="preserve">within </w:t>
      </w:r>
      <w:r w:rsidR="00844138">
        <w:t>different classes of Groucho peaks will allow us to predict preference for binding part</w:t>
      </w:r>
      <w:r w:rsidR="003C259C">
        <w:t xml:space="preserve">ners under specific situations </w:t>
      </w:r>
      <w:r w:rsidR="00844138">
        <w:t>and potentially predict factors Groucho preferentially colocalizes with.</w:t>
      </w:r>
    </w:p>
    <w:p w14:paraId="1C549A9D" w14:textId="39076FDF" w:rsidR="00807AA6" w:rsidRDefault="00844138" w:rsidP="00844138">
      <w:pPr>
        <w:spacing w:line="480" w:lineRule="auto"/>
        <w:ind w:firstLine="720"/>
      </w:pPr>
      <w:r>
        <w:t xml:space="preserve">Additionally, integration of Gro ChIP-seq data with transcriptome analyses of embryos in which Gro activity has been perturbed will enable us to more accurately ascribe Groucho repression arising from binding regions to individual gene targets. </w:t>
      </w:r>
      <w:r w:rsidR="0041464F">
        <w:t xml:space="preserve">While ChIP-seq provides a genome-wide picture of how Groucho associates with genes and intergenic regions, as well as how these dynamics change over time, it does not provide evidence that Groucho is actively involved in regulating the expression of those genes it is binding within or adjacent to. The accurate assignment of a binding region detected by ChIP-seq to a specific regulatory target (or targets) is a long standing problem in the useful interpretation of ChIP-seq studies{Sikora-Wohlfeld, 2013 #2377}; the inaccuracy of association becomes more significant the further a factor binds from its regulatory target, as genomic complexity often makes assignment of </w:t>
      </w:r>
      <w:r w:rsidR="00B36BCB">
        <w:t>enhancer-</w:t>
      </w:r>
      <w:r w:rsidR="0041464F">
        <w:t>gene interactions uncertain. A common methodology to address this challenge is to incorporate genome-wide binding da</w:t>
      </w:r>
      <w:r w:rsidR="00B36BCB">
        <w:t xml:space="preserve">ta </w:t>
      </w:r>
      <w:r w:rsidR="0041464F">
        <w:t>with transcriptome measurements in systems perturbed for said factor</w:t>
      </w:r>
      <w:r w:rsidR="00CA7E4A">
        <w:t xml:space="preserve"> {Dolinski, 2015 #3045}</w:t>
      </w:r>
      <w:r w:rsidR="0041464F">
        <w:t>. To this end, we have generated transcriptome measurements (via RNA-seq) of Groucho deficient embryos collected at paired timepoints to the ChIP-seq data</w:t>
      </w:r>
      <w:r w:rsidR="00CA7E4A">
        <w:t>,</w:t>
      </w:r>
      <w:r w:rsidR="0041464F">
        <w:t xml:space="preserve"> as well as embryos overexpressing Groucho at various levels. Comparison of gene expression levels under these conditions to expression under endogenous levels of Gro activity will enable us to predict Groucho regulatory targets. When combined with ChIP-seq binding profile data, we can produce a high-confidence set of Groucho target genes by timepoint. This will enable us to more thoroughly </w:t>
      </w:r>
      <w:r w:rsidR="00CA7E4A">
        <w:t>characterize</w:t>
      </w:r>
      <w:r w:rsidR="0041464F">
        <w:t xml:space="preserve"> </w:t>
      </w:r>
      <w:r w:rsidR="00E94AB8">
        <w:t xml:space="preserve">the role of Groucho within these three stages of development through a broader investigation of </w:t>
      </w:r>
      <w:r w:rsidR="00CA7E4A">
        <w:t xml:space="preserve">its influence upon the </w:t>
      </w:r>
      <w:r w:rsidR="00E94AB8">
        <w:t>develo</w:t>
      </w:r>
      <w:r w:rsidR="00CA7E4A">
        <w:t>pmentally-regulated gene network</w:t>
      </w:r>
      <w:r w:rsidR="00E94AB8">
        <w:t>.</w:t>
      </w:r>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6F59202C" w14:textId="34AF8B32" w:rsidR="00FF5970" w:rsidRDefault="00D13193" w:rsidP="00C46D6E">
      <w:pPr>
        <w:pStyle w:val="ListParagraph"/>
        <w:numPr>
          <w:ilvl w:val="0"/>
          <w:numId w:val="3"/>
        </w:numPr>
        <w:spacing w:line="480" w:lineRule="auto"/>
        <w:ind w:left="360"/>
        <w:rPr>
          <w:i/>
        </w:rPr>
      </w:pPr>
      <w:r>
        <w:rPr>
          <w:i/>
        </w:rPr>
        <w:t>Groucho chromatin immunoprecipation (ChIP) and sequencing</w:t>
      </w:r>
    </w:p>
    <w:p w14:paraId="11B736F0" w14:textId="27F2438A" w:rsidR="00D13193" w:rsidRDefault="00D13193" w:rsidP="00C46D6E">
      <w:pPr>
        <w:pStyle w:val="ListParagraph"/>
        <w:numPr>
          <w:ilvl w:val="0"/>
          <w:numId w:val="3"/>
        </w:numPr>
        <w:spacing w:line="480" w:lineRule="auto"/>
        <w:ind w:left="360"/>
        <w:rPr>
          <w:i/>
        </w:rPr>
      </w:pPr>
      <w:r>
        <w:rPr>
          <w:i/>
        </w:rPr>
        <w:t>Groucho ChIP-seq data analysis</w:t>
      </w:r>
    </w:p>
    <w:p w14:paraId="6D158E8A" w14:textId="4ADD0DD6" w:rsidR="002C0657" w:rsidRPr="00C46D6E" w:rsidRDefault="00C46D6E" w:rsidP="00C46D6E">
      <w:pPr>
        <w:pStyle w:val="ListParagraph"/>
        <w:spacing w:line="480" w:lineRule="auto"/>
        <w:ind w:left="360" w:firstLine="360"/>
      </w:pPr>
      <w:r>
        <w:t>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w:t>
      </w:r>
      <w:r w:rsidR="008C0EBB">
        <w:t xml:space="preserve">iGenomes </w:t>
      </w:r>
      <w:r>
        <w:t>BDGP 5</w:t>
      </w:r>
      <w:r w:rsidR="008C0EBB">
        <w:t>.25</w:t>
      </w:r>
      <w:r>
        <w:t xml:space="preserve"> assembly) with Bowtie2 </w:t>
      </w:r>
      <w:r w:rsidR="007473AD">
        <w:t xml:space="preserve">(v2.2.5) </w:t>
      </w:r>
      <w:r>
        <w:t xml:space="preserve">using the following </w:t>
      </w:r>
      <w:r w:rsidR="008C0EBB">
        <w:t>parameters</w:t>
      </w:r>
      <w:r>
        <w:t xml:space="preserve">: </w:t>
      </w:r>
      <w:r>
        <w:rPr>
          <w:i/>
        </w:rPr>
        <w:t xml:space="preserve">-very-sensitive-local </w:t>
      </w:r>
      <w:r>
        <w:t xml:space="preserve"> {Langmead, 2012 #3049}.  Peak cal</w:t>
      </w:r>
      <w:r w:rsidR="008C0EBB">
        <w:t xml:space="preserve">ling was performed using MACS2 </w:t>
      </w:r>
      <w:r w:rsidR="008C0EBB">
        <w:t xml:space="preserve">(v2.1.0) </w:t>
      </w:r>
      <w:r w:rsidR="008C0EBB">
        <w:t xml:space="preserve">with default parameters </w:t>
      </w:r>
      <w:r>
        <w:t>{Zhang, 2008 #2203}</w:t>
      </w:r>
      <w:r w:rsidR="008C0EBB">
        <w:t xml:space="preserve">. Peak visualizations generated with Integrated Genome Browser (v8.4.2) </w:t>
      </w:r>
      <w:r w:rsidR="008C0EBB">
        <w:t>{Nicol, 2009 #3050}</w:t>
      </w:r>
      <w:r w:rsidR="008C0EBB">
        <w:t>.</w:t>
      </w:r>
    </w:p>
    <w:p w14:paraId="23950BCC" w14:textId="47AADFFE" w:rsidR="00D13193" w:rsidRDefault="00D13193" w:rsidP="00C46D6E">
      <w:pPr>
        <w:pStyle w:val="ListParagraph"/>
        <w:numPr>
          <w:ilvl w:val="0"/>
          <w:numId w:val="3"/>
        </w:numPr>
        <w:spacing w:line="480" w:lineRule="auto"/>
        <w:ind w:left="360"/>
        <w:rPr>
          <w:i/>
        </w:rPr>
      </w:pPr>
      <w:r>
        <w:rPr>
          <w:i/>
        </w:rPr>
        <w:t>Embryonic RNA isolation and sequencing (RNA-seq)</w:t>
      </w:r>
    </w:p>
    <w:p w14:paraId="1D68AB8D" w14:textId="2AE0BB23" w:rsidR="008C0EBB" w:rsidRPr="008C0EBB" w:rsidRDefault="008C0EBB" w:rsidP="008C0EBB">
      <w:pPr>
        <w:pStyle w:val="ListParagraph"/>
        <w:spacing w:line="480" w:lineRule="auto"/>
        <w:ind w:left="360" w:firstLine="360"/>
      </w:pPr>
      <w:r>
        <w:t>Staged embryos were manually homogenized in TRIzol reagent (Life Technologies) according to manufacturer protocols. Purified RNA quality was assessed via Bioanalyzer 2100 (Agilent Technologies). polyA-selected libraries were generated with TruSeq Stranded mRNA Library Prep Kit (Illumina) and sequenced on the Illumina HiSeq 2000 platform.</w:t>
      </w:r>
    </w:p>
    <w:p w14:paraId="1415C1FA" w14:textId="015FF330" w:rsidR="00D13193" w:rsidRDefault="00D13193" w:rsidP="00C46D6E">
      <w:pPr>
        <w:pStyle w:val="ListParagraph"/>
        <w:numPr>
          <w:ilvl w:val="0"/>
          <w:numId w:val="3"/>
        </w:numPr>
        <w:spacing w:line="480" w:lineRule="auto"/>
        <w:ind w:left="360"/>
        <w:rPr>
          <w:i/>
        </w:rPr>
      </w:pPr>
      <w:r>
        <w:rPr>
          <w:i/>
        </w:rPr>
        <w:t>RNA-seq data analysis</w:t>
      </w:r>
    </w:p>
    <w:p w14:paraId="0A77E790" w14:textId="096A7180" w:rsidR="008C0EBB" w:rsidRPr="006E55EC" w:rsidRDefault="008C0EBB" w:rsidP="008C0EBB">
      <w:pPr>
        <w:spacing w:line="480" w:lineRule="auto"/>
        <w:ind w:left="720"/>
      </w:pPr>
      <w:r>
        <w:t>Reads were demultiplexed via custom scripts. Low quality reads were trimmed and remaining reads were aligned with TopHat2 (v</w:t>
      </w:r>
      <w:r w:rsidR="006E55EC">
        <w:t xml:space="preserve">2.0.9) </w:t>
      </w:r>
      <w:r w:rsidR="006E55EC">
        <w:t>{Kim, 2013 #1817}</w:t>
      </w:r>
      <w:r w:rsidR="006E55EC">
        <w:t xml:space="preserve"> against the </w:t>
      </w:r>
      <w:r w:rsidR="006E55EC">
        <w:rPr>
          <w:i/>
        </w:rPr>
        <w:t xml:space="preserve">Drosophila melanogaster </w:t>
      </w:r>
      <w:r w:rsidR="006E55EC">
        <w:t xml:space="preserve">genome (iGenomes BDGP 5.25 assembly) with iGenomes gene models as a guide. Gene assignment was performed with HTSeq </w:t>
      </w:r>
      <w:r w:rsidR="006E55EC">
        <w:t>{IAnders, 2015 #3027}</w:t>
      </w:r>
      <w:r w:rsidR="006E55EC">
        <w:t xml:space="preserve">. Differential expression analysis was performed with DESeq2 (v1.8.0) </w:t>
      </w:r>
      <w:r w:rsidR="006E55EC">
        <w:t>{Love, 2014 #3031}</w:t>
      </w:r>
      <w:r w:rsidR="006E55EC">
        <w:t>.</w:t>
      </w:r>
    </w:p>
    <w:p w14:paraId="729EA3B8" w14:textId="4AFBADA6" w:rsidR="00FF5970" w:rsidRPr="00FF5970" w:rsidRDefault="00FF5970" w:rsidP="00DF7C23">
      <w:pPr>
        <w:pStyle w:val="Heading2"/>
        <w:spacing w:line="480" w:lineRule="auto"/>
      </w:pPr>
      <w:r>
        <w:t>Results</w:t>
      </w:r>
    </w:p>
    <w:p w14:paraId="1BC223F3" w14:textId="77777777" w:rsidR="00DF7C23" w:rsidRDefault="00DF7C23" w:rsidP="00DF7C23">
      <w:pPr>
        <w:spacing w:line="480" w:lineRule="auto"/>
        <w:rPr>
          <w:i/>
        </w:rPr>
      </w:pPr>
    </w:p>
    <w:p w14:paraId="00478F97" w14:textId="2950FBA2" w:rsidR="00C91541" w:rsidRDefault="00DF7C23" w:rsidP="00DF7C23">
      <w:pPr>
        <w:spacing w:line="480" w:lineRule="auto"/>
        <w:rPr>
          <w:i/>
        </w:rPr>
      </w:pPr>
      <w:r>
        <w:rPr>
          <w:i/>
        </w:rPr>
        <w:t xml:space="preserve">Groucho </w:t>
      </w:r>
      <w:r w:rsidR="00A25B2F">
        <w:rPr>
          <w:i/>
        </w:rPr>
        <w:t xml:space="preserve">is recruited ubiquitously </w:t>
      </w:r>
      <w:r w:rsidR="00AC2836">
        <w:rPr>
          <w:i/>
        </w:rPr>
        <w:t xml:space="preserve">and dynamically </w:t>
      </w:r>
      <w:r w:rsidR="00A25B2F">
        <w:rPr>
          <w:i/>
        </w:rPr>
        <w:t>throughout the genome</w:t>
      </w:r>
    </w:p>
    <w:p w14:paraId="1086D612" w14:textId="34ACDC44" w:rsidR="008160BB" w:rsidRDefault="008160BB" w:rsidP="008160BB">
      <w:pPr>
        <w:spacing w:line="480" w:lineRule="auto"/>
        <w:ind w:firstLine="720"/>
      </w:pPr>
      <w:r>
        <w:t xml:space="preserve">The timepoints used for the analysis were chosen to overlap significant events in embryonic development that have known Groucho </w:t>
      </w:r>
      <w:commentRangeStart w:id="2"/>
      <w:r>
        <w:t>interactions</w:t>
      </w:r>
      <w:commentRangeEnd w:id="2"/>
      <w:r>
        <w:rPr>
          <w:rStyle w:val="CommentReference"/>
        </w:rPr>
        <w:commentReference w:id="2"/>
      </w:r>
      <w:r>
        <w:t xml:space="preserve">. The first timepoint (1.5 – 4 hours post </w:t>
      </w:r>
      <w:r w:rsidR="00CA7E4A">
        <w:t>fertilization</w:t>
      </w:r>
      <w:r>
        <w:t xml:space="preserve">) encompasses formation of the syncytial blastoderm and subsequent cellularization. It is during this stage that the expression patterns of the pair-rule and segment polarity genes </w:t>
      </w:r>
      <w:r w:rsidR="00CA7E4A">
        <w:t>(including engrailed, a Groucho-</w:t>
      </w:r>
      <w:r>
        <w:t>interacting TF) are established</w:t>
      </w:r>
      <w:r w:rsidR="00CA7E4A">
        <w:t xml:space="preserve">, a defining step in anterior-posterior patterning. Specification of presumptive germ layers along the dorsal-ventral axis occurs during this stage, primarily guided by the activity of Dorsal in conjunction with Groucho.  </w:t>
      </w:r>
      <w:r>
        <w:t>The second timepoint (4 – 6.5 hours) encompasses the growth and segmentation of the germ band, including the formation of neuroblasts</w:t>
      </w:r>
      <w:r w:rsidR="00CD348D">
        <w:t>, a crucial early step in the onset of neurogenesis</w:t>
      </w:r>
      <w:r>
        <w:t>. Timepoint 3 (6.5 – 9 hours) encompasses retraction of the germ band and fusion of the anterior and posterior midgut.</w:t>
      </w:r>
    </w:p>
    <w:p w14:paraId="35392F92" w14:textId="50B38509" w:rsidR="008160BB" w:rsidRDefault="008160BB" w:rsidP="008160BB">
      <w:pPr>
        <w:spacing w:line="480" w:lineRule="auto"/>
        <w:ind w:firstLine="720"/>
      </w:pPr>
      <w:r>
        <w:t>ChIP-seq was performed in duplicate on fly embryos representing each time point.  We used an affinity purified antibody raised against the Gro GP domain, which we validated extensively in immunopreci</w:t>
      </w:r>
      <w:r w:rsidR="00405377">
        <w:t>pitation and immunoblot assays. Sequencing libraries were sequenced to a depth that provided at minimum 5M uniquely mappable reads, far in excess of the minimum recommended by modENCODE C</w:t>
      </w:r>
      <w:r w:rsidR="003A1A0C">
        <w:t>hIP-seq best-practices (Fig. 2-1</w:t>
      </w:r>
      <w:r w:rsidR="00405377">
        <w:t xml:space="preserve">A) </w:t>
      </w:r>
      <w:r w:rsidR="00405377" w:rsidRPr="006433AF">
        <w:t>{Landt, 2012 #308}</w:t>
      </w:r>
      <w:r w:rsidR="00405377">
        <w:t>. Replicates exhibited high reproducibility in terms of both read density an</w:t>
      </w:r>
      <w:r w:rsidR="004207B2">
        <w:t>d resulting peak model (Fig. 2-1</w:t>
      </w:r>
      <w:r w:rsidR="00405377">
        <w:t xml:space="preserve">B, left and right, respectively). </w:t>
      </w:r>
      <w:r>
        <w:t xml:space="preserve">The high degree of correlation between our </w:t>
      </w:r>
      <w:r w:rsidR="00C91541">
        <w:t>ChIP-seq data set and a ChIP-chip</w:t>
      </w:r>
      <w:r>
        <w:t xml:space="preserve"> data set obtained from 0-12 hour embryos</w:t>
      </w:r>
      <w:r w:rsidR="00BE7AAB">
        <w:t xml:space="preserve">{Negre, 2011 #3035} </w:t>
      </w:r>
      <w:r>
        <w:t xml:space="preserve">using completely independent antibodies also validates our ChIP-seq </w:t>
      </w:r>
      <w:commentRangeStart w:id="3"/>
      <w:r>
        <w:t>data</w:t>
      </w:r>
      <w:commentRangeEnd w:id="3"/>
      <w:r w:rsidR="00D97BEB">
        <w:rPr>
          <w:rStyle w:val="CommentReference"/>
        </w:rPr>
        <w:commentReference w:id="3"/>
      </w:r>
      <w:r w:rsidR="00927C5A">
        <w:t xml:space="preserve"> (Fig. </w:t>
      </w:r>
      <w:r w:rsidR="005B535B">
        <w:t>2-2</w:t>
      </w:r>
      <w:r w:rsidR="002509E0">
        <w:t>)</w:t>
      </w:r>
      <w:r>
        <w:t>.</w:t>
      </w:r>
      <w:r w:rsidR="001E45E1">
        <w:t xml:space="preserve"> The modENCODE Groucho peaks were </w:t>
      </w:r>
      <w:r w:rsidR="00CD348D">
        <w:t>generated</w:t>
      </w:r>
      <w:r w:rsidR="001E45E1">
        <w:t xml:space="preserve"> from 0 – 12 </w:t>
      </w:r>
      <w:r w:rsidR="008428ED">
        <w:t>hour embryos and so represent</w:t>
      </w:r>
      <w:r w:rsidR="001E45E1">
        <w:t xml:space="preserve"> a time-averaged superset of our data. </w:t>
      </w:r>
      <w:r w:rsidR="008428ED">
        <w:t xml:space="preserve">Despite each of our datasets comprising only 21% of the development time represented by the modENCODE data, peak overlap is </w:t>
      </w:r>
      <w:r w:rsidR="00E81819">
        <w:t>significant</w:t>
      </w:r>
      <w:r w:rsidR="00CD348D">
        <w:t xml:space="preserve"> at each timepoint</w:t>
      </w:r>
      <w:r w:rsidR="00E81819">
        <w:t>. The</w:t>
      </w:r>
      <w:r w:rsidR="008428ED">
        <w:t xml:space="preserve"> greatest</w:t>
      </w:r>
      <w:r w:rsidR="00E81819">
        <w:t xml:space="preserve"> degree of </w:t>
      </w:r>
      <w:r w:rsidR="00CD348D">
        <w:t>similarity</w:t>
      </w:r>
      <w:r w:rsidR="00E81819">
        <w:t xml:space="preserve"> is seen when comparing </w:t>
      </w:r>
      <w:r w:rsidR="008428ED">
        <w:t xml:space="preserve">the 6.5 – 9 hour data set, which captures 68% of </w:t>
      </w:r>
      <w:r w:rsidR="00E81819">
        <w:t xml:space="preserve">all modENCODE-identified peaks. Additional comparison with modENCODE Groucho ChIP-chip data generated from white pre-pupae indicates that a significant fraction of the Groucho-regulated sites in embryos </w:t>
      </w:r>
      <w:r w:rsidR="00CD348D">
        <w:t xml:space="preserve">are </w:t>
      </w:r>
      <w:r w:rsidR="00E81819">
        <w:t>bound in this lat</w:t>
      </w:r>
      <w:r w:rsidR="00704DC2">
        <w:t>er developmental stage (Fig. 2-3</w:t>
      </w:r>
      <w:r w:rsidR="00E81819">
        <w:t xml:space="preserve">). </w:t>
      </w:r>
      <w:r w:rsidR="00CD348D">
        <w:t>However,</w:t>
      </w:r>
      <w:r w:rsidR="00E81819">
        <w:t xml:space="preserve"> the utilization of a large fraction of Groucho binding sites appears to be restricted to either embryonic or pupal stages</w:t>
      </w:r>
      <w:r w:rsidR="00CD348D">
        <w:t>, consistent with the distinct roles of Groucho-mediated repression during early and late development</w:t>
      </w:r>
      <w:r w:rsidR="00E81819">
        <w:t>.</w:t>
      </w:r>
    </w:p>
    <w:p w14:paraId="57A82F30" w14:textId="37ED1139"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as they represent a more consistent subset of all identified peaks</w:t>
      </w:r>
      <w:r w:rsidR="00A002D8">
        <w:t xml:space="preserve"> </w:t>
      </w:r>
      <w:r w:rsidR="00704DC2">
        <w:t>(Fig. 2-4</w:t>
      </w:r>
      <w:r w:rsidR="00A002D8">
        <w:t>). Groucho recruitment sites appear 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xml:space="preserve">, and therefore potentially participating in Grouch-mediated repression in at least one cell type or tissue throughout </w:t>
      </w:r>
      <w:r w:rsidR="001029DD">
        <w:t>the developmental timeframe analyzed</w:t>
      </w:r>
      <w:r w:rsidR="00704DC2">
        <w:t xml:space="preserve"> (Fig 2-5</w:t>
      </w:r>
      <w:r w:rsidR="0089157F">
        <w:t>)</w:t>
      </w:r>
      <w:r w:rsidR="00D863C5">
        <w:t>.</w:t>
      </w:r>
    </w:p>
    <w:p w14:paraId="7E19F558" w14:textId="4274BB83" w:rsidR="00DB11F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50% of all Groucho binding sites are unique to a single timepoint. The majority of the sites established during timepoint 1 </w:t>
      </w:r>
      <w:r w:rsidR="00CC067C">
        <w:t xml:space="preserve">that persist into timepoint 2 continue to persist into timepoint 3, indicating that </w:t>
      </w:r>
      <w:r w:rsidR="005726D7">
        <w:t>some Groucho binding sites are utilized throughout ear</w:t>
      </w:r>
      <w:r w:rsidR="003546C5">
        <w:t>ly development. Interestingly, 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w:t>
      </w:r>
      <w:commentRangeStart w:id="4"/>
      <w:r w:rsidR="005726D7">
        <w:t>again</w:t>
      </w:r>
      <w:commentRangeEnd w:id="4"/>
      <w:r w:rsidR="00237EB9">
        <w:rPr>
          <w:rStyle w:val="CommentReference"/>
        </w:rPr>
        <w:commentReference w:id="4"/>
      </w:r>
      <w:r w:rsidR="00CD348D">
        <w:t xml:space="preserve"> in the stages analyzed</w:t>
      </w:r>
      <w:r w:rsidR="005726D7">
        <w:t xml:space="preserve">. </w:t>
      </w:r>
    </w:p>
    <w:p w14:paraId="4BF353FE" w14:textId="77777777" w:rsidR="00FD1860" w:rsidRDefault="00FD1860" w:rsidP="00DB11F5">
      <w:pPr>
        <w:spacing w:line="480" w:lineRule="auto"/>
      </w:pPr>
    </w:p>
    <w:p w14:paraId="50EA0293" w14:textId="5CA0899F" w:rsidR="00FD1860" w:rsidRDefault="00FD1860" w:rsidP="00DB11F5">
      <w:pPr>
        <w:spacing w:line="480" w:lineRule="auto"/>
        <w:rPr>
          <w:i/>
        </w:rPr>
      </w:pPr>
      <w:r>
        <w:rPr>
          <w:i/>
        </w:rPr>
        <w:t xml:space="preserve">Groucho associates with </w:t>
      </w:r>
      <w:r w:rsidR="00DB5779">
        <w:rPr>
          <w:i/>
        </w:rPr>
        <w:t>multiple ventrally-repressed genes in patterns unique to early developmental stages</w:t>
      </w:r>
    </w:p>
    <w:p w14:paraId="10A31D1D" w14:textId="413FF81E" w:rsidR="00DB5779" w:rsidRPr="00224435" w:rsidRDefault="00DB5779" w:rsidP="00391BC9">
      <w:pPr>
        <w:spacing w:line="480" w:lineRule="auto"/>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(dl) along this</w:t>
      </w:r>
      <w:r w:rsidR="00C66AD0">
        <w:t xml:space="preserve"> axis {Roth, 1989 #1112}. In ventral and ventrolateral regions of the embryo, Dorsal facilitates the repression of </w:t>
      </w:r>
      <w:r w:rsidR="00C66AD0">
        <w:rPr>
          <w:i/>
        </w:rPr>
        <w:t xml:space="preserve">zen </w:t>
      </w:r>
      <w:r w:rsidR="00C66AD0">
        <w:t xml:space="preserve">and </w:t>
      </w:r>
      <w:r w:rsidR="00C66AD0">
        <w:rPr>
          <w:i/>
        </w:rPr>
        <w:t>dpp</w:t>
      </w:r>
      <w:r w:rsidR="00C66AD0">
        <w:t xml:space="preserve"> through its interaction with Groucho</w:t>
      </w:r>
      <w:r w:rsidR="00CD348D">
        <w:t>, a critical step in delineating presumptive mesodermal and neuroectodermal regions</w:t>
      </w:r>
      <w:r w:rsidR="00C66AD0">
        <w:t xml:space="preserve"> {Dubnicoff, 1997 #2366}. Ventral repression of </w:t>
      </w:r>
      <w:r w:rsidR="00C66AD0">
        <w:rPr>
          <w:i/>
        </w:rPr>
        <w:t>zen</w:t>
      </w:r>
      <w:r w:rsidR="00CD348D">
        <w:t xml:space="preserve"> is established through</w:t>
      </w:r>
      <w:r w:rsidR="00C66AD0">
        <w:t xml:space="preserve"> Dorsal recruitment to a so-called ventral repression region (VRR) between 1.1 to 1.4 kb upstream of the transcription start site. This region contains </w:t>
      </w:r>
      <w:r w:rsidR="00391BC9">
        <w:t>four</w:t>
      </w:r>
      <w:r w:rsidR="00C66AD0">
        <w:t xml:space="preserve"> Dorsal binding sites, as well as AT-rich regions </w:t>
      </w:r>
      <w:r w:rsidR="00BA7BC7">
        <w:t>responsible for the recruitment of Cut (</w:t>
      </w:r>
      <w:r w:rsidR="00BA7BC7" w:rsidRPr="00BA7BC7">
        <w:rPr>
          <w:i/>
        </w:rPr>
        <w:t>ct</w:t>
      </w:r>
      <w:r w:rsidR="00BA7BC7">
        <w:t>) and Dead ringer (</w:t>
      </w:r>
      <w:r w:rsidR="00BA7BC7">
        <w:rPr>
          <w:i/>
        </w:rPr>
        <w:t xml:space="preserve">dri, </w:t>
      </w:r>
      <w:r w:rsidR="00BA7BC7">
        <w:t>also known as</w:t>
      </w:r>
      <w:r w:rsidR="00C66AD0">
        <w:t xml:space="preserve"> </w:t>
      </w:r>
      <w:r w:rsidR="00BA7BC7">
        <w:t xml:space="preserve">Retained, </w:t>
      </w:r>
      <w:r w:rsidR="00BA7BC7">
        <w:rPr>
          <w:i/>
        </w:rPr>
        <w:t>retn</w:t>
      </w:r>
      <w:r w:rsidR="00BA7BC7">
        <w:t>)</w:t>
      </w:r>
      <w:r w:rsidR="00BA7BC7" w:rsidRPr="00BA7BC7">
        <w:t xml:space="preserve"> </w:t>
      </w:r>
      <w:r w:rsidR="00BA7BC7">
        <w:t>{Valentine, 1998 #3036}. Through the cooperative action of these factors, Groucho is recruited to establish repression. ChIP-seq data confirms that Gro localizes the the VRR, however Gro density is comparatively weak</w:t>
      </w:r>
      <w:r w:rsidR="00704DC2">
        <w:t xml:space="preserve"> within the VRR region (Fig. 2-6</w:t>
      </w:r>
      <w:r w:rsidR="00391BC9">
        <w:t>A</w:t>
      </w:r>
      <w:r w:rsidR="00BA7BC7">
        <w:t xml:space="preserve">). Stronger Gro signal is seen both directly upstream of the VRR (compared to </w:t>
      </w:r>
      <w:r w:rsidR="00BA7BC7">
        <w:rPr>
          <w:i/>
        </w:rPr>
        <w:t>zen</w:t>
      </w:r>
      <w:r w:rsidR="00BA7BC7">
        <w:t xml:space="preserve">), as well as downstream. This downstream region overlaps the TSS of </w:t>
      </w:r>
      <w:r w:rsidR="00BA7BC7">
        <w:rPr>
          <w:i/>
        </w:rPr>
        <w:t xml:space="preserve">zen </w:t>
      </w:r>
      <w:r w:rsidR="00BA7BC7">
        <w:t xml:space="preserve">and extends an additional 700 bp upstream of the gene. </w:t>
      </w:r>
      <w:r w:rsidR="005242B2">
        <w:t>Following</w:t>
      </w:r>
      <w:r w:rsidR="00BA7BC7">
        <w:t xml:space="preserve"> the 1.5 – 4 </w:t>
      </w:r>
      <w:r w:rsidR="005242B2">
        <w:t xml:space="preserve">hour </w:t>
      </w:r>
      <w:r w:rsidR="0093515F">
        <w:t>timespan</w:t>
      </w:r>
      <w:r w:rsidR="00BA7BC7">
        <w:t xml:space="preserve">, Groucho recruitment to the </w:t>
      </w:r>
      <w:r w:rsidR="00BA7BC7">
        <w:rPr>
          <w:i/>
        </w:rPr>
        <w:t>zen</w:t>
      </w:r>
      <w:r w:rsidR="00BA7BC7">
        <w:t xml:space="preserve"> locus shifts to a pair of peaks centered approximately 500 bp downstream of </w:t>
      </w:r>
      <w:r w:rsidR="00BA7BC7">
        <w:rPr>
          <w:i/>
        </w:rPr>
        <w:t>zen</w:t>
      </w:r>
      <w:r w:rsidR="00BA7BC7">
        <w:t xml:space="preserve">, and all upstream binding is lost. As no </w:t>
      </w:r>
      <w:r w:rsidR="00BA7BC7">
        <w:rPr>
          <w:i/>
        </w:rPr>
        <w:t>zen</w:t>
      </w:r>
      <w:r w:rsidR="00BA7BC7">
        <w:t xml:space="preserve"> regulatory regions have been characterized 3’ of the gene, it is now known if these regions represent actively repressive Groucho. </w:t>
      </w:r>
      <w:r w:rsidR="0093515F">
        <w:t>Though the mechanism has not been extensively documented</w:t>
      </w:r>
      <w:r w:rsidR="00BA7BC7">
        <w:t xml:space="preserve">, </w:t>
      </w:r>
      <w:r w:rsidR="00BA7BC7">
        <w:rPr>
          <w:i/>
        </w:rPr>
        <w:t xml:space="preserve">zen </w:t>
      </w:r>
      <w:r w:rsidR="002E3A14">
        <w:t>expression contracts in stage 5 (</w:t>
      </w:r>
      <w:r w:rsidR="00391BC9">
        <w:t>2 – 3 hr) embryos, and becomes permanently repressed afterwards.</w:t>
      </w:r>
      <w:r w:rsidR="00CD348D">
        <w:t xml:space="preserve"> Overall, Gro binding </w:t>
      </w:r>
      <w:r w:rsidR="00224435">
        <w:t xml:space="preserve">at the </w:t>
      </w:r>
      <w:r w:rsidR="00224435">
        <w:rPr>
          <w:i/>
        </w:rPr>
        <w:t xml:space="preserve">zen </w:t>
      </w:r>
      <w:r w:rsidR="00224435">
        <w:t>locus confirms that Gro is recruited specifically to the VRR, as previously described, but does not remain confined to this position. This Gro-associated region then appears to associate directly with the TSS of zen, as well as several hundred bases upstream. It is unlikely Gro is directly recruited adjacent to the TSS, as this region is not sufficient for Gro-mediated repression.</w:t>
      </w:r>
    </w:p>
    <w:p w14:paraId="717110CB" w14:textId="6101C9F2" w:rsidR="00810B6C" w:rsidRDefault="00391BC9" w:rsidP="00391BC9">
      <w:pPr>
        <w:spacing w:line="480" w:lineRule="auto"/>
      </w:pPr>
      <w:r>
        <w:tab/>
      </w:r>
      <w:r w:rsidR="00AF4F59">
        <w:t xml:space="preserve">Additionally, </w:t>
      </w:r>
      <w:r>
        <w:t xml:space="preserve">Dorsal </w:t>
      </w:r>
      <w:r w:rsidR="00BE0C0F">
        <w:t xml:space="preserve">is </w:t>
      </w:r>
      <w:r>
        <w:t>responsible for ventral repre</w:t>
      </w:r>
      <w:r w:rsidR="00AF4F59">
        <w:t>ssion of</w:t>
      </w:r>
      <w:r>
        <w:t xml:space="preserve"> decapentaplegic (dpp) i</w:t>
      </w:r>
      <w:r w:rsidR="00BE0C0F">
        <w:t>n early embryos</w:t>
      </w:r>
      <w:r w:rsidR="00AF4F59">
        <w:t xml:space="preserve"> (1.5 – 2 hours post fertilization) through the recruitment of Gro. Loss of Gro activity at this stage results in complete derepression of </w:t>
      </w:r>
      <w:r w:rsidR="00AF4F59">
        <w:rPr>
          <w:i/>
        </w:rPr>
        <w:t xml:space="preserve">dpp </w:t>
      </w:r>
      <w:r w:rsidR="00AF4F59">
        <w:t>in ventral regions of the embryo {Dubnicoff, 1997 #2366}.</w:t>
      </w:r>
      <w:r w:rsidR="00974E74">
        <w:t xml:space="preserve"> Dorsal binding sites </w:t>
      </w:r>
      <w:r w:rsidR="00C4678B">
        <w:t xml:space="preserve">necessary for restriction of </w:t>
      </w:r>
      <w:r w:rsidR="00C4678B">
        <w:rPr>
          <w:i/>
        </w:rPr>
        <w:t xml:space="preserve">dpp </w:t>
      </w:r>
      <w:r w:rsidR="00C4678B">
        <w:t xml:space="preserve">expression to the dorsal portion of the embryo </w:t>
      </w:r>
      <w:r w:rsidR="00224435">
        <w:t>have been</w:t>
      </w:r>
      <w:r w:rsidR="00C4678B">
        <w:t xml:space="preserve"> mapped to the second intron {Huang, 1993 #3037}. Our ChIP-seq data confirms extensive Gro rec</w:t>
      </w:r>
      <w:r w:rsidR="00704DC2">
        <w:t>ruitment to this site (Fig. 2-6</w:t>
      </w:r>
      <w:r w:rsidR="00C4678B">
        <w:t xml:space="preserve">B), indicating also that Groucho is lost from this locus at later timepoints, consistent with the finding that in later embryonic development multiple elements upstream of </w:t>
      </w:r>
      <w:r w:rsidR="00C4678B">
        <w:rPr>
          <w:i/>
        </w:rPr>
        <w:t>dpp</w:t>
      </w:r>
      <w:r w:rsidR="00C4678B">
        <w:t xml:space="preserve"> confine its expression into multiple lateral stripes along the extending germ band {Schwyter, 1995 #3038}. Extensive binding of Gro within these regions suggests that it also </w:t>
      </w:r>
      <w:r w:rsidR="00224435">
        <w:t>potentially has</w:t>
      </w:r>
      <w:r w:rsidR="00C4678B">
        <w:t xml:space="preserve"> a role in </w:t>
      </w:r>
      <w:r w:rsidR="00C4678B">
        <w:rPr>
          <w:i/>
        </w:rPr>
        <w:t>dpp</w:t>
      </w:r>
      <w:r w:rsidR="00C4678B">
        <w:t xml:space="preserve"> expression resulting from these elements. Additionally, </w:t>
      </w:r>
      <w:r w:rsidR="00C4678B">
        <w:rPr>
          <w:i/>
        </w:rPr>
        <w:t xml:space="preserve">dpp </w:t>
      </w:r>
      <w:r w:rsidR="00C4678B">
        <w:t>plays a crucial role in anterior-posterio</w:t>
      </w:r>
      <w:r w:rsidR="00224435">
        <w:t>r</w:t>
      </w:r>
      <w:r w:rsidR="00C4678B">
        <w:t xml:space="preserve"> patterning of limb imaginal discs </w:t>
      </w:r>
      <w:r w:rsidR="00224435">
        <w:t>during later developmental stages</w:t>
      </w:r>
      <w:r w:rsidR="00F6363E">
        <w:t xml:space="preserve"> {Spencer, 1982 #3039}. Expression of </w:t>
      </w:r>
      <w:r w:rsidR="00F6363E">
        <w:rPr>
          <w:i/>
        </w:rPr>
        <w:t>dpp</w:t>
      </w:r>
      <w:r w:rsidR="00F6363E">
        <w:t xml:space="preserve"> in imaginal discs is controlled by an extensive 3’ cis-regulatory region containing multiple Pangolin/TCF and Brinker binding sites</w:t>
      </w:r>
      <w:r w:rsidR="007B0590">
        <w:t xml:space="preserve"> {Blackman, 1991 #3040}{Theisen, 2007 #3041}</w:t>
      </w:r>
      <w:r w:rsidR="00F6363E">
        <w:t xml:space="preserve">. </w:t>
      </w:r>
      <w:r w:rsidR="007B0590">
        <w:t xml:space="preserve"> While this enhancer region is not known to </w:t>
      </w:r>
      <w:r w:rsidR="00224435">
        <w:t xml:space="preserve">participate </w:t>
      </w:r>
      <w:r w:rsidR="007B0590">
        <w:t xml:space="preserve">in </w:t>
      </w:r>
      <w:r w:rsidR="007B0590">
        <w:rPr>
          <w:i/>
        </w:rPr>
        <w:t xml:space="preserve">dpp </w:t>
      </w:r>
      <w:r w:rsidR="007B0590">
        <w:t xml:space="preserve">expression during embryogenesis, Groucho does bind both immediately downstream of </w:t>
      </w:r>
      <w:r w:rsidR="007B0590">
        <w:rPr>
          <w:i/>
        </w:rPr>
        <w:t>dpp</w:t>
      </w:r>
      <w:r w:rsidR="007B0590">
        <w:t xml:space="preserve"> and </w:t>
      </w:r>
      <w:r w:rsidR="00224435">
        <w:t>overlapping</w:t>
      </w:r>
      <w:r w:rsidR="007B0590">
        <w:t xml:space="preserve"> the second of three </w:t>
      </w:r>
      <w:r w:rsidR="00224435">
        <w:t xml:space="preserve">spaced </w:t>
      </w:r>
      <w:r w:rsidR="007B0590">
        <w:t>Pangolin binding sites between 4 to 9 hours of development</w:t>
      </w:r>
      <w:r w:rsidR="00AD14A9">
        <w:t>, indicating that these sites may potentially play a role earlier in development than previously hypothesized</w:t>
      </w:r>
      <w:r w:rsidR="007B0590">
        <w:t>.</w:t>
      </w:r>
    </w:p>
    <w:p w14:paraId="54656F6A" w14:textId="3612195A" w:rsidR="00391BC9" w:rsidRDefault="00810B6C" w:rsidP="00391BC9">
      <w:pPr>
        <w:spacing w:line="480" w:lineRule="auto"/>
      </w:pPr>
      <w:r>
        <w:tab/>
      </w:r>
      <w:r w:rsidR="00094D56">
        <w:t xml:space="preserve">Dorsal is also necessary for the ventral activation of a number of genes, a process that </w:t>
      </w:r>
      <w:r w:rsidR="0061663A">
        <w:t xml:space="preserve">is thought to be Groucho-independent. These ventrally-activated genes include rhomboid (rho), single-minded (sim), and short gastrulation (sog) {Ip, 1992 #3042}{Gonzalez-Crespo, 1993 #3043}. Loss of Gro activity was shown to result in restricted expression of these genes in 1.5 – 2 hour embryos, but did not result in significant change in expression pattern along the dorsoventral axis, so it is hypothesized that Gro is not involved in Dorsal-mediated activation of these genes. </w:t>
      </w:r>
    </w:p>
    <w:p w14:paraId="6F636C22" w14:textId="7ED6D66A" w:rsidR="0061663A" w:rsidRPr="00125DEA" w:rsidRDefault="0061663A" w:rsidP="00391BC9">
      <w:pPr>
        <w:spacing w:line="480" w:lineRule="auto"/>
        <w:rPr>
          <w:rFonts w:ascii="Times New Roman" w:eastAsia="Times New Roman" w:hAnsi="Times New Roman" w:cs="Times New Roman"/>
        </w:rPr>
      </w:pPr>
      <w:r>
        <w:tab/>
        <w:t>ChIP-seq data reveals, however, that Groucho potentially p</w:t>
      </w:r>
      <w:r w:rsidR="00125DEA">
        <w:t>lays a role in regulating</w:t>
      </w:r>
      <w:r>
        <w:t xml:space="preserve"> expression of these genes in some portions of the embryo</w:t>
      </w:r>
      <w:r w:rsidR="00FD1EAB">
        <w:t xml:space="preserve"> (Fig. 2-7)</w:t>
      </w:r>
      <w:r>
        <w:t xml:space="preserve">. A significant Gro peak overlaps </w:t>
      </w:r>
      <w:r w:rsidR="00125DEA">
        <w:t>a regulatory region</w:t>
      </w:r>
      <w:r>
        <w:t xml:space="preserve"> termed the neuroectoderm element (NEE) in 1.5 – 4 hour embryos. </w:t>
      </w:r>
      <w:r w:rsidR="00125DEA">
        <w:t xml:space="preserve">The area contains multiple Dorsal, Twist, and Snail binding sites, which are </w:t>
      </w:r>
      <w:r w:rsidR="00224435">
        <w:t xml:space="preserve">required for </w:t>
      </w:r>
      <w:r w:rsidR="00125DEA">
        <w:t xml:space="preserve">restriction of rhomboid expression to the presumptive neuroectoderm {Ip, 1992 #3042}. </w:t>
      </w:r>
      <w:r>
        <w:t>The Gro peak shifts towards an adjacent CRM termed the midline element (MLE) during 4 – 6.</w:t>
      </w:r>
      <w:r w:rsidR="001C45A5">
        <w:t>5 hours post fertilization.</w:t>
      </w:r>
      <w:r w:rsidR="00125DEA">
        <w:t xml:space="preserve"> It is unknown which factors bind to the MLE and would be responsible for recruitment. At both timepoints, recruitment of Groucho to the regulatory region is associated with additional binding at the TSS of </w:t>
      </w:r>
      <w:r w:rsidR="00125DEA">
        <w:rPr>
          <w:i/>
        </w:rPr>
        <w:t>rho</w:t>
      </w:r>
      <w:r w:rsidR="00125DEA">
        <w:t>. This may represent a looping of the enhancer region over the 1.5 – 2 kb intervening sequ</w:t>
      </w:r>
      <w:r w:rsidR="001D2B5B">
        <w:t xml:space="preserve">ence, which is depleted for Gro, potentially indicative of a repressive mechanism whereby Gro interacts with or blocks assembly of the primary </w:t>
      </w:r>
      <w:r w:rsidR="0060322B">
        <w:t>transcriptional</w:t>
      </w:r>
      <w:r w:rsidR="001D2B5B">
        <w:t xml:space="preserve"> machinery.</w:t>
      </w:r>
    </w:p>
    <w:p w14:paraId="5B91A954" w14:textId="77777777" w:rsidR="00DB11F5" w:rsidRDefault="00DB11F5" w:rsidP="00DB11F5">
      <w:pPr>
        <w:spacing w:line="480" w:lineRule="auto"/>
      </w:pPr>
    </w:p>
    <w:p w14:paraId="7CF3D4BE" w14:textId="69E7F741" w:rsidR="00275CDA" w:rsidRPr="00DB11F5" w:rsidRDefault="00DB11F5" w:rsidP="00DB11F5">
      <w:pPr>
        <w:spacing w:line="480" w:lineRule="auto"/>
        <w:rPr>
          <w:i/>
        </w:rPr>
      </w:pPr>
      <w:r>
        <w:rPr>
          <w:i/>
        </w:rPr>
        <w:t>Groucho-associated genes tend</w:t>
      </w:r>
      <w:r w:rsidR="005726D7">
        <w:rPr>
          <w:i/>
        </w:rPr>
        <w:t xml:space="preserve"> to be associated with multiple,</w:t>
      </w:r>
      <w:r>
        <w:rPr>
          <w:i/>
        </w:rPr>
        <w:t xml:space="preserve"> </w:t>
      </w:r>
      <w:r w:rsidR="00275CDA">
        <w:rPr>
          <w:i/>
        </w:rPr>
        <w:t xml:space="preserve">small </w:t>
      </w:r>
      <w:r>
        <w:rPr>
          <w:i/>
        </w:rPr>
        <w:t>clustered peaks</w:t>
      </w:r>
    </w:p>
    <w:p w14:paraId="3A9DF1C0" w14:textId="2CDA5E52" w:rsidR="0051034C" w:rsidRDefault="00DB11F5" w:rsidP="00A25B2F">
      <w:pPr>
        <w:spacing w:line="480" w:lineRule="auto"/>
        <w:ind w:firstLine="720"/>
      </w:pPr>
      <w:r>
        <w:t xml:space="preserve">Groucho binding regions </w:t>
      </w:r>
      <w:r w:rsidR="00275CDA">
        <w:t>are</w:t>
      </w:r>
      <w:r>
        <w:t xml:space="preserve"> associate</w:t>
      </w:r>
      <w:r w:rsidR="00AD5890">
        <w:t xml:space="preserve">d with fewer genes than there are </w:t>
      </w:r>
      <w:r w:rsidR="00211D7E">
        <w:t xml:space="preserve">total </w:t>
      </w:r>
      <w:r w:rsidR="00AD5890">
        <w:t>binding sites</w:t>
      </w:r>
      <w:r w:rsidR="00DC538D">
        <w:t xml:space="preserve"> (Fig. 2-8</w:t>
      </w:r>
      <w:r w:rsidR="00211D7E">
        <w:t>A)</w:t>
      </w:r>
      <w:r>
        <w:t xml:space="preserve"> due to the tendency of Groucho to localize to multiple regions around its potential targets</w:t>
      </w:r>
      <w:r w:rsidR="008754BB">
        <w:t xml:space="preserve">. </w:t>
      </w:r>
      <w:r w:rsidR="005726D7">
        <w:t>H</w:t>
      </w:r>
      <w:r>
        <w:t>alf of all Grouch</w:t>
      </w:r>
      <w:r w:rsidR="00237EB9">
        <w:t>o</w:t>
      </w:r>
      <w:r>
        <w:t>-associated genes have two or more Groucho peaks i</w:t>
      </w:r>
      <w:r w:rsidR="00DC538D">
        <w:t>n relative proximity (Fig. 2-8</w:t>
      </w:r>
      <w:r>
        <w:t>B)</w:t>
      </w:r>
      <w:r w:rsidR="004822AC">
        <w:t xml:space="preserve">, with an average of </w:t>
      </w:r>
      <w:r w:rsidR="00A45E0A">
        <w:t xml:space="preserve">2.5 </w:t>
      </w:r>
      <w:r w:rsidR="004822AC">
        <w:t>binding sites per associated gene</w:t>
      </w:r>
      <w:r>
        <w:t>.</w:t>
      </w:r>
      <w:r w:rsidR="005726D7">
        <w:t xml:space="preserve"> These peaks have median widths in the 500 – 700 bp range, indicative of point source peak</w:t>
      </w:r>
      <w:r w:rsidR="00A45E0A">
        <w:t>s</w:t>
      </w:r>
      <w:r w:rsidR="005726D7">
        <w:t xml:space="preserve">, as commonly seen for sequence-specific transcription factors, rather than the broad peaks typical of polymeric factors or histone </w:t>
      </w:r>
      <w:r w:rsidR="005368F2">
        <w:t>marks</w:t>
      </w:r>
      <w:r w:rsidR="00FD1EAB">
        <w:t xml:space="preserve"> (Fig. </w:t>
      </w:r>
      <w:r w:rsidR="00DC538D">
        <w:t>9)</w:t>
      </w:r>
      <w:r w:rsidR="005368F2">
        <w:t>. However, at all three timepoints, the distribution of peak widths exhibits a prominent tail of much wider peaks in the 1.5 to 2.5 kb range. This indicates that, consistent with previously proposed models of Groucho binding, it may be capable of spreading over relatively large regions of the genome, but this does not appear to be a common mode of chromatin association.</w:t>
      </w:r>
      <w:r w:rsidR="00E04A56">
        <w:t xml:space="preserve"> Average Grouch</w:t>
      </w:r>
      <w:r w:rsidR="00237EB9">
        <w:t>o</w:t>
      </w:r>
      <w:r w:rsidR="00E04A56">
        <w:t xml:space="preserve"> peak widths slightly increase at later timepoints, though whether this is indicative of a time-dependent change in the way Groucho interacts with chromatin, or slight differences in library composition, is </w:t>
      </w:r>
      <w:commentRangeStart w:id="5"/>
      <w:r w:rsidR="00E04A56">
        <w:t>unclear</w:t>
      </w:r>
      <w:commentRangeEnd w:id="5"/>
      <w:r w:rsidR="00237EB9">
        <w:rPr>
          <w:rStyle w:val="CommentReference"/>
        </w:rPr>
        <w:commentReference w:id="5"/>
      </w:r>
      <w:r w:rsidR="00E04A56">
        <w:t>.</w:t>
      </w:r>
    </w:p>
    <w:p w14:paraId="56377CA6" w14:textId="77777777" w:rsidR="00211D7E" w:rsidRDefault="00211D7E" w:rsidP="00A25B2F">
      <w:pPr>
        <w:spacing w:line="480" w:lineRule="auto"/>
        <w:ind w:firstLine="720"/>
      </w:pPr>
    </w:p>
    <w:p w14:paraId="29B5CFF6" w14:textId="3EF7DA2C" w:rsidR="00211D7E" w:rsidRPr="00211D7E" w:rsidRDefault="00211D7E" w:rsidP="00211D7E">
      <w:pPr>
        <w:spacing w:line="480" w:lineRule="auto"/>
        <w:rPr>
          <w:i/>
        </w:rPr>
      </w:pPr>
      <w:r>
        <w:rPr>
          <w:i/>
        </w:rPr>
        <w:t>Groucho binding is enriched in promoters, UTRs, and introns</w:t>
      </w:r>
    </w:p>
    <w:p w14:paraId="35DB4B4C" w14:textId="6C25E925" w:rsidR="00A54005" w:rsidRDefault="00A54005" w:rsidP="00A25B2F">
      <w:pPr>
        <w:spacing w:line="480" w:lineRule="auto"/>
        <w:ind w:firstLine="720"/>
      </w:pPr>
      <w:r>
        <w:t xml:space="preserve">Groucho binding is enriched in </w:t>
      </w:r>
      <w:r w:rsidR="008E3112">
        <w:t>promoter regions within 500bp of trans</w:t>
      </w:r>
      <w:r w:rsidR="007B05E7">
        <w:t>cript</w:t>
      </w:r>
      <w:r w:rsidR="00DC538D">
        <w:t>ion start sites (Fig. 2-10</w:t>
      </w:r>
      <w:r w:rsidR="008E3112">
        <w:t xml:space="preserve">A). Regions further upstream (20 kb to 2 kb) are depleted for Gro occupancy, and intermediate range regions (2 kb to 500 bp) show neither depletion </w:t>
      </w:r>
      <w:r w:rsidR="00237EB9">
        <w:t>n</w:t>
      </w:r>
      <w:r w:rsidR="008E3112">
        <w:t>or enrichment. Binding within introns and 5’ UTRs is enriched. This pattern of occupancy is at odds with the traditional view that Groucho is pri</w:t>
      </w:r>
      <w:r w:rsidR="00873A87">
        <w:t>marily a long-range corepressor</w:t>
      </w:r>
      <w:r w:rsidR="00C77C2F" w:rsidRPr="00C77C2F">
        <w:t xml:space="preserve"> </w:t>
      </w:r>
      <w:r w:rsidR="00C77C2F">
        <w:t>{Dubnicoff, 1997 #2366}</w:t>
      </w:r>
      <w:r w:rsidR="00C77C2F" w:rsidRPr="00C77C2F">
        <w:t xml:space="preserve"> </w:t>
      </w:r>
      <w:r w:rsidR="00C77C2F">
        <w:t>{Barolo, 1997 #2365}</w:t>
      </w:r>
      <w:r w:rsidR="0016503B">
        <w:t>, capable of repressing genes several kilobases away from its recruitment site, though it has also been shown to be capable of short-range repression through recruitment by additional transcription factors, such as knirps</w:t>
      </w:r>
      <w:r w:rsidR="00C77C2F" w:rsidRPr="00C77C2F">
        <w:t xml:space="preserve"> </w:t>
      </w:r>
      <w:r w:rsidR="00C77C2F">
        <w:t>{Payankaulam, 2009 #2955}</w:t>
      </w:r>
      <w:r w:rsidR="0016503B">
        <w:t>. Our data</w:t>
      </w:r>
      <w:r w:rsidR="00A15868">
        <w:t xml:space="preserve"> indicates that Gro </w:t>
      </w:r>
      <w:r w:rsidR="008E3112">
        <w:t>preferentially associates near TSSs and within genes.</w:t>
      </w:r>
      <w:r w:rsidR="00170024">
        <w:t xml:space="preserve"> Groucho sites exhibit a strong preference for binding within genes, with approximately 50% of peaks occurring within gene bodies across all timepoints </w:t>
      </w:r>
      <w:r w:rsidR="00DC538D">
        <w:t>(Fig. 2-10</w:t>
      </w:r>
      <w:r w:rsidR="00170024">
        <w:t xml:space="preserve">B). A small fraction of binding overlaps start sites (3 – 10%), and </w:t>
      </w:r>
      <w:r w:rsidR="0016503B">
        <w:t>intergenic binding</w:t>
      </w:r>
      <w:r w:rsidR="00170024">
        <w:t xml:space="preserve"> is </w:t>
      </w:r>
      <w:r w:rsidR="0016503B">
        <w:t xml:space="preserve">nearly </w:t>
      </w:r>
      <w:r w:rsidR="00170024">
        <w:t>evenly split between binding upstream and downstream of the nearest feature. Due to the complexity of enhancer-gene interactions, it is difficult to assign these intergenic binding sites accurately to a regulatory target, if such a target even exists for each peak.</w:t>
      </w:r>
    </w:p>
    <w:p w14:paraId="759C4F58" w14:textId="6A7BD33E" w:rsidR="007B6A08" w:rsidRDefault="007B6A08" w:rsidP="00A25B2F">
      <w:pPr>
        <w:spacing w:line="480" w:lineRule="auto"/>
        <w:ind w:firstLine="720"/>
      </w:pPr>
      <w:r>
        <w:t xml:space="preserve">Within gene bodies, Groucho </w:t>
      </w:r>
      <w:r w:rsidR="0016503B">
        <w:t>exhibits a strong preference for</w:t>
      </w:r>
      <w:r>
        <w:t xml:space="preserve"> binding within introns and UTRs, and is depleted for exon binding when compared to input</w:t>
      </w:r>
      <w:r w:rsidR="00DC538D">
        <w:t xml:space="preserve"> (Fig. 2-11</w:t>
      </w:r>
      <w:r w:rsidR="00E04A56">
        <w:t>A)</w:t>
      </w:r>
      <w:r>
        <w:t xml:space="preserve">. </w:t>
      </w:r>
      <w:r w:rsidR="00DA7CE5">
        <w:t xml:space="preserve">Between 60 and 80% of all </w:t>
      </w:r>
      <w:r w:rsidR="0016503B">
        <w:t xml:space="preserve">binding within genes </w:t>
      </w:r>
      <w:r w:rsidR="00BE570B">
        <w:t xml:space="preserve">occurs within </w:t>
      </w:r>
      <w:r w:rsidR="00FA6064">
        <w:t>introns, dependent</w:t>
      </w:r>
      <w:r w:rsidR="0016503B">
        <w:t xml:space="preserve"> on timepoint.</w:t>
      </w:r>
      <w:r w:rsidR="00E04A56">
        <w:t xml:space="preserve"> </w:t>
      </w:r>
      <w:r w:rsidR="00FA6064">
        <w:t xml:space="preserve">Of all Groucho </w:t>
      </w:r>
      <w:r w:rsidR="00970989">
        <w:t>intronic</w:t>
      </w:r>
      <w:r w:rsidR="00FA6064">
        <w:t xml:space="preserve"> binding sites, 40% fall within the first intron. This represents a more than 2-fold enrichment of binding preference for these introns, and is </w:t>
      </w:r>
      <w:r w:rsidR="00970989">
        <w:t>consistent</w:t>
      </w:r>
      <w:r w:rsidR="00FA6064">
        <w:t xml:space="preserve"> with the observation that the first introns of </w:t>
      </w:r>
      <w:r w:rsidR="00FA6064">
        <w:rPr>
          <w:i/>
        </w:rPr>
        <w:t xml:space="preserve">Drosophila </w:t>
      </w:r>
      <w:r w:rsidR="00FA6064">
        <w:t>genes tend to be longer, more conserved, and more sensitive to mutation than subsequent introns</w:t>
      </w:r>
      <w:r w:rsidR="00FA6064" w:rsidRPr="00FA6064">
        <w:t xml:space="preserve"> </w:t>
      </w:r>
      <w:r w:rsidR="00FA6064">
        <w:t>{Bradnam, 2008 #</w:t>
      </w:r>
      <w:commentRangeStart w:id="6"/>
      <w:r w:rsidR="00FA6064">
        <w:t>3034</w:t>
      </w:r>
      <w:commentRangeEnd w:id="6"/>
      <w:r w:rsidR="00237EB9">
        <w:rPr>
          <w:rStyle w:val="CommentReference"/>
        </w:rPr>
        <w:commentReference w:id="6"/>
      </w:r>
      <w:r w:rsidR="00FA6064">
        <w:t>}.</w:t>
      </w:r>
    </w:p>
    <w:p w14:paraId="4AE7A489" w14:textId="2B853AD2" w:rsidR="007E0AFD" w:rsidRDefault="007E0AFD" w:rsidP="00A25B2F">
      <w:pPr>
        <w:spacing w:line="480" w:lineRule="auto"/>
        <w:ind w:firstLine="720"/>
      </w:pPr>
      <w:r>
        <w:t>However, it is not known whether Groucho peaks arising inside genes are the result of direct recruitment of Groucho to those sites by</w:t>
      </w:r>
      <w:r w:rsidR="00B97924">
        <w:t xml:space="preserve"> interaction with</w:t>
      </w:r>
      <w:r>
        <w:t xml:space="preserve"> sequence-specific transcription factors, or if Groucho is recruited </w:t>
      </w:r>
      <w:r w:rsidR="00B97924">
        <w:t>to intergenic</w:t>
      </w:r>
      <w:r>
        <w:t xml:space="preserve"> </w:t>
      </w:r>
      <w:r w:rsidR="00543456">
        <w:t>regulatory</w:t>
      </w:r>
      <w:r>
        <w:t xml:space="preserve"> regions which are brought into contact with these introns</w:t>
      </w:r>
      <w:r w:rsidR="00B97924">
        <w:t xml:space="preserve"> through looping or a simila</w:t>
      </w:r>
      <w:r w:rsidR="00A1095E">
        <w:t>r rearrangement of the local topology</w:t>
      </w:r>
      <w:r>
        <w:t>, resulting in immunoprecipation of these regions</w:t>
      </w:r>
      <w:r w:rsidR="00FF685F">
        <w:t xml:space="preserve"> during ChIP-seq</w:t>
      </w:r>
      <w:r>
        <w:t>.</w:t>
      </w:r>
      <w:r w:rsidR="00A1095E">
        <w:t xml:space="preserve"> </w:t>
      </w:r>
      <w:r w:rsidR="00E534FE">
        <w:t>However, i</w:t>
      </w:r>
      <w:r w:rsidR="00AA2523">
        <w:t>t does appear that the interaction of Groucho with these introns</w:t>
      </w:r>
      <w:r w:rsidR="00E534FE">
        <w:t xml:space="preserve"> is specific due to the </w:t>
      </w:r>
      <w:r w:rsidR="001B3BB0">
        <w:t xml:space="preserve">restricted </w:t>
      </w:r>
      <w:r w:rsidR="00E534FE">
        <w:t>siz</w:t>
      </w:r>
      <w:r w:rsidR="001B3BB0">
        <w:t>e of the intronic binding sites. The</w:t>
      </w:r>
      <w:r w:rsidR="002031D7">
        <w:t xml:space="preserve"> median width of intronic sites is identical to intergenic sites (403 vs 402 bp, respectively). Therefore, some property of the intron is directing Groucho to associate with specific points within. Whether that property is a protein interaction with another intron-associated factor, or a topological property of</w:t>
      </w:r>
      <w:r w:rsidR="00A15868">
        <w:t xml:space="preserve"> the surround chromatin, is un</w:t>
      </w:r>
      <w:r w:rsidR="002031D7">
        <w:t>known.</w:t>
      </w:r>
    </w:p>
    <w:p w14:paraId="32C6AA8E" w14:textId="30FE839E" w:rsidR="00062ABD" w:rsidRPr="00062ABD" w:rsidRDefault="002031D7" w:rsidP="00062ABD">
      <w:pPr>
        <w:spacing w:line="480" w:lineRule="auto"/>
        <w:ind w:firstLine="720"/>
      </w:pPr>
      <w:r>
        <w:t xml:space="preserve">Motif analysis of the intronic Groucho recruitment sites </w:t>
      </w:r>
      <w:r w:rsidR="000F37B2">
        <w:t xml:space="preserve">identifies a small number of transcription factor biding motifs enriched at each timepoint, including some </w:t>
      </w:r>
      <w:r w:rsidR="007B05E7">
        <w:t>factors known to colocalize with Groucho</w:t>
      </w:r>
      <w:r w:rsidR="000F37B2">
        <w:t>, including twist</w:t>
      </w:r>
      <w:r w:rsidR="00062ABD">
        <w:t xml:space="preserve"> (twi)</w:t>
      </w:r>
      <w:r w:rsidR="000F37B2">
        <w:t>, tinman</w:t>
      </w:r>
      <w:r w:rsidR="00062ABD">
        <w:t xml:space="preserve"> (tin)</w:t>
      </w:r>
      <w:r w:rsidR="000F37B2">
        <w:t>, and pannier</w:t>
      </w:r>
      <w:r w:rsidR="007B05E7">
        <w:t xml:space="preserve"> (pnr), as well as</w:t>
      </w:r>
      <w:r w:rsidR="00062ABD">
        <w:t xml:space="preserve"> previously unassociated factors, including </w:t>
      </w:r>
      <w:r w:rsidR="00062ABD" w:rsidRPr="00062ABD">
        <w:t>vielfältig</w:t>
      </w:r>
      <w:r w:rsidR="00062ABD">
        <w:t xml:space="preserve"> (vlf)</w:t>
      </w:r>
      <w:r w:rsidR="00DC538D">
        <w:t xml:space="preserve"> (Fig. 2-12</w:t>
      </w:r>
      <w:r w:rsidR="007B05E7">
        <w:t>)</w:t>
      </w:r>
      <w:r w:rsidR="00A15868">
        <w:t>.</w:t>
      </w:r>
      <w:r w:rsidR="007B05E7">
        <w:t xml:space="preserve"> Enrichment of motifs are dependent on timepoint, exhibiting significant change over time. Additionally, some motifs are specific to Groucho peaks arising inside genes, such as moti</w:t>
      </w:r>
      <w:r w:rsidR="00220297">
        <w:t>fs corresponding to</w:t>
      </w:r>
      <w:r w:rsidR="007B05E7">
        <w:t xml:space="preserve"> serpent and ultraspiracle. </w:t>
      </w:r>
    </w:p>
    <w:p w14:paraId="47532ABB" w14:textId="3C9A30AC" w:rsidR="002031D7" w:rsidRPr="002031D7" w:rsidRDefault="002031D7" w:rsidP="00A25B2F">
      <w:pPr>
        <w:spacing w:line="480" w:lineRule="auto"/>
        <w:ind w:firstLine="720"/>
      </w:pPr>
    </w:p>
    <w:p w14:paraId="04C81D05" w14:textId="77777777" w:rsidR="008E3112" w:rsidRDefault="008E3112" w:rsidP="00A25B2F">
      <w:pPr>
        <w:spacing w:line="480" w:lineRule="auto"/>
        <w:ind w:firstLine="720"/>
      </w:pPr>
    </w:p>
    <w:p w14:paraId="4B17F8B9" w14:textId="03056B2F" w:rsidR="00C56855" w:rsidRDefault="004C62C0" w:rsidP="00DF7C23">
      <w:pPr>
        <w:spacing w:line="480" w:lineRule="auto"/>
      </w:pPr>
      <w:r w:rsidRPr="00C316C2">
        <w:rPr>
          <w:i/>
        </w:rPr>
        <w:t>Identification of Groucho Targets by Developmental Stage</w:t>
      </w:r>
    </w:p>
    <w:p w14:paraId="155F22AB" w14:textId="3961CE64" w:rsidR="00A30785" w:rsidRDefault="00631114" w:rsidP="00BA12A8">
      <w:pPr>
        <w:spacing w:line="480" w:lineRule="auto"/>
        <w:ind w:firstLine="720"/>
      </w:pPr>
      <w:r>
        <w:t xml:space="preserve">In order to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(Gro∆</w:t>
      </w:r>
      <w:commentRangeStart w:id="7"/>
      <w:r w:rsidR="009D5C49">
        <w:t>SP</w:t>
      </w:r>
      <w:commentRangeEnd w:id="7"/>
      <w:r w:rsidR="00071D1D">
        <w:rPr>
          <w:rStyle w:val="CommentReference"/>
        </w:rPr>
        <w:commentReference w:id="7"/>
      </w:r>
      <w:r w:rsidR="009D5C49">
        <w:t>)</w:t>
      </w:r>
      <w:r w:rsidR="00A30785">
        <w:t xml:space="preserve">. 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derived from female germline clones of a Gro allele that give rise to a severely truncated and therefore non-functional Gro </w:t>
      </w:r>
      <w:r w:rsidR="00306543">
        <w:t>gene product</w:t>
      </w:r>
      <w:r w:rsidR="009D5C49">
        <w:t>.</w:t>
      </w:r>
      <w:r w:rsidR="00306543">
        <w:t xml:space="preserve"> Analysis of Gro transcript levels across samples at each timepoint confirms overexpressing lines accumulated increased transcript levels, with the effect being greatest at the first timepoint</w:t>
      </w:r>
      <w:r w:rsidR="00DC538D">
        <w:t xml:space="preserve"> (Fig. 2-13</w:t>
      </w:r>
      <w:r w:rsidR="00306543">
        <w:t>A</w:t>
      </w:r>
      <w:r w:rsidR="00A15868">
        <w:t>);</w:t>
      </w:r>
      <w:r w:rsidR="00306543">
        <w:t xml:space="preserve"> Groucho loss-of-function embryos failed to accumulate Gro transcripts to any significant degree across all timepoints. Wild-type embryos exhibit the </w:t>
      </w:r>
      <w:r w:rsidR="00A15868">
        <w:t>expected</w:t>
      </w:r>
      <w:r w:rsidR="00306543">
        <w:t xml:space="preserve"> pattern of initially high levels of maternally-deposited transcript, which are </w:t>
      </w:r>
      <w:r w:rsidR="00A15868">
        <w:t>gradually</w:t>
      </w:r>
      <w:r w:rsidR="00306543">
        <w:t xml:space="preserve"> reduced as </w:t>
      </w:r>
      <w:r w:rsidR="00DC538D">
        <w:t>development proceeds (Fig. 2-13</w:t>
      </w:r>
      <w:r w:rsidR="00306543">
        <w:t>B).</w:t>
      </w:r>
    </w:p>
    <w:p w14:paraId="7D7FE12C" w14:textId="601285B6" w:rsidR="00306543" w:rsidRDefault="00306543" w:rsidP="00BA12A8">
      <w:pPr>
        <w:spacing w:line="480" w:lineRule="auto"/>
        <w:ind w:firstLine="720"/>
      </w:pPr>
      <w:r>
        <w:t xml:space="preserve">Clustering of RNA-seq </w:t>
      </w:r>
      <w:r w:rsidR="00A15868">
        <w:t>profiles</w:t>
      </w:r>
      <w:r>
        <w:t xml:space="preserve"> reveals the transcriptomes cluster </w:t>
      </w:r>
      <w:r w:rsidR="00A15868">
        <w:t xml:space="preserve">first </w:t>
      </w:r>
      <w:r>
        <w:t>by timepoint, then by Groucho dosage</w:t>
      </w:r>
      <w:r w:rsidR="00DC538D">
        <w:t xml:space="preserve"> (Fig 2-14</w:t>
      </w:r>
      <w:r w:rsidR="00F034D8">
        <w:t>)</w:t>
      </w:r>
      <w:r>
        <w:t>.</w:t>
      </w:r>
      <w:r w:rsidR="00F034D8">
        <w:t xml:space="preserve"> Groucho loss-of-function samples segregate well from wild-type and overexpression samples, while cluster discrimination between wild-type and overexpression is relatively weak, indicating that loss-of-function embryos exhibit a greater degree of transcriptome deviation from all other samples, while there are enough similarities between overexpression and wild-type embryos that they can cluster together. Groucho loss-of-function samples from the second and third timepoints cluster independently from all other samples at those </w:t>
      </w:r>
      <w:r w:rsidR="00A15868">
        <w:t>two timepoints, indicating that</w:t>
      </w:r>
      <w:r w:rsidR="00F034D8">
        <w:t xml:space="preserve"> </w:t>
      </w:r>
      <w:r w:rsidR="00A15868">
        <w:t xml:space="preserve">the </w:t>
      </w:r>
      <w:r w:rsidR="00F034D8">
        <w:t xml:space="preserve">accumulation of differences in gene regulation has put these embryos on a </w:t>
      </w:r>
      <w:r w:rsidR="00A15868">
        <w:t>highly divergent</w:t>
      </w:r>
      <w:r w:rsidR="00F034D8">
        <w:t xml:space="preserve"> and non-viable de</w:t>
      </w:r>
      <w:r w:rsidR="00220297">
        <w:t>v</w:t>
      </w:r>
      <w:r w:rsidR="00DC538D">
        <w:t>elopmental trajectory (Fig. 2-14</w:t>
      </w:r>
      <w:r w:rsidR="00F034D8">
        <w:t>, red box).</w:t>
      </w:r>
    </w:p>
    <w:p w14:paraId="16C526A4" w14:textId="436AB50E"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w:t>
      </w:r>
      <w:r w:rsidR="00220297">
        <w:t>a</w:t>
      </w:r>
      <w:r w:rsidR="00DC538D">
        <w:t>nges evolve over time (Fig. 2-15</w:t>
      </w:r>
      <w:r>
        <w:t xml:space="preserve">).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Gro dosage on the y-axis, fitting with the major </w:t>
      </w:r>
      <w:r w:rsidR="00943FAB">
        <w:t>determinants</w:t>
      </w:r>
      <w:r w:rsidR="006F1624">
        <w:t xml:space="preserve"> of hierarchical clustering seen in the previous c</w:t>
      </w:r>
      <w:r w:rsidR="00943FAB">
        <w:t xml:space="preserve">orrelation heatmap. </w:t>
      </w:r>
      <w:r w:rsidR="004F14EE">
        <w:t xml:space="preserve">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Gro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2C2BF65A" w:rsidR="00A15868" w:rsidRDefault="009D5C49" w:rsidP="00BA12A8">
      <w:pPr>
        <w:spacing w:line="480" w:lineRule="auto"/>
        <w:ind w:firstLine="720"/>
      </w:pPr>
      <w:r>
        <w:t>Perturbation of Groucho levels results in the misregulation of a significant proportion of the Drosophila genome over each timespan (</w:t>
      </w:r>
      <w:r w:rsidR="000B41DA" w:rsidRPr="00DF7C23">
        <w:t>Fig</w:t>
      </w:r>
      <w:r w:rsidR="00DC538D">
        <w:t xml:space="preserve"> 2-16</w:t>
      </w:r>
      <w:r w:rsidR="007263B7">
        <w:t>A</w:t>
      </w:r>
      <w:r>
        <w:t>). The Groucho loss-of-function phenotype was more severe than that obtained from overexpression,</w:t>
      </w:r>
      <w:r w:rsidR="00E67908">
        <w:t xml:space="preserve"> with</w:t>
      </w:r>
      <w:r w:rsidR="004643B0">
        <w:t xml:space="preserve"> over 10% of genes exhibiting changes in expression level</w:t>
      </w:r>
      <w:r w:rsidR="00E67908">
        <w:t xml:space="preserve"> at each </w:t>
      </w:r>
      <w:commentRangeStart w:id="8"/>
      <w:r w:rsidR="00E67908">
        <w:t>timepoint</w:t>
      </w:r>
      <w:commentRangeEnd w:id="8"/>
      <w:r w:rsidR="00071D1D">
        <w:rPr>
          <w:rStyle w:val="CommentReference"/>
        </w:rPr>
        <w:commentReference w:id="8"/>
      </w:r>
      <w:r w:rsidR="007263B7">
        <w:t xml:space="preserve">, with the greatest effect seen in the second, 4 </w:t>
      </w:r>
      <w:r w:rsidR="00551DEF">
        <w:t>to</w:t>
      </w:r>
      <w:r w:rsidR="00DC538D">
        <w:t xml:space="preserve"> 6.5 hour stage (Fig. 2-16</w:t>
      </w:r>
      <w:r w:rsidR="007263B7">
        <w:t>B). Overexpression samples exhibit a smaller yet still significant proportion of differentially expressed genes, with the strongest ef</w:t>
      </w:r>
      <w:r w:rsidR="00FD7F1A">
        <w:t>fect seen at the final, 6.</w:t>
      </w:r>
      <w:r w:rsidR="007263B7">
        <w:t>5 to 9 hour stage</w:t>
      </w:r>
      <w:r w:rsidR="004643B0">
        <w:t xml:space="preserve">. </w:t>
      </w:r>
      <w:r w:rsidR="00FD7F1A">
        <w:t xml:space="preserve">Comparison of differentially expressed genes in the three Gro overexpression lines reveals significant correlation between activation or repression </w:t>
      </w:r>
      <w:r w:rsidR="00973604">
        <w:t>of genes regardless of Groucho dosage</w:t>
      </w:r>
      <w:r w:rsidR="00FD7F1A">
        <w:t>, with this effect holding ac</w:t>
      </w:r>
      <w:r w:rsidR="00DC538D">
        <w:t>ross all timepoints (Fig. 2-17</w:t>
      </w:r>
      <w:r w:rsidR="00A15868">
        <w:t>).</w:t>
      </w:r>
    </w:p>
    <w:p w14:paraId="206C37C0" w14:textId="2D93EAA5" w:rsidR="009D5C49" w:rsidRPr="00742D23" w:rsidRDefault="004643B0" w:rsidP="00BA12A8">
      <w:pPr>
        <w:spacing w:line="480" w:lineRule="auto"/>
        <w:ind w:firstLine="720"/>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r w:rsidR="00E67908">
        <w:t>huckebein</w:t>
      </w:r>
      <w:r w:rsidR="00071D1D">
        <w:t>, zen, Sxl, dpp, etc.</w:t>
      </w:r>
      <w:r w:rsidR="00E67908">
        <w:t>),</w:t>
      </w:r>
      <w:r>
        <w:t xml:space="preserve"> it is suspected that many of these </w:t>
      </w:r>
      <w:r w:rsidR="00ED2BD5">
        <w:t>potential</w:t>
      </w:r>
      <w:r>
        <w:t xml:space="preserve"> Groucho targets are secondary targets of Groucho and are not regulated by</w:t>
      </w:r>
      <w:r w:rsidR="00FE0377">
        <w:t xml:space="preserve"> direct</w:t>
      </w:r>
      <w:r>
        <w:t xml:space="preserve"> Groucho occupancy of their enhancer regions.</w:t>
      </w:r>
      <w:r w:rsidR="00FD7F1A">
        <w:t xml:space="preserve"> In order to reduce the inclusion of these secondary effects in our determination of Gro targets, we </w:t>
      </w:r>
      <w:r w:rsidR="00A15868">
        <w:t>refined</w:t>
      </w:r>
      <w:r w:rsidR="00FD7F1A">
        <w:t xml:space="preserve"> the list of potential Groucho targets in two ways. First, we focus</w:t>
      </w:r>
      <w:r w:rsidR="00A15868">
        <w:t>ed</w:t>
      </w:r>
      <w:r w:rsidR="00FD7F1A">
        <w:t xml:space="preserve"> on genes that exhibit a response of an opposite magnitude in the loss-of-function and one and more overexpression lines (i.e. up-regulated under conditions of lowered Gro dosage and down-regulated under increased dosage, or vice-versa). This results in a significant restriction of the effected gene l</w:t>
      </w:r>
      <w:r w:rsidR="00DC53DC">
        <w:t>ist at each timepoint</w:t>
      </w:r>
      <w:r w:rsidR="00DC538D">
        <w:t xml:space="preserve"> (Fig. 2-18</w:t>
      </w:r>
      <w:r w:rsidR="00FD7F1A">
        <w:t xml:space="preserve">). Secondly, we narrowed this list to only those genes associated with </w:t>
      </w:r>
      <w:r w:rsidR="00A15868">
        <w:t xml:space="preserve">adjacent or overlapping </w:t>
      </w:r>
      <w:r w:rsidR="00FD7F1A">
        <w:t xml:space="preserve">Groucho binding, as determined by ChIP-seq. The resulting gene list </w:t>
      </w:r>
      <w:r w:rsidR="00E408C1">
        <w:t xml:space="preserve">is significantly reduced, consisting of </w:t>
      </w:r>
      <w:r w:rsidR="003E4050">
        <w:t>248 genes, of which 151 are common between the 2x and 4x G</w:t>
      </w:r>
      <w:r w:rsidR="00DC53DC">
        <w:t>r</w:t>
      </w:r>
      <w:r w:rsidR="00DC538D">
        <w:t>o overexpression lines (Fig 2-19</w:t>
      </w:r>
      <w:r w:rsidR="003E4050">
        <w:t xml:space="preserve"> &amp; Supplemental Table 1). </w:t>
      </w:r>
    </w:p>
    <w:p w14:paraId="03CB6574" w14:textId="74C50621" w:rsidR="009D5C49" w:rsidRDefault="009D5C49" w:rsidP="00BA12A8">
      <w:pPr>
        <w:spacing w:line="480" w:lineRule="auto"/>
        <w:ind w:firstLine="720"/>
      </w:pPr>
      <w:r>
        <w:t xml:space="preserve">Though the Groucho/TLE family of proteins have traditionally </w:t>
      </w:r>
      <w:r w:rsidR="0073152C">
        <w:t xml:space="preserve">been thought of as obligate repressors, </w:t>
      </w:r>
      <w:r w:rsidR="005D1B49">
        <w:t>TLE3, a human Groucho ortholog</w:t>
      </w:r>
      <w:r w:rsidR="0073152C">
        <w:t>, was recently shown to primarily serve as an activator, though the mechanism remains unknown</w:t>
      </w:r>
      <w:r w:rsidR="005C4807">
        <w:t xml:space="preserve"> {Villanueva, 2011 #1659}</w:t>
      </w:r>
      <w:r w:rsidR="004314D5">
        <w:t>. Additionally, CtBP</w:t>
      </w:r>
      <w:r w:rsidR="000514F0">
        <w:t xml:space="preserve">, a canonical, short-range </w:t>
      </w:r>
      <w:r w:rsidR="000514F0">
        <w:rPr>
          <w:i/>
        </w:rPr>
        <w:t xml:space="preserve">Drosophila </w:t>
      </w:r>
      <w:r w:rsidR="00D74350">
        <w:t>co</w:t>
      </w:r>
      <w:r w:rsidR="000514F0">
        <w:t>repressor, was shown to serve as a co-activator of certain Wnt-regulated genes, this switch in behavior being controlled by the protein’s oligomeric state</w:t>
      </w:r>
      <w:r w:rsidR="005C4807" w:rsidRPr="005C4807">
        <w:t xml:space="preserve"> </w:t>
      </w:r>
      <w:r w:rsidR="005C4807">
        <w:t>{Bhambhani, 2011 #2284}</w:t>
      </w:r>
      <w:r w:rsidR="000514F0">
        <w:t>.</w:t>
      </w:r>
    </w:p>
    <w:p w14:paraId="7DC1B77C" w14:textId="1E42EE6F" w:rsidR="00A30785" w:rsidRDefault="008D6626" w:rsidP="00D174D1">
      <w:pPr>
        <w:spacing w:line="480" w:lineRule="auto"/>
        <w:ind w:firstLine="720"/>
      </w:pPr>
      <w:r>
        <w:t>The significantly enriched gene ontology groups for predicted Groucho-repressed genes (n = 162) contain several groups indicative of transcription regulation (GO:0006355, n = 37) and developmental processes (GO:0032502, n = 81)</w:t>
      </w:r>
      <w:r w:rsidR="00DC53DC">
        <w:t xml:space="preserve"> (Fig</w:t>
      </w:r>
      <w:r w:rsidR="00DC538D">
        <w:t>. 2-20</w:t>
      </w:r>
      <w:r w:rsidR="00DC53DC">
        <w:t>)</w:t>
      </w:r>
      <w:r>
        <w:t xml:space="preserve">. </w:t>
      </w:r>
      <w:r w:rsidR="000B41DA">
        <w:rPr>
          <w:i/>
        </w:rPr>
        <w:t xml:space="preserve"> </w:t>
      </w:r>
      <w:r>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t xml:space="preserve"> and do not represent direct Groucho targets.</w:t>
      </w: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77777777" w:rsidR="00683D3D" w:rsidRDefault="00683D3D" w:rsidP="00DF7C23">
      <w:pPr>
        <w:spacing w:line="480" w:lineRule="auto"/>
        <w:rPr>
          <w:i/>
        </w:rPr>
      </w:pPr>
    </w:p>
    <w:p w14:paraId="1AE4084D" w14:textId="211F0B1C" w:rsidR="00866555" w:rsidRDefault="009B74B7" w:rsidP="00D174D1">
      <w:pPr>
        <w:spacing w:line="480" w:lineRule="auto"/>
        <w:ind w:firstLine="720"/>
      </w:pPr>
      <w:r>
        <w:t xml:space="preserve">Promotor-proximal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025A7A" w:rsidRPr="00025A7A">
        <w:t xml:space="preserve"> </w:t>
      </w:r>
      <w:r w:rsidR="00025A7A">
        <w:t>{Lis, 1993 #2380}</w:t>
      </w:r>
      <w:r>
        <w:t xml:space="preserve">. Since this discovery, polymerase stalling has been found to be a </w:t>
      </w:r>
      <w:r w:rsidR="00DE77EE">
        <w:t>ubiquitous</w:t>
      </w:r>
      <w:r>
        <w:t xml:space="preserve"> regulatory </w:t>
      </w:r>
      <w:r w:rsidR="00DE77EE">
        <w:t>mechanism</w:t>
      </w:r>
      <w:r w:rsidR="00025A7A" w:rsidRPr="00025A7A">
        <w:t xml:space="preserve"> </w:t>
      </w:r>
      <w:r w:rsidR="00025A7A">
        <w:t>{Conaway, 2000 #2381}</w:t>
      </w:r>
      <w:r>
        <w:t xml:space="preserve">, with strong peaks of PolII present in the promoter regions of a diverse array of genes throughout the </w:t>
      </w:r>
      <w:r>
        <w:rPr>
          <w:i/>
        </w:rPr>
        <w:t>Droosphila</w:t>
      </w:r>
      <w:r w:rsidR="00B570B8">
        <w:t xml:space="preserve"> </w:t>
      </w:r>
      <w:r>
        <w:t>genome.</w:t>
      </w:r>
      <w:r w:rsidR="00866555">
        <w:t xml:space="preserve"> </w:t>
      </w:r>
    </w:p>
    <w:p w14:paraId="770FE57D" w14:textId="601B577D" w:rsidR="00683D3D" w:rsidRPr="00AB3610" w:rsidRDefault="00866555" w:rsidP="00D174D1">
      <w:pPr>
        <w:spacing w:line="480" w:lineRule="auto"/>
        <w:ind w:firstLine="720"/>
      </w:pPr>
      <w:r>
        <w:t xml:space="preserve">To explore whether Groucho regulation potentially promotes the stalling of polymerase, we undertook to compare Groucho-regulated genes with publically available genome-wide </w:t>
      </w:r>
      <w:r w:rsidR="005A72DA">
        <w:t>PolII localization data</w:t>
      </w:r>
      <w:r w:rsidR="00780FE2">
        <w:t xml:space="preserve"> {Zeitlinger, 2007 #3010}</w:t>
      </w:r>
      <w:r w:rsidR="005A72DA">
        <w:t xml:space="preserve">. In this data set, the authors classified each gene into one of several states including the lack of detected PolII, active (elongation phase) PolII, or stalled PolII. Comparing genes </w:t>
      </w:r>
      <w:r w:rsidR="000B3215">
        <w:t>exhibiting change in expression levels under Groucho loss-of-function conditions</w:t>
      </w:r>
      <w:r w:rsidR="005A72DA">
        <w:t xml:space="preserve">, we see a strong correlation between </w:t>
      </w:r>
      <w:r w:rsidR="000B3215">
        <w:t xml:space="preserve">genes repressed by Groucho and PolII pausing </w:t>
      </w:r>
      <w:r w:rsidR="00EB13DB">
        <w:t>(</w:t>
      </w:r>
      <w:r w:rsidR="00AB3610">
        <w:t xml:space="preserve">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&gt; 0.05)</w:t>
      </w:r>
      <w:r w:rsidR="009D10E7">
        <w:t xml:space="preserve"> (Fig. 2-22</w:t>
      </w:r>
      <w:r w:rsidR="00A95BC0">
        <w:t>)</w:t>
      </w:r>
      <w:r w:rsidR="00AB3610">
        <w:t xml:space="preserve">. Conversely, genes activated by Groucho are enriched for active PolII (315 genes, </w:t>
      </w:r>
      <w:r w:rsidR="00AB3610">
        <w:rPr>
          <w:i/>
        </w:rPr>
        <w:t xml:space="preserve">p &lt; </w:t>
      </w:r>
      <w:r w:rsidR="00AB3610" w:rsidRPr="00AB3610">
        <w:t>10</w:t>
      </w:r>
      <w:r w:rsidR="00AB3610" w:rsidRPr="00AB3610">
        <w:rPr>
          <w:vertAlign w:val="superscript"/>
        </w:rPr>
        <w:t>-20</w:t>
      </w:r>
      <w:r w:rsidR="00AB3610">
        <w:t xml:space="preserve">), while Gro repressed genes are not (174 genes, </w:t>
      </w:r>
      <w:r w:rsidR="00AB3610">
        <w:rPr>
          <w:i/>
        </w:rPr>
        <w:t xml:space="preserve">p </w:t>
      </w:r>
      <w:r w:rsidR="00AB3610">
        <w:t>&gt; 0.01). Together, this provides strong evidence that, at least at early timepoints, a significant fraction of Groucho-associated genes exhibit characteristics of PolII pausing. The retention or prevention of PolII from 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p>
    <w:p w14:paraId="184827ED" w14:textId="23307083" w:rsidR="004D40D9" w:rsidRDefault="00FF5970" w:rsidP="00FF4316">
      <w:pPr>
        <w:pStyle w:val="Heading2"/>
        <w:spacing w:line="480" w:lineRule="auto"/>
      </w:pPr>
      <w:bookmarkStart w:id="9" w:name="revised-results-section"/>
      <w:bookmarkEnd w:id="9"/>
      <w:r>
        <w:t>Discussion</w:t>
      </w:r>
    </w:p>
    <w:p w14:paraId="14592686" w14:textId="77777777" w:rsidR="004D40D9" w:rsidRDefault="004D40D9" w:rsidP="00FF4316">
      <w:pPr>
        <w:spacing w:line="480" w:lineRule="auto"/>
      </w:pPr>
    </w:p>
    <w:p w14:paraId="4067F7EC" w14:textId="14711795" w:rsidR="00E8404E" w:rsidRDefault="00FF4316" w:rsidP="00FF4316">
      <w:pPr>
        <w:spacing w:line="480" w:lineRule="auto"/>
        <w:rPr>
          <w:i/>
        </w:rPr>
      </w:pPr>
      <w:r>
        <w:rPr>
          <w:i/>
        </w:rPr>
        <w:t>Groucho is recruited ubiquitiously and dynamically throughout the genome</w:t>
      </w:r>
    </w:p>
    <w:p w14:paraId="3792C3DF" w14:textId="77777777" w:rsidR="00FF4316" w:rsidRDefault="00FF4316" w:rsidP="00FF4316">
      <w:pPr>
        <w:spacing w:line="480" w:lineRule="auto"/>
      </w:pPr>
    </w:p>
    <w:p w14:paraId="297241B4" w14:textId="77777777" w:rsidR="00D07ED5" w:rsidRDefault="00FF4316" w:rsidP="00FF4316">
      <w:pPr>
        <w:spacing w:line="480" w:lineRule="auto"/>
      </w:pPr>
      <w:r>
        <w:tab/>
        <w:t xml:space="preserve">In our current study, we have identified thousands of novel Groucho-recruitment sites throughout the Drosophila genome. </w:t>
      </w:r>
      <w:r w:rsidR="005260C7">
        <w:t xml:space="preserve">The majority of these sites are present during only one of the three timepoints analyzed, supporting the conclusion that the majority of these sites are actively participating in developmental gene regulation. The small carry-over of Gro biding from the 1.5 – 4 hr to 4 – 6.5 hr stages represents a widespread shift in Gro occupancy, consistent with the changing roles of Gro throughout development, as the availability of sequence-specific transcription factors changes across the embryo. </w:t>
      </w:r>
    </w:p>
    <w:p w14:paraId="6606788D" w14:textId="77777777" w:rsidR="00BD1255" w:rsidRDefault="00693819" w:rsidP="00D07ED5">
      <w:pPr>
        <w:spacing w:line="480" w:lineRule="auto"/>
        <w:ind w:firstLine="720"/>
      </w:pPr>
      <w:r>
        <w:t xml:space="preserve">During the 1.5 – 4 hr stage, Gro is essential for correct determination of cell fates along the dorsal-ventral axis through cooperation with Dorsal. Groucho is recruited both within and surrounding two early ventrally-repressed genes, </w:t>
      </w:r>
      <w:r>
        <w:rPr>
          <w:i/>
        </w:rPr>
        <w:t xml:space="preserve">zen </w:t>
      </w:r>
      <w:r>
        <w:t xml:space="preserve">and </w:t>
      </w:r>
      <w:r>
        <w:rPr>
          <w:i/>
        </w:rPr>
        <w:t>dpp</w:t>
      </w:r>
      <w:r>
        <w:t xml:space="preserve">. </w:t>
      </w:r>
      <w:r w:rsidR="00185181">
        <w:rPr>
          <w:i/>
        </w:rPr>
        <w:t>zen</w:t>
      </w:r>
      <w:r>
        <w:t xml:space="preserve"> </w:t>
      </w:r>
      <w:r w:rsidR="00185181">
        <w:t>is repressed early in a narrow stripe on the dorsal side of the embryo</w:t>
      </w:r>
      <w:r w:rsidR="00D84D3E">
        <w:t xml:space="preserve">. </w:t>
      </w:r>
      <w:r w:rsidR="00BD1255">
        <w:t xml:space="preserve">The presence of a Groucho-bound peak at the transcription start site often coincides with the presence of Groucho binding upstream or inside of a gene. We hypothesize that this supports a model of repression whereby Groucho is recruited to repressive regulatory regions and precipitates a rearrangement of local chromatin, brining Gro into contact with TSS’s. Subsequent repression may be accomplished through multiple mechanisms. Gro potentially interacts with and leads to the stalling of PolII elongation, which is supported by the finding that Groucho occupancy positively correlates with stalled PolII in the developing embryo. Repression may also be initiated by the well-documented interaction of Groucho with HDAC1/Rpd3, leading to deacetylation of histones within and directly upstream of the gene body, resulting in chromatin condensation and repression. The latter mechanism of repression, via alteration of the histone mark landscape, is a potential mechanism for Groucho to act epigenetically, achieving repression that lasts after Groucho has left a locus. This is consistent with behavior seen at the </w:t>
      </w:r>
      <w:r w:rsidR="00BD1255">
        <w:rPr>
          <w:i/>
        </w:rPr>
        <w:t xml:space="preserve">zen </w:t>
      </w:r>
      <w:r w:rsidR="00BD1255">
        <w:t xml:space="preserve">locus, where Groucho occupancy is essentially gone following 4 hours of development, despite Zen remaining repressed throughout later stages of development. </w:t>
      </w:r>
    </w:p>
    <w:p w14:paraId="51A2733D" w14:textId="79D0B36C" w:rsidR="00FF4316" w:rsidRPr="00BD1255" w:rsidRDefault="00BD1255" w:rsidP="00D07ED5">
      <w:pPr>
        <w:spacing w:line="480" w:lineRule="auto"/>
        <w:ind w:firstLine="720"/>
      </w:pPr>
      <w:r>
        <w:t>Global analysis of Groucho occupancy additionally reveals that Groucho binding is strongly enriched for binding within genes, specifically</w:t>
      </w:r>
      <w:r w:rsidR="00E83BD3">
        <w:t xml:space="preserve"> within</w:t>
      </w:r>
      <w:r>
        <w:t xml:space="preserve"> introns, with the highest enrichment exhibited in the 5’</w:t>
      </w:r>
      <w:r w:rsidR="00E83BD3">
        <w:t xml:space="preserve"> intron of genes</w:t>
      </w:r>
      <w:r>
        <w:t xml:space="preserve">. </w:t>
      </w:r>
      <w:r w:rsidR="00092BA8">
        <w:t>Overexpression of Groucho resulted in 10 to 32% of genes bound by Gro to become repressed, depending on timepoint, reinforcing that Groucho bindi</w:t>
      </w:r>
      <w:r w:rsidR="006139B1">
        <w:t xml:space="preserve">ng within genes is one strategy common to Groucho regulation. </w:t>
      </w:r>
      <w:r w:rsidR="0099275B">
        <w:t xml:space="preserve">The evolution of regulatory regions within introns is common in </w:t>
      </w:r>
      <w:r w:rsidR="0099275B">
        <w:rPr>
          <w:i/>
        </w:rPr>
        <w:t>Drosophila</w:t>
      </w:r>
      <w:r w:rsidR="0099275B">
        <w:t xml:space="preserve">, and </w:t>
      </w:r>
      <w:r w:rsidR="006139B1">
        <w:t xml:space="preserve">in </w:t>
      </w:r>
      <w:r w:rsidR="0099275B">
        <w:t>animals</w:t>
      </w:r>
      <w:r w:rsidR="006139B1">
        <w:t xml:space="preserve"> generally</w:t>
      </w:r>
      <w:r w:rsidR="0099275B">
        <w:t>. Multiple factors, including</w:t>
      </w:r>
      <w:r w:rsidR="00876316">
        <w:t xml:space="preserve"> kruppel and twist </w:t>
      </w:r>
      <w:r w:rsidR="0099275B">
        <w:t>have been shown to commonly localize to intronic regions</w:t>
      </w:r>
      <w:r w:rsidR="00876316" w:rsidRPr="00876316">
        <w:t>{Matyash, 2004 #3046}</w:t>
      </w:r>
      <w:r w:rsidR="00876316">
        <w:t xml:space="preserve"> </w:t>
      </w:r>
      <w:r w:rsidR="00876316" w:rsidRPr="00876316">
        <w:t>{Sandmann, 2007 #3048} {Zeitlinger, 2007 #3025}</w:t>
      </w:r>
      <w:r w:rsidR="0099275B">
        <w:t>. The regulatory logic behind intronic cis-regulatory modules is a ma</w:t>
      </w:r>
      <w:r w:rsidR="00385298">
        <w:t>tter of</w:t>
      </w:r>
      <w:r w:rsidR="00092BA8">
        <w:t xml:space="preserve"> some debate, as there are significant energetic costs associated with intron maintenance during replication, transcription, and splicing, as well as a regulatory cost in terms of a longer lag-time between transcriptional activation and mature mRNA formation </w:t>
      </w:r>
      <w:r w:rsidR="00092BA8">
        <w:t>{Yenerall, 2011 #3051}</w:t>
      </w:r>
      <w:r w:rsidR="00092BA8">
        <w:t xml:space="preserve">. Consistent with this hypothesis, developmentally-regulated genes known to exhibit promoter-proximal pausing of RNA PolII have been shown to have a higher frequency of intron loss but not overall shorter introns </w:t>
      </w:r>
      <w:r w:rsidR="00092BA8">
        <w:t>{Jiang, 2014 #3052}</w:t>
      </w:r>
      <w:r w:rsidR="00092BA8">
        <w:t>.</w:t>
      </w:r>
      <w:r w:rsidR="006139B1">
        <w:t xml:space="preserve"> One potential explanation of the regulatory rational that gives rise to intragenic repressor binding comes from the observation that repression arising from Snail binding in distant CRMs can lead to a lag before repression becomes complete, due to the inability of the repressor to affect currently elongating polymerases </w:t>
      </w:r>
      <w:r w:rsidR="006139B1">
        <w:t>{Bothma, 2011 #2304}</w:t>
      </w:r>
      <w:r w:rsidR="006139B1">
        <w:t xml:space="preserve">. </w:t>
      </w:r>
      <w:r w:rsidR="00092BA8">
        <w:t xml:space="preserve"> </w:t>
      </w:r>
      <w:r w:rsidR="006139B1">
        <w:t xml:space="preserve">Due to the relatively slow rate of progression of PolII (~ 1.1 to 1.5 kb per min in </w:t>
      </w:r>
      <w:r w:rsidR="006139B1">
        <w:rPr>
          <w:i/>
        </w:rPr>
        <w:t>Drosophila)</w:t>
      </w:r>
      <w:r w:rsidR="00092BA8">
        <w:t xml:space="preserve"> </w:t>
      </w:r>
      <w:r w:rsidR="006139B1">
        <w:t>{Ardehali, 2009 #3053}</w:t>
      </w:r>
      <w:r w:rsidR="006139B1">
        <w:t xml:space="preserve">, </w:t>
      </w:r>
      <w:bookmarkStart w:id="10" w:name="_GoBack"/>
      <w:bookmarkEnd w:id="10"/>
    </w:p>
    <w:p w14:paraId="2DB4A071" w14:textId="7A9467AC" w:rsidR="005260C7" w:rsidRPr="00FF4316" w:rsidRDefault="005260C7" w:rsidP="00FF4316">
      <w:pPr>
        <w:spacing w:line="480" w:lineRule="auto"/>
      </w:pPr>
      <w:r>
        <w:tab/>
      </w:r>
    </w:p>
    <w:sectPr w:rsidR="005260C7" w:rsidRPr="00FF4316"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ert Courey" w:date="2015-08-13T11:42:00Z" w:initials="AC">
    <w:p w14:paraId="7FAF9C24" w14:textId="76C3699F" w:rsidR="00071D1D" w:rsidRDefault="00071D1D">
      <w:pPr>
        <w:pStyle w:val="CommentText"/>
      </w:pPr>
      <w:r>
        <w:rPr>
          <w:rStyle w:val="CommentReference"/>
        </w:rPr>
        <w:annotationRef/>
      </w:r>
      <w:r>
        <w:t>Please provide this abstract ASAP.</w:t>
      </w:r>
    </w:p>
  </w:comment>
  <w:comment w:id="1" w:author="Albert Courey" w:date="2015-08-13T11:43:00Z" w:initials="AC">
    <w:p w14:paraId="41B7F4B1" w14:textId="47B68DC8" w:rsidR="00071D1D" w:rsidRDefault="00071D1D">
      <w:pPr>
        <w:pStyle w:val="CommentText"/>
      </w:pPr>
      <w:r>
        <w:rPr>
          <w:rStyle w:val="CommentReference"/>
        </w:rPr>
        <w:annotationRef/>
      </w:r>
      <w:r>
        <w:t>The introduction needs to bring out the unanswered questions about Gro mediated repression and how a study of the type we carried out would allow us to address these questions.</w:t>
      </w:r>
    </w:p>
  </w:comment>
  <w:comment w:id="2" w:author="Albert Courey" w:date="2015-08-13T11:14:00Z" w:initials="AC">
    <w:p w14:paraId="6DFAC680" w14:textId="77777777" w:rsidR="00071D1D" w:rsidRDefault="00071D1D" w:rsidP="008160BB">
      <w:pPr>
        <w:pStyle w:val="CommentText"/>
      </w:pPr>
      <w:r>
        <w:rPr>
          <w:rStyle w:val="CommentReference"/>
        </w:rPr>
        <w:annotationRef/>
      </w:r>
      <w:r>
        <w:t>What you need here is a paragraph summarizing some of the most important conclusions of this study. I’ve moved the paragraph about the time points to the results section.</w:t>
      </w:r>
    </w:p>
  </w:comment>
  <w:comment w:id="3" w:author="Albert Courey" w:date="2015-08-13T11:35:00Z" w:initials="AC">
    <w:p w14:paraId="1F1472F4" w14:textId="5CF83C05" w:rsidR="00071D1D" w:rsidRDefault="00071D1D">
      <w:pPr>
        <w:pStyle w:val="CommentText"/>
      </w:pPr>
      <w:r>
        <w:rPr>
          <w:rStyle w:val="CommentReference"/>
        </w:rPr>
        <w:annotationRef/>
      </w:r>
      <w:r>
        <w:t>Can we do some kind of analysis to demonstrate this point?</w:t>
      </w:r>
    </w:p>
  </w:comment>
  <w:comment w:id="4" w:author="Albert Courey" w:date="2015-08-13T11:38:00Z" w:initials="AC">
    <w:p w14:paraId="4155B97B" w14:textId="36BB133B" w:rsidR="00071D1D" w:rsidRDefault="00071D1D">
      <w:pPr>
        <w:pStyle w:val="CommentText"/>
      </w:pPr>
      <w:r>
        <w:rPr>
          <w:rStyle w:val="CommentReference"/>
        </w:rPr>
        <w:annotationRef/>
      </w:r>
      <w:r>
        <w:t>The figures should include genome browser views showing examples of all these different patterns.</w:t>
      </w:r>
    </w:p>
  </w:comment>
  <w:comment w:id="5" w:author="Albert Courey" w:date="2015-08-13T11:40:00Z" w:initials="AC">
    <w:p w14:paraId="262B7607" w14:textId="161F8592" w:rsidR="00071D1D" w:rsidRDefault="00071D1D">
      <w:pPr>
        <w:pStyle w:val="CommentText"/>
      </w:pPr>
      <w:r>
        <w:rPr>
          <w:rStyle w:val="CommentReference"/>
        </w:rPr>
        <w:annotationRef/>
      </w:r>
      <w:r>
        <w:t>Once again we need to see specific examples.</w:t>
      </w:r>
    </w:p>
  </w:comment>
  <w:comment w:id="6" w:author="Albert Courey" w:date="2015-08-13T11:45:00Z" w:initials="AC">
    <w:p w14:paraId="7A9B27F6" w14:textId="6693C560" w:rsidR="00071D1D" w:rsidRDefault="00071D1D">
      <w:pPr>
        <w:pStyle w:val="CommentText"/>
      </w:pPr>
      <w:r>
        <w:rPr>
          <w:rStyle w:val="CommentReference"/>
        </w:rPr>
        <w:annotationRef/>
      </w:r>
      <w:r>
        <w:t>I would like a concluding paragraph here. You should summarize the findings presented in this section and what they may mean. In fact, for now, it would be good if each section ended with such a paragraph. Ultimately we may decide to incorporate these paragraphs into the discussion, but for now, let’s end each section of the results with a paragraph containing a summary of the conclusions and how they bear on our understanding of the mechanism of Gro-mediated repression.</w:t>
      </w:r>
    </w:p>
  </w:comment>
  <w:comment w:id="7" w:author="Albert Courey" w:date="2015-08-13T11:47:00Z" w:initials="AC">
    <w:p w14:paraId="206BD1C8" w14:textId="4DCC0AFA" w:rsidR="00071D1D" w:rsidRDefault="00071D1D">
      <w:pPr>
        <w:pStyle w:val="CommentText"/>
      </w:pPr>
      <w:r>
        <w:rPr>
          <w:rStyle w:val="CommentReference"/>
        </w:rPr>
        <w:annotationRef/>
      </w:r>
      <w:r>
        <w:t>At this point, the reader will be puzzled about why you included the ∆SP mutant. If we are going to include these data, we need to introduce what is known about the SP domain in the introduction.</w:t>
      </w:r>
    </w:p>
  </w:comment>
  <w:comment w:id="8" w:author="Albert Courey" w:date="2015-08-13T11:49:00Z" w:initials="AC">
    <w:p w14:paraId="2AA433FB" w14:textId="6582F9B1" w:rsidR="00071D1D" w:rsidRDefault="00071D1D">
      <w:pPr>
        <w:pStyle w:val="CommentText"/>
      </w:pPr>
      <w:r>
        <w:rPr>
          <w:rStyle w:val="CommentReference"/>
        </w:rPr>
        <w:annotationRef/>
      </w:r>
      <w:r>
        <w:t>Compared to what percentage in the overexpression embryos?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AF9C24" w15:done="0"/>
  <w15:commentEx w15:paraId="41B7F4B1" w15:done="0"/>
  <w15:commentEx w15:paraId="6DFAC680" w15:done="0"/>
  <w15:commentEx w15:paraId="1F1472F4" w15:done="0"/>
  <w15:commentEx w15:paraId="4155B97B" w15:done="0"/>
  <w15:commentEx w15:paraId="262B7607" w15:done="0"/>
  <w15:commentEx w15:paraId="7A9B27F6" w15:done="0"/>
  <w15:commentEx w15:paraId="206BD1C8" w15:done="0"/>
  <w15:commentEx w15:paraId="2AA433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Annotat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081&lt;/item&gt;&lt;item&gt;2365&lt;/item&gt;&lt;item&gt;2995&lt;/item&gt;&lt;/record-ids&gt;&lt;/item&gt;&lt;/Libraries&gt;"/>
  </w:docVars>
  <w:rsids>
    <w:rsidRoot w:val="004C62C0"/>
    <w:rsid w:val="00016448"/>
    <w:rsid w:val="00025A7A"/>
    <w:rsid w:val="000376C3"/>
    <w:rsid w:val="00041DE0"/>
    <w:rsid w:val="000451FA"/>
    <w:rsid w:val="000514F0"/>
    <w:rsid w:val="00056237"/>
    <w:rsid w:val="00062ABD"/>
    <w:rsid w:val="000633C8"/>
    <w:rsid w:val="00071D1D"/>
    <w:rsid w:val="00091FF8"/>
    <w:rsid w:val="00092BA8"/>
    <w:rsid w:val="00094D56"/>
    <w:rsid w:val="000A6193"/>
    <w:rsid w:val="000A776F"/>
    <w:rsid w:val="000B3215"/>
    <w:rsid w:val="000B41DA"/>
    <w:rsid w:val="000D2F6D"/>
    <w:rsid w:val="000F37B2"/>
    <w:rsid w:val="000F4492"/>
    <w:rsid w:val="001029DD"/>
    <w:rsid w:val="00112A9C"/>
    <w:rsid w:val="001243BA"/>
    <w:rsid w:val="00125DEA"/>
    <w:rsid w:val="0014086B"/>
    <w:rsid w:val="00156EA1"/>
    <w:rsid w:val="0016503B"/>
    <w:rsid w:val="00170024"/>
    <w:rsid w:val="0017002A"/>
    <w:rsid w:val="00173597"/>
    <w:rsid w:val="00185181"/>
    <w:rsid w:val="0019686A"/>
    <w:rsid w:val="001A137F"/>
    <w:rsid w:val="001B3BB0"/>
    <w:rsid w:val="001C275F"/>
    <w:rsid w:val="001C45A5"/>
    <w:rsid w:val="001D2B5B"/>
    <w:rsid w:val="001D7476"/>
    <w:rsid w:val="001E0562"/>
    <w:rsid w:val="001E45E1"/>
    <w:rsid w:val="001E6EA2"/>
    <w:rsid w:val="001F41CC"/>
    <w:rsid w:val="002031D7"/>
    <w:rsid w:val="0020322A"/>
    <w:rsid w:val="00204E7F"/>
    <w:rsid w:val="00211D7E"/>
    <w:rsid w:val="00220297"/>
    <w:rsid w:val="00224435"/>
    <w:rsid w:val="00230A55"/>
    <w:rsid w:val="00237EB9"/>
    <w:rsid w:val="002509E0"/>
    <w:rsid w:val="002563E7"/>
    <w:rsid w:val="00275CDA"/>
    <w:rsid w:val="00284E7F"/>
    <w:rsid w:val="002B5B8B"/>
    <w:rsid w:val="002C058C"/>
    <w:rsid w:val="002C0657"/>
    <w:rsid w:val="002E08A6"/>
    <w:rsid w:val="002E3A14"/>
    <w:rsid w:val="00306543"/>
    <w:rsid w:val="00326671"/>
    <w:rsid w:val="00327E1B"/>
    <w:rsid w:val="003358B1"/>
    <w:rsid w:val="0035211A"/>
    <w:rsid w:val="003546C5"/>
    <w:rsid w:val="003553D9"/>
    <w:rsid w:val="0035579F"/>
    <w:rsid w:val="00385298"/>
    <w:rsid w:val="00391BC9"/>
    <w:rsid w:val="003A1A0C"/>
    <w:rsid w:val="003C259C"/>
    <w:rsid w:val="003D6ECE"/>
    <w:rsid w:val="003E0380"/>
    <w:rsid w:val="003E4050"/>
    <w:rsid w:val="003E4C8C"/>
    <w:rsid w:val="003F10ED"/>
    <w:rsid w:val="00405377"/>
    <w:rsid w:val="00407EF6"/>
    <w:rsid w:val="0041464F"/>
    <w:rsid w:val="004207B2"/>
    <w:rsid w:val="00420B5B"/>
    <w:rsid w:val="004314D5"/>
    <w:rsid w:val="00461586"/>
    <w:rsid w:val="004643B0"/>
    <w:rsid w:val="004822AC"/>
    <w:rsid w:val="004933F0"/>
    <w:rsid w:val="00495D91"/>
    <w:rsid w:val="004A7559"/>
    <w:rsid w:val="004C62C0"/>
    <w:rsid w:val="004D243C"/>
    <w:rsid w:val="004D40D9"/>
    <w:rsid w:val="004F0276"/>
    <w:rsid w:val="004F0AF3"/>
    <w:rsid w:val="004F14EE"/>
    <w:rsid w:val="0051034C"/>
    <w:rsid w:val="005230E1"/>
    <w:rsid w:val="005242B2"/>
    <w:rsid w:val="005260C7"/>
    <w:rsid w:val="005368F2"/>
    <w:rsid w:val="00540604"/>
    <w:rsid w:val="00543456"/>
    <w:rsid w:val="00550E71"/>
    <w:rsid w:val="00551DEF"/>
    <w:rsid w:val="0055323B"/>
    <w:rsid w:val="0055499D"/>
    <w:rsid w:val="00555693"/>
    <w:rsid w:val="005726D7"/>
    <w:rsid w:val="005774BE"/>
    <w:rsid w:val="005A72DA"/>
    <w:rsid w:val="005B535B"/>
    <w:rsid w:val="005C4807"/>
    <w:rsid w:val="005D0256"/>
    <w:rsid w:val="005D1703"/>
    <w:rsid w:val="005D1B49"/>
    <w:rsid w:val="0060322B"/>
    <w:rsid w:val="006063EB"/>
    <w:rsid w:val="006139B1"/>
    <w:rsid w:val="0061663A"/>
    <w:rsid w:val="00631114"/>
    <w:rsid w:val="006433AF"/>
    <w:rsid w:val="006440AC"/>
    <w:rsid w:val="0064453B"/>
    <w:rsid w:val="00645A1B"/>
    <w:rsid w:val="00645F6F"/>
    <w:rsid w:val="00661362"/>
    <w:rsid w:val="00666EF2"/>
    <w:rsid w:val="00672E09"/>
    <w:rsid w:val="00683D3D"/>
    <w:rsid w:val="00684F14"/>
    <w:rsid w:val="00693819"/>
    <w:rsid w:val="006A0C78"/>
    <w:rsid w:val="006B19CD"/>
    <w:rsid w:val="006B5A0E"/>
    <w:rsid w:val="006E55EC"/>
    <w:rsid w:val="006E56FE"/>
    <w:rsid w:val="006F1624"/>
    <w:rsid w:val="006F619C"/>
    <w:rsid w:val="00704DC2"/>
    <w:rsid w:val="00717E3E"/>
    <w:rsid w:val="007263B7"/>
    <w:rsid w:val="0073152C"/>
    <w:rsid w:val="00742D23"/>
    <w:rsid w:val="00743AF1"/>
    <w:rsid w:val="007473AD"/>
    <w:rsid w:val="0077458B"/>
    <w:rsid w:val="00780FE2"/>
    <w:rsid w:val="00781A3B"/>
    <w:rsid w:val="00781EB7"/>
    <w:rsid w:val="007961E8"/>
    <w:rsid w:val="007A01F5"/>
    <w:rsid w:val="007A779E"/>
    <w:rsid w:val="007A7FF8"/>
    <w:rsid w:val="007B0590"/>
    <w:rsid w:val="007B05E7"/>
    <w:rsid w:val="007B1C60"/>
    <w:rsid w:val="007B6A08"/>
    <w:rsid w:val="007C33E3"/>
    <w:rsid w:val="007D0A4F"/>
    <w:rsid w:val="007D448A"/>
    <w:rsid w:val="007E0AFD"/>
    <w:rsid w:val="00800DC7"/>
    <w:rsid w:val="00807AA6"/>
    <w:rsid w:val="00810B6C"/>
    <w:rsid w:val="00811640"/>
    <w:rsid w:val="008160BB"/>
    <w:rsid w:val="00824312"/>
    <w:rsid w:val="00824D9F"/>
    <w:rsid w:val="008428ED"/>
    <w:rsid w:val="00844138"/>
    <w:rsid w:val="00844F7B"/>
    <w:rsid w:val="00866555"/>
    <w:rsid w:val="00873A87"/>
    <w:rsid w:val="008754BB"/>
    <w:rsid w:val="00876316"/>
    <w:rsid w:val="0089157F"/>
    <w:rsid w:val="008A2834"/>
    <w:rsid w:val="008B018F"/>
    <w:rsid w:val="008B050E"/>
    <w:rsid w:val="008B10CF"/>
    <w:rsid w:val="008B77F7"/>
    <w:rsid w:val="008C0EBB"/>
    <w:rsid w:val="008C46AF"/>
    <w:rsid w:val="008C7EA1"/>
    <w:rsid w:val="008D4207"/>
    <w:rsid w:val="008D6626"/>
    <w:rsid w:val="008E3112"/>
    <w:rsid w:val="008F7C1E"/>
    <w:rsid w:val="00903FF8"/>
    <w:rsid w:val="00907157"/>
    <w:rsid w:val="00921735"/>
    <w:rsid w:val="00927C5A"/>
    <w:rsid w:val="0093515F"/>
    <w:rsid w:val="00943FAB"/>
    <w:rsid w:val="00957C1F"/>
    <w:rsid w:val="00970989"/>
    <w:rsid w:val="00973604"/>
    <w:rsid w:val="00974E74"/>
    <w:rsid w:val="0099275B"/>
    <w:rsid w:val="009B74B7"/>
    <w:rsid w:val="009C1936"/>
    <w:rsid w:val="009C3245"/>
    <w:rsid w:val="009D10E7"/>
    <w:rsid w:val="009D28D1"/>
    <w:rsid w:val="009D5C49"/>
    <w:rsid w:val="00A002D8"/>
    <w:rsid w:val="00A1095E"/>
    <w:rsid w:val="00A138E6"/>
    <w:rsid w:val="00A15868"/>
    <w:rsid w:val="00A25B2F"/>
    <w:rsid w:val="00A30785"/>
    <w:rsid w:val="00A40D79"/>
    <w:rsid w:val="00A4351E"/>
    <w:rsid w:val="00A457EE"/>
    <w:rsid w:val="00A45E0A"/>
    <w:rsid w:val="00A46041"/>
    <w:rsid w:val="00A51973"/>
    <w:rsid w:val="00A54005"/>
    <w:rsid w:val="00A63CBC"/>
    <w:rsid w:val="00A63DE2"/>
    <w:rsid w:val="00A95BC0"/>
    <w:rsid w:val="00AA2523"/>
    <w:rsid w:val="00AB3610"/>
    <w:rsid w:val="00AC2836"/>
    <w:rsid w:val="00AD14A9"/>
    <w:rsid w:val="00AD5890"/>
    <w:rsid w:val="00AE6E36"/>
    <w:rsid w:val="00AF4F59"/>
    <w:rsid w:val="00B00EF6"/>
    <w:rsid w:val="00B36BCB"/>
    <w:rsid w:val="00B438DD"/>
    <w:rsid w:val="00B570B8"/>
    <w:rsid w:val="00B60E91"/>
    <w:rsid w:val="00B77326"/>
    <w:rsid w:val="00B97924"/>
    <w:rsid w:val="00BA12A8"/>
    <w:rsid w:val="00BA7BC7"/>
    <w:rsid w:val="00BC0E7A"/>
    <w:rsid w:val="00BC2982"/>
    <w:rsid w:val="00BC4CE7"/>
    <w:rsid w:val="00BD1255"/>
    <w:rsid w:val="00BE0C0F"/>
    <w:rsid w:val="00BE1E61"/>
    <w:rsid w:val="00BE570B"/>
    <w:rsid w:val="00BE7AAB"/>
    <w:rsid w:val="00BF4AA0"/>
    <w:rsid w:val="00C316C2"/>
    <w:rsid w:val="00C4614F"/>
    <w:rsid w:val="00C4678B"/>
    <w:rsid w:val="00C46D6E"/>
    <w:rsid w:val="00C56855"/>
    <w:rsid w:val="00C66AD0"/>
    <w:rsid w:val="00C77C2F"/>
    <w:rsid w:val="00C91541"/>
    <w:rsid w:val="00C923DA"/>
    <w:rsid w:val="00C94EE6"/>
    <w:rsid w:val="00CA7E4A"/>
    <w:rsid w:val="00CC067C"/>
    <w:rsid w:val="00CD348D"/>
    <w:rsid w:val="00D007C0"/>
    <w:rsid w:val="00D07ED5"/>
    <w:rsid w:val="00D11037"/>
    <w:rsid w:val="00D13193"/>
    <w:rsid w:val="00D155A5"/>
    <w:rsid w:val="00D174D1"/>
    <w:rsid w:val="00D3227B"/>
    <w:rsid w:val="00D53A78"/>
    <w:rsid w:val="00D65F42"/>
    <w:rsid w:val="00D662BF"/>
    <w:rsid w:val="00D74350"/>
    <w:rsid w:val="00D80AD3"/>
    <w:rsid w:val="00D84D3E"/>
    <w:rsid w:val="00D863C5"/>
    <w:rsid w:val="00D8676F"/>
    <w:rsid w:val="00D97BEB"/>
    <w:rsid w:val="00DA2565"/>
    <w:rsid w:val="00DA7CE5"/>
    <w:rsid w:val="00DB11F5"/>
    <w:rsid w:val="00DB5779"/>
    <w:rsid w:val="00DC538D"/>
    <w:rsid w:val="00DC53DC"/>
    <w:rsid w:val="00DD142F"/>
    <w:rsid w:val="00DD5C31"/>
    <w:rsid w:val="00DE77EE"/>
    <w:rsid w:val="00DF7C23"/>
    <w:rsid w:val="00E04A56"/>
    <w:rsid w:val="00E15708"/>
    <w:rsid w:val="00E30565"/>
    <w:rsid w:val="00E31AE1"/>
    <w:rsid w:val="00E3439D"/>
    <w:rsid w:val="00E408C1"/>
    <w:rsid w:val="00E40A04"/>
    <w:rsid w:val="00E534FE"/>
    <w:rsid w:val="00E55542"/>
    <w:rsid w:val="00E67908"/>
    <w:rsid w:val="00E81819"/>
    <w:rsid w:val="00E83BD3"/>
    <w:rsid w:val="00E8404E"/>
    <w:rsid w:val="00E86375"/>
    <w:rsid w:val="00E94AB8"/>
    <w:rsid w:val="00EB13DB"/>
    <w:rsid w:val="00ED2BD5"/>
    <w:rsid w:val="00EF39B8"/>
    <w:rsid w:val="00EF6429"/>
    <w:rsid w:val="00F034D8"/>
    <w:rsid w:val="00F17D84"/>
    <w:rsid w:val="00F227AE"/>
    <w:rsid w:val="00F51F22"/>
    <w:rsid w:val="00F55887"/>
    <w:rsid w:val="00F6363E"/>
    <w:rsid w:val="00F73A0E"/>
    <w:rsid w:val="00F85351"/>
    <w:rsid w:val="00FA0B44"/>
    <w:rsid w:val="00FA5B54"/>
    <w:rsid w:val="00FA6064"/>
    <w:rsid w:val="00FA7B2A"/>
    <w:rsid w:val="00FC4361"/>
    <w:rsid w:val="00FC7328"/>
    <w:rsid w:val="00FD1860"/>
    <w:rsid w:val="00FD1B41"/>
    <w:rsid w:val="00FD1EAB"/>
    <w:rsid w:val="00FD6185"/>
    <w:rsid w:val="00FD7F1A"/>
    <w:rsid w:val="00FE0377"/>
    <w:rsid w:val="00FE4409"/>
    <w:rsid w:val="00FF4316"/>
    <w:rsid w:val="00FF5970"/>
    <w:rsid w:val="00FF685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D2276-F367-0B48-9C23-6E0B2148A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23</Pages>
  <Words>5549</Words>
  <Characters>31633</Characters>
  <Application>Microsoft Macintosh Word</Application>
  <DocSecurity>0</DocSecurity>
  <Lines>263</Lines>
  <Paragraphs>74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Chapter 2: Groucho activity in the developing embryo</vt:lpstr>
      <vt:lpstr>    Abstract </vt:lpstr>
      <vt:lpstr>    Introduction</vt:lpstr>
      <vt:lpstr>    Materials &amp; Methods</vt:lpstr>
      <vt:lpstr>    Results</vt:lpstr>
      <vt:lpstr>    Discussion</vt:lpstr>
    </vt:vector>
  </TitlesOfParts>
  <Company>UCLA</Company>
  <LinksUpToDate>false</LinksUpToDate>
  <CharactersWithSpaces>37108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114</cp:revision>
  <cp:lastPrinted>2015-08-19T19:32:00Z</cp:lastPrinted>
  <dcterms:created xsi:type="dcterms:W3CDTF">2015-08-10T21:41:00Z</dcterms:created>
  <dcterms:modified xsi:type="dcterms:W3CDTF">2015-08-23T04:29:00Z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