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739A324E"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w:t>
      </w:r>
      <w:r w:rsidR="000A776F">
        <w:lastRenderedPageBreak/>
        <w:t xml:space="preserve">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1DFAF13D"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{Chen, 1998 #267}</w:t>
      </w:r>
      <w:r w:rsidR="0014086B">
        <w:t xml:space="preserve"> and </w:t>
      </w:r>
      <w:r w:rsidR="0014086B">
        <w:rPr>
          <w:i/>
        </w:rPr>
        <w:t>in vivo</w:t>
      </w:r>
      <w:r w:rsidR="00016448">
        <w:rPr>
          <w:i/>
        </w:rPr>
        <w:t xml:space="preserve"> </w:t>
      </w:r>
      <w:r w:rsidR="0014086B">
        <w:t>{Song, 2004 #1161}</w:t>
      </w:r>
      <w:r w:rsidR="0014086B">
        <w:t>, this does not appear to be a universal require</w:t>
      </w:r>
      <w:r w:rsidR="00550E71">
        <w:t>ment for</w:t>
      </w:r>
      <w:r w:rsidR="0014086B">
        <w:t xml:space="preserve"> repressive activity </w:t>
      </w:r>
      <w:r w:rsidR="00016448">
        <w:t xml:space="preserve">in embryos </w:t>
      </w:r>
      <w:r w:rsidR="0014086B">
        <w:t>{Jennings, 2007 #2990}</w:t>
      </w:r>
      <w:r w:rsidR="0014086B">
        <w:t>.</w:t>
      </w:r>
      <w:r w:rsidR="00684F14">
        <w:t xml:space="preserve"> </w:t>
      </w:r>
      <w:r w:rsidR="00684F14">
        <w:t>. Some evidence from ChIP experiments suggests Groucho spreads over potentially long stretches of chromatin presumably through its ability to self-associate {Winkler, 2010 #2964}</w:t>
      </w:r>
      <w:r w:rsidR="00684F14">
        <w:t>, though these studies are limited by the resolution of the ChIP regions analyzed</w:t>
      </w:r>
      <w:r w:rsidR="00684F14">
        <w:t>.</w:t>
      </w:r>
      <w:r w:rsidR="00684F14">
        <w:t xml:space="preserve"> More recent Groucho ChIP-seq data obtained from two Drosophila cell lines (S2 and Kc167) </w:t>
      </w:r>
      <w:r w:rsidR="00461586">
        <w:t>{Kaul, 2014 #2204}</w:t>
      </w:r>
      <w:r w:rsidR="00461586">
        <w:t xml:space="preserve"> indicate that binding is primarily localized to discrete peaks in those cell lines. It is unclear to what degree that binding pattern extends to embryos.</w:t>
      </w:r>
    </w:p>
    <w:p w14:paraId="5E03F4D8" w14:textId="0F8C9136"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r w:rsidR="00461586">
        <w:t>{Turki-Judeh, 2012 #2385}</w:t>
      </w:r>
      <w:r w:rsidR="00461586">
        <w:t xml:space="preserve">.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 so. Analysis of 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promotors, transcription start sites, and gene bodies. Analysis of motifs different classes of Groucho peaks will allow us to predict preference for binding partners under specific situations, and potentially predict factors Groucho preferentially colocalizes with.</w:t>
      </w:r>
    </w:p>
    <w:p w14:paraId="1C549A9D" w14:textId="265E2A8E" w:rsidR="00807AA6" w:rsidRDefault="00844138" w:rsidP="00844138">
      <w:pPr>
        <w:spacing w:line="480" w:lineRule="auto"/>
        <w:ind w:firstLine="720"/>
      </w:pPr>
      <w:r>
        <w:t xml:space="preserve">Additionally, integration of Gro ChIP-seq data with transcriptome analyses of embryos in which Gro activity has been perturbed will enable us to more accurately ascribe Groucho repression arising from binding regions to individual gene targets. </w:t>
      </w:r>
      <w:r w:rsidR="0041464F">
        <w:t xml:space="preserve">While ChIP-seq provides a genome-wide picture of how Groucho </w:t>
      </w:r>
      <w:r w:rsidR="0041464F">
        <w:t>associates</w:t>
      </w:r>
      <w:r w:rsidR="0041464F">
        <w:t xml:space="preserve"> with </w:t>
      </w:r>
      <w:r w:rsidR="0041464F">
        <w:t>genes and intergenic regions</w:t>
      </w:r>
      <w:r w:rsidR="0041464F">
        <w:t>,</w:t>
      </w:r>
      <w:r w:rsidR="0041464F">
        <w:t xml:space="preserve"> as well as</w:t>
      </w:r>
      <w:r w:rsidR="0041464F">
        <w:t xml:space="preserve"> how these </w:t>
      </w:r>
      <w:r w:rsidR="0041464F">
        <w:t>dynamics change over time, it</w:t>
      </w:r>
      <w:r w:rsidR="0041464F">
        <w:t xml:space="preserve">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studies{Sikora-Wohlfeld, 2013 #2377}; the inaccuracy of association becomes more significant </w:t>
      </w:r>
      <w:r w:rsidR="0041464F">
        <w:t>the further a factor binds from its regulatory target,</w:t>
      </w:r>
      <w:r w:rsidR="0041464F">
        <w:t xml:space="preserve"> as genomic complexity often makes assignment of enhancer/gene interactions uncertain.</w:t>
      </w:r>
      <w:r w:rsidR="0041464F">
        <w:t xml:space="preserve"> A common methodology to address this challenge is to incorporate genome-wide binding data (a factor’s cistrome) with transcriptome measurements in systems perturbed for said factor. To this end, we have generated transcriptome measurements (via RNA-seq) of Groucho deficient embryos collected at paired timepoints to the ChIP-seq data as well as embryos overexpressing Groucho at various levels. Comparison of gene expression levels under these conditions to expression under endogenous levels of Gro activity will enable us to predict Groucho regulatory targets. When combined with ChIP-seq binding profile data, we can produce a high-confidence set of Groucho target genes by timepoint. This will enable us to more thoroughly explore </w:t>
      </w:r>
      <w:r w:rsidR="00E94AB8">
        <w:t>the role of Groucho within these three stages of development through a broader investigation of which components of the developmentally-regulated gene network it plays a role.</w:t>
      </w:r>
    </w:p>
    <w:p w14:paraId="118F07D8" w14:textId="77777777" w:rsidR="00BC2982" w:rsidRDefault="00BC2982" w:rsidP="00DF7C23">
      <w:pPr>
        <w:spacing w:line="480" w:lineRule="auto"/>
      </w:pPr>
      <w:bookmarkStart w:id="2" w:name="_GoBack"/>
      <w:bookmarkEnd w:id="2"/>
    </w:p>
    <w:p w14:paraId="21590673" w14:textId="4934333E" w:rsidR="00FF5970" w:rsidRDefault="00FF5970" w:rsidP="00DF7C23">
      <w:pPr>
        <w:pStyle w:val="Heading2"/>
        <w:spacing w:line="480" w:lineRule="auto"/>
      </w:pPr>
      <w:r>
        <w:t>Materials &amp; Methods</w:t>
      </w:r>
    </w:p>
    <w:p w14:paraId="6F59202C" w14:textId="34AF8B32" w:rsidR="00FF5970" w:rsidRDefault="00D13193" w:rsidP="00D13193">
      <w:pPr>
        <w:pStyle w:val="ListParagraph"/>
        <w:numPr>
          <w:ilvl w:val="0"/>
          <w:numId w:val="3"/>
        </w:numPr>
        <w:spacing w:line="480" w:lineRule="auto"/>
        <w:rPr>
          <w:i/>
        </w:rPr>
      </w:pPr>
      <w:r>
        <w:rPr>
          <w:i/>
        </w:rPr>
        <w:t>Groucho chromatin immunoprecipation (ChIP) and sequencing</w:t>
      </w:r>
    </w:p>
    <w:p w14:paraId="11B736F0" w14:textId="27F2438A" w:rsidR="00D13193" w:rsidRDefault="00D13193" w:rsidP="00D13193">
      <w:pPr>
        <w:pStyle w:val="ListParagraph"/>
        <w:numPr>
          <w:ilvl w:val="0"/>
          <w:numId w:val="3"/>
        </w:numPr>
        <w:spacing w:line="480" w:lineRule="auto"/>
        <w:rPr>
          <w:i/>
        </w:rPr>
      </w:pPr>
      <w:r>
        <w:rPr>
          <w:i/>
        </w:rPr>
        <w:t>Groucho ChIP-seq data analysis</w:t>
      </w:r>
    </w:p>
    <w:p w14:paraId="23950BCC" w14:textId="47AADFFE" w:rsidR="00D13193" w:rsidRDefault="00D13193" w:rsidP="00D13193">
      <w:pPr>
        <w:pStyle w:val="ListParagraph"/>
        <w:numPr>
          <w:ilvl w:val="0"/>
          <w:numId w:val="3"/>
        </w:numPr>
        <w:spacing w:line="480" w:lineRule="auto"/>
        <w:rPr>
          <w:i/>
        </w:rPr>
      </w:pPr>
      <w:r>
        <w:rPr>
          <w:i/>
        </w:rPr>
        <w:t>Embryonic RNA isolation and sequencing (RNA-seq)</w:t>
      </w:r>
    </w:p>
    <w:p w14:paraId="1415C1FA" w14:textId="015FF330" w:rsidR="00D13193" w:rsidRPr="00D13193" w:rsidRDefault="00D13193" w:rsidP="00D13193">
      <w:pPr>
        <w:pStyle w:val="ListParagraph"/>
        <w:numPr>
          <w:ilvl w:val="0"/>
          <w:numId w:val="3"/>
        </w:numPr>
        <w:spacing w:line="480" w:lineRule="auto"/>
        <w:rPr>
          <w:i/>
        </w:rPr>
      </w:pPr>
      <w:r>
        <w:rPr>
          <w:i/>
        </w:rPr>
        <w:t>RNA-seq data analysis</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85950F"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3"/>
      <w:r>
        <w:t>interactions</w:t>
      </w:r>
      <w:commentRangeEnd w:id="3"/>
      <w:r>
        <w:rPr>
          <w:rStyle w:val="CommentReference"/>
        </w:rPr>
        <w:commentReference w:id="3"/>
      </w:r>
      <w:r>
        <w:t>. The first timepoint (1.5 – 4 hours post deposition) encompasses formation of the syncytial blastoderm and subsequent cellularization. It is during this stage that the expression patterns of the pair-rule and segment polarity genes (including engrailed, a Groucho interacting TF) are established. The second timepoint (4 – 6.5 hours) encompasses the growth and segmentation of the germ band, including the formation of neuroblasts. Timepoint 3 (6.5 – 9 hours) encompasses retraction of the germ band and fusion of the anterior and posterior midgut.</w:t>
      </w:r>
    </w:p>
    <w:p w14:paraId="35392F92" w14:textId="64E0983C" w:rsidR="008160BB" w:rsidRDefault="008160BB" w:rsidP="008160BB">
      <w:pPr>
        <w:spacing w:line="480" w:lineRule="auto"/>
        <w:ind w:firstLine="720"/>
      </w:pPr>
      <w:r>
        <w:t>ChIP-seq was performed in duplicate on fly embryos representing each time point.  We used an affinity purified antibody raised against the Gro GP domain, which we validated extensively in immunopreci</w:t>
      </w:r>
      <w:r w:rsidR="00405377">
        <w:t xml:space="preserve">pitation and immunoblot assays. </w:t>
      </w:r>
      <w:r w:rsidR="00405377">
        <w:t xml:space="preserve">Sequencing libraries were sequenced to a depth that provided at minimum 5M uniquely mappable reads, far in excess of the minimum recommended by modENCODE ChIP-seq best-practices (Fig. 2-a//A) </w:t>
      </w:r>
      <w:r w:rsidR="00405377" w:rsidRPr="006433AF">
        <w:t>{Landt, 2012 #308}</w:t>
      </w:r>
      <w:r w:rsidR="00405377">
        <w:t>. Replicates exhibited high reproducibility in terms of both read de</w:t>
      </w:r>
      <w:r w:rsidR="00405377">
        <w:t>nsity and resulting peak model</w:t>
      </w:r>
      <w:r w:rsidR="00405377">
        <w:t xml:space="preserve"> (Fig. 2-a//B, left and right, respectively).</w:t>
      </w:r>
      <w:r w:rsidR="00405377">
        <w:t xml:space="preserve"> </w:t>
      </w:r>
      <w:r>
        <w:t xml:space="preserve">The high degree of correlation between our </w:t>
      </w:r>
      <w:r w:rsidR="00C91541">
        <w:t>ChIP-seq data set and a ChIP-chip</w:t>
      </w:r>
      <w:r>
        <w:t xml:space="preserve"> data set obtained from 0-12 hour embryos</w:t>
      </w:r>
      <w:r w:rsidR="00BE7AAB">
        <w:t>{Negre, 2011 #3035}</w:t>
      </w:r>
      <w:r w:rsidR="00BE7AAB">
        <w:t xml:space="preserve"> </w:t>
      </w:r>
      <w:r>
        <w:t xml:space="preserve">using completely independent antibodies also validates our ChIP-seq </w:t>
      </w:r>
      <w:commentRangeStart w:id="4"/>
      <w:r>
        <w:t>data</w:t>
      </w:r>
      <w:commentRangeEnd w:id="4"/>
      <w:r w:rsidR="00D97BEB">
        <w:rPr>
          <w:rStyle w:val="CommentReference"/>
        </w:rPr>
        <w:commentReference w:id="4"/>
      </w:r>
      <w:r w:rsidR="00927C5A">
        <w:t xml:space="preserve"> (Fig. </w:t>
      </w:r>
      <w:r w:rsidR="002509E0">
        <w:t>2-o)</w:t>
      </w:r>
      <w:r>
        <w:t>.</w:t>
      </w:r>
      <w:r w:rsidR="001E45E1">
        <w:t xml:space="preserve"> The modENCODE Groucho peaks were obtained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modENCODE data, peak overlap is </w:t>
      </w:r>
      <w:r w:rsidR="00E81819">
        <w:t>significant. The</w:t>
      </w:r>
      <w:r w:rsidR="008428ED">
        <w:t xml:space="preserve"> greatest</w:t>
      </w:r>
      <w:r w:rsidR="00E81819">
        <w:t xml:space="preserve"> degree of similiatiry is seen when comparing </w:t>
      </w:r>
      <w:r w:rsidR="008428ED">
        <w:t xml:space="preserve">the 6.5 – 9 hour data set, which captures 68% of </w:t>
      </w:r>
      <w:r w:rsidR="00E81819">
        <w:t>all modENCODE-identified peaks. Additional comparison with modENCODE Groucho ChIP-chip data generated from white pre-pupae indicates that a significant fraction of the Groucho-regulated sites in embryos continue to be bound in this later developmental stage (Fig. 2-p). Though the utilization of a large fraction of Groucho binding sites appears to be restricted to either embryonic or pupal stages.</w:t>
      </w:r>
    </w:p>
    <w:p w14:paraId="57A82F30" w14:textId="252DD242" w:rsidR="00DB11F5" w:rsidRDefault="00DF7C23" w:rsidP="00DB11F5">
      <w:pPr>
        <w:spacing w:line="480" w:lineRule="auto"/>
        <w:ind w:firstLine="720"/>
      </w:pP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6F598E65"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5"/>
      <w:r w:rsidR="005726D7">
        <w:t>again</w:t>
      </w:r>
      <w:commentRangeEnd w:id="5"/>
      <w:r w:rsidR="00237EB9">
        <w:rPr>
          <w:rStyle w:val="CommentReference"/>
        </w:rPr>
        <w:commentReference w:id="5"/>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659F3E1D" w:rsidR="00DB5779" w:rsidRDefault="00DB5779" w:rsidP="00391BC9">
      <w:pPr>
        <w:spacing w:line="480" w:lineRule="auto"/>
      </w:pPr>
      <w:r>
        <w:tab/>
      </w:r>
      <w:r w:rsidR="00C66AD0">
        <w:t xml:space="preserve">In the early embryo, delineation of the dorsal-ventral axis is accomplished through establishment of a gradient of nuclear Dorsal (dl) along the axis </w:t>
      </w:r>
      <w:r w:rsidR="00C66AD0">
        <w:t>{Roth, 1989 #1112}</w:t>
      </w:r>
      <w:r w:rsidR="00C66AD0">
        <w:t xml:space="preserve">. In ventral and ventrolateral regions of the embryo, Dorsal facilitates the repression of </w:t>
      </w:r>
      <w:r w:rsidR="00C66AD0">
        <w:rPr>
          <w:i/>
        </w:rPr>
        <w:t xml:space="preserve">zen </w:t>
      </w:r>
      <w:r w:rsidR="00C66AD0">
        <w:t xml:space="preserve">and </w:t>
      </w:r>
      <w:r w:rsidR="00C66AD0">
        <w:rPr>
          <w:i/>
        </w:rPr>
        <w:t>dpp</w:t>
      </w:r>
      <w:r w:rsidR="00C66AD0">
        <w:t xml:space="preserve"> through its interaction with Groucho </w:t>
      </w:r>
      <w:r w:rsidR="00C66AD0">
        <w:t>{Dubnicoff, 1997 #2366}</w:t>
      </w:r>
      <w:r w:rsidR="00C66AD0">
        <w:t xml:space="preserve">. Ventral repression of </w:t>
      </w:r>
      <w:r w:rsidR="00C66AD0">
        <w:rPr>
          <w:i/>
        </w:rPr>
        <w:t>zen</w:t>
      </w:r>
      <w:r w:rsidR="00C66AD0">
        <w:t xml:space="preserve"> is established through the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BA7BC7">
        <w:t>{Valentine, 1998 #3036}</w:t>
      </w:r>
      <w:r w:rsidR="00BA7BC7">
        <w:t>. Through the cooperative action of these factors, Groucho is recruited to establish repression. ChIP-seq data confirms that Gro localizes the the VRR, however Gro density is comparatively weak within the VRR region (Fig. 2-q</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r w:rsidR="0093515F">
        <w:t>timespan</w:t>
      </w:r>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93515F">
        <w:t xml:space="preserve"> </w:t>
      </w:r>
    </w:p>
    <w:p w14:paraId="717110CB" w14:textId="77777777"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 xml:space="preserve">in ventral regions of the embryo </w:t>
      </w:r>
      <w:r w:rsidR="00AF4F59">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974E74">
        <w:t>w</w:t>
      </w:r>
      <w:r w:rsidR="00C4678B">
        <w:t xml:space="preserve">ere mapped to the second intron </w:t>
      </w:r>
      <w:r w:rsidR="00C4678B">
        <w:t>{Huang, 1993 #3037}</w:t>
      </w:r>
      <w:r w:rsidR="00C4678B">
        <w:t xml:space="preserve">. Our ChIP-seq data confirms extensive Gro recruitment to this site (Fig. 2-q//B),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C4678B">
        <w:t>{Schwyter, 1995 #3038}</w:t>
      </w:r>
      <w:r w:rsidR="00C4678B">
        <w:t xml:space="preserve">. Extensive binding of Gro within these regions suggests that it also plays a role in </w:t>
      </w:r>
      <w:r w:rsidR="00C4678B">
        <w:rPr>
          <w:i/>
        </w:rPr>
        <w:t>dpp</w:t>
      </w:r>
      <w:r w:rsidR="00C4678B">
        <w:t xml:space="preserve"> expression resulting from these elements. Additionally, </w:t>
      </w:r>
      <w:r w:rsidR="00C4678B">
        <w:rPr>
          <w:i/>
        </w:rPr>
        <w:t xml:space="preserve">dpp </w:t>
      </w:r>
      <w:r w:rsidR="00C4678B">
        <w:t>plays a crucial role in correct anterior-posterio patterning of limb imaginal discs post-embryonic development</w:t>
      </w:r>
      <w:r w:rsidR="00F6363E">
        <w:t xml:space="preserve"> </w:t>
      </w:r>
      <w:r w:rsidR="00F6363E">
        <w:t>{Spencer, 1982 #3039}</w:t>
      </w:r>
      <w:r w:rsidR="00F6363E">
        <w:t xml:space="preserve">. Expression of </w:t>
      </w:r>
      <w:r w:rsidR="00F6363E">
        <w:rPr>
          <w:i/>
        </w:rPr>
        <w:t>dpp</w:t>
      </w:r>
      <w:r w:rsidR="00F6363E">
        <w:t xml:space="preserve"> in imaginal discs is controlled by an extensive 3’ cis-regulatory region containing multiple Pangolin/TCF and Brinker binding sites</w:t>
      </w:r>
      <w:r w:rsidR="007B0590">
        <w:t xml:space="preserve"> </w:t>
      </w:r>
      <w:r w:rsidR="007B0590">
        <w:t>{Blackman, 1991 #3040}{Theisen, 2007 #3041}</w:t>
      </w:r>
      <w:r w:rsidR="00F6363E">
        <w:t xml:space="preserve">. </w:t>
      </w:r>
      <w:r w:rsidR="007B0590">
        <w:t xml:space="preserve"> While this enhancer region is not known to play a role in </w:t>
      </w:r>
      <w:r w:rsidR="007B0590">
        <w:rPr>
          <w:i/>
        </w:rPr>
        <w:t xml:space="preserve">dpp </w:t>
      </w:r>
      <w:r w:rsidR="007B0590">
        <w:t xml:space="preserve">expression during embryogenesis, Groucho does bind both immediately downstream of </w:t>
      </w:r>
      <w:r w:rsidR="007B0590">
        <w:rPr>
          <w:i/>
        </w:rPr>
        <w:t>dpp</w:t>
      </w:r>
      <w:r w:rsidR="007B0590">
        <w:t xml:space="preserve"> and within the second of three 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 xml:space="preserve">is thought to be Groucho-independent. These ventrally-activated genes include rhomboid (rho), single-minded (sim), and short gastrulation (sog) </w:t>
      </w:r>
      <w:r w:rsidR="0061663A">
        <w:t>{Ip, 1992 #3042}{Gonzalez-Crespo, 1993 #3043}</w:t>
      </w:r>
      <w:r w:rsidR="0061663A">
        <w: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73AE8DBC"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direct role in regulating</w:t>
      </w:r>
      <w:r>
        <w:t xml:space="preserve"> expression of these genes in some portions of the embryo. A significant Gro peak overlaps </w:t>
      </w:r>
      <w:r w:rsidR="00125DEA">
        <w:t>a regulatory region</w:t>
      </w:r>
      <w:r>
        <w:t xml:space="preserve"> termed the neuroectoderm element (NEE) in 1.5 – 4 hour embryos. </w:t>
      </w:r>
      <w:r w:rsidR="00125DEA">
        <w:t xml:space="preserve">The area contains multiple Dorsal, Twist, and Snail binding sites, all of which are restriction of rhomboid expression to the presumptive neuroectoderm </w:t>
      </w:r>
      <w:r w:rsidR="00125DEA">
        <w:t>{Ip,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0E30A446" w:rsidR="0051034C" w:rsidRDefault="00DB11F5" w:rsidP="00A25B2F">
      <w:pPr>
        <w:spacing w:line="480" w:lineRule="auto"/>
        <w:ind w:firstLine="720"/>
      </w:pPr>
      <w:r>
        <w:t xml:space="preserve">Groucho binding regions </w:t>
      </w:r>
      <w:r w:rsidR="00275CDA">
        <w:t>are</w:t>
      </w:r>
      <w:r>
        <w:t xml:space="preserve"> associate</w:t>
      </w:r>
      <w:r w:rsidR="00AD5890">
        <w:t>d with fewer genes than there are binding sites</w:t>
      </w:r>
      <w:r>
        <w:t xml:space="preserve"> (Fig. 2-d//A), due to the tendency of Groucho to localize to multiple regions around its potential targets</w:t>
      </w:r>
      <w:r w:rsidR="008754BB">
        <w:t xml:space="preserve">. </w:t>
      </w:r>
      <w:r w:rsidR="005726D7">
        <w:t>H</w:t>
      </w:r>
      <w:r>
        <w:t>alf of all Grouch</w:t>
      </w:r>
      <w:r w:rsidR="00237EB9">
        <w:t>o</w:t>
      </w:r>
      <w:r>
        <w:t>-associated genes have two or more Groucho peaks in relative proximity (Fig. 2-d//B)</w:t>
      </w:r>
      <w:r w:rsidR="004822AC">
        <w:t xml:space="preserve">, with an average of </w:t>
      </w:r>
      <w:r w:rsidR="00A45E0A">
        <w:t xml:space="preserve">2.5 </w:t>
      </w:r>
      <w:r w:rsidR="004822AC">
        <w:t>binding sites per associated gene</w:t>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35DB4B4C" w14:textId="21FA8B93"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Gro occupancy, and intermediate range regions (2 kb to 500 bp) show neither depletion </w:t>
      </w:r>
      <w:r w:rsidR="00237EB9">
        <w:t>n</w:t>
      </w:r>
      <w:r w:rsidR="008E3112">
        <w:t>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w:t>
      </w:r>
      <w:commentRangeStart w:id="7"/>
      <w:r w:rsidR="00FA6064">
        <w:t>3034</w:t>
      </w:r>
      <w:commentRangeEnd w:id="7"/>
      <w:r w:rsidR="00237EB9">
        <w:rPr>
          <w:rStyle w:val="CommentReference"/>
        </w:rPr>
        <w:commentReference w:id="7"/>
      </w:r>
      <w:r w:rsidR="00FA6064">
        <w:t>}.</w:t>
      </w:r>
    </w:p>
    <w:p w14:paraId="4AE7A489" w14:textId="5C9B2631"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enhancer regions which are brought into contact with these introns</w:t>
      </w:r>
      <w:r w:rsidR="00B97924">
        <w:t xml:space="preserve"> through looping or a simila</w:t>
      </w:r>
      <w:r w:rsidR="00A1095E">
        <w:t>r rearrangement of the local topology</w:t>
      </w:r>
      <w:r>
        <w:t>, resulting in immunoprecipation of these regions.</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 the surround chromatin, is not known.</w:t>
      </w:r>
    </w:p>
    <w:p w14:paraId="32C6AA8E" w14:textId="14659812"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 factors, including twist</w:t>
      </w:r>
      <w:r w:rsidR="00062ABD">
        <w:t xml:space="preserve"> (twi)</w:t>
      </w:r>
      <w:r w:rsidR="000F37B2">
        <w:t>, tinman</w:t>
      </w:r>
      <w:r w:rsidR="00062ABD">
        <w:t xml:space="preserve"> (tin)</w:t>
      </w:r>
      <w:r w:rsidR="000F37B2">
        <w:t>, and pannier</w:t>
      </w:r>
      <w:r w:rsidR="00062ABD">
        <w:t xml:space="preserve"> (pnr), and previously unassociated factors, including </w:t>
      </w:r>
      <w:r w:rsidR="00062ABD" w:rsidRPr="00062ABD">
        <w:t>vielfältig</w:t>
      </w:r>
      <w:r w:rsidR="00062ABD">
        <w:t xml:space="preserve"> (vlf)</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0C6CE67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8"/>
      <w:r w:rsidR="009D5C49">
        <w:t>SP</w:t>
      </w:r>
      <w:commentRangeEnd w:id="8"/>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A51973">
        <w:t xml:space="preserve">Groucho. These embryos </w:t>
      </w:r>
      <w:r w:rsidR="009D28D1">
        <w:t>oss</w:t>
      </w:r>
      <w:r w:rsidR="00071D1D">
        <w:t>embryos are derived from female germline clones of a Gro allele that give rise to a severely truncated and therefore non-functional Gro allele</w:t>
      </w:r>
      <w:r w:rsidR="009D5C49">
        <w:t>.</w:t>
      </w:r>
    </w:p>
    <w:p w14:paraId="206C37C0" w14:textId="4E010256" w:rsidR="009D5C49" w:rsidRPr="00742D23"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4643B0">
        <w:t xml:space="preserve">. As Groucho is known to restrict the expression patterns of </w:t>
      </w:r>
      <w:r w:rsidR="00071D1D">
        <w:t xml:space="preserve">many developmental regulators </w:t>
      </w:r>
      <w:r w:rsidR="004643B0">
        <w:t xml:space="preserve">including </w:t>
      </w:r>
      <w:r w:rsidR="00071D1D">
        <w:t>transcription factors, splicing factors, and signaling molecules</w:t>
      </w:r>
      <w:r w:rsidR="004643B0">
        <w:t xml:space="preserve"> (</w:t>
      </w:r>
      <w:r w:rsidR="00071D1D">
        <w:t xml:space="preserve">e.g., </w:t>
      </w:r>
      <w:r w:rsidR="004643B0">
        <w:t>tailless</w:t>
      </w:r>
      <w:r w:rsidR="00071D1D">
        <w:t xml:space="preserve">, </w:t>
      </w:r>
      <w:r w:rsidR="00E67908">
        <w:t>huckebein</w:t>
      </w:r>
      <w:r w:rsidR="00071D1D">
        <w:t>, zen, Sxl, dpp, etc.</w:t>
      </w:r>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03CB6574" w14:textId="79BCA135"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BA7BC7">
        <w:instrText xml:space="preserve"> ADDIN PAPERS2_CITATIONS &lt;citation&gt;&lt;uuid&gt;B1B4B30F-B54E-44AB-B224-08A9B64D0E44&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citekey&gt;Villanueva:2011ff&lt;/citekey&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33D294C6" w14:textId="17C37510" w:rsidR="003F10ED" w:rsidRDefault="003F10ED" w:rsidP="00DF7C23">
      <w:pPr>
        <w:spacing w:line="480" w:lineRule="auto"/>
      </w:pPr>
      <w:r>
        <w:rPr>
          <w:i/>
        </w:rPr>
        <w:t xml:space="preserve">Total mRNA levels correlate well with nascent mRNA levels at all timepoints </w:t>
      </w: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nascent-seq has been used to monitor cotranscriptional splicing in adult flies</w:t>
      </w:r>
      <w:r w:rsidR="003E4C8C">
        <w:t>{Khodor,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10" w:name="revised-results-section"/>
      <w:bookmarkEnd w:id="10"/>
      <w:r>
        <w:t>Discussion</w:t>
      </w:r>
    </w:p>
    <w:sectPr w:rsidR="00A40D7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4"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5"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Gro-mediated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376C3"/>
    <w:rsid w:val="00041DE0"/>
    <w:rsid w:val="000451FA"/>
    <w:rsid w:val="000514F0"/>
    <w:rsid w:val="00056237"/>
    <w:rsid w:val="00062ABD"/>
    <w:rsid w:val="000633C8"/>
    <w:rsid w:val="00071D1D"/>
    <w:rsid w:val="00091FF8"/>
    <w:rsid w:val="00094D56"/>
    <w:rsid w:val="000A6193"/>
    <w:rsid w:val="000A776F"/>
    <w:rsid w:val="000B3215"/>
    <w:rsid w:val="000B41DA"/>
    <w:rsid w:val="000D2F6D"/>
    <w:rsid w:val="000F37B2"/>
    <w:rsid w:val="000F4492"/>
    <w:rsid w:val="001029DD"/>
    <w:rsid w:val="001243BA"/>
    <w:rsid w:val="00125DEA"/>
    <w:rsid w:val="0014086B"/>
    <w:rsid w:val="00156EA1"/>
    <w:rsid w:val="0016503B"/>
    <w:rsid w:val="00170024"/>
    <w:rsid w:val="0017002A"/>
    <w:rsid w:val="001A137F"/>
    <w:rsid w:val="001B3BB0"/>
    <w:rsid w:val="001C275F"/>
    <w:rsid w:val="001C45A5"/>
    <w:rsid w:val="001D2B5B"/>
    <w:rsid w:val="001E0562"/>
    <w:rsid w:val="001E45E1"/>
    <w:rsid w:val="001E6EA2"/>
    <w:rsid w:val="001F41CC"/>
    <w:rsid w:val="002031D7"/>
    <w:rsid w:val="0020322A"/>
    <w:rsid w:val="00230A55"/>
    <w:rsid w:val="00237EB9"/>
    <w:rsid w:val="002509E0"/>
    <w:rsid w:val="002563E7"/>
    <w:rsid w:val="00275CDA"/>
    <w:rsid w:val="00284E7F"/>
    <w:rsid w:val="002B5B8B"/>
    <w:rsid w:val="002C058C"/>
    <w:rsid w:val="002E08A6"/>
    <w:rsid w:val="002E3A14"/>
    <w:rsid w:val="00326671"/>
    <w:rsid w:val="00327E1B"/>
    <w:rsid w:val="003358B1"/>
    <w:rsid w:val="0035211A"/>
    <w:rsid w:val="003546C5"/>
    <w:rsid w:val="003553D9"/>
    <w:rsid w:val="0035579F"/>
    <w:rsid w:val="00391BC9"/>
    <w:rsid w:val="003E0380"/>
    <w:rsid w:val="003E4C8C"/>
    <w:rsid w:val="003F10ED"/>
    <w:rsid w:val="00405377"/>
    <w:rsid w:val="00407EF6"/>
    <w:rsid w:val="0041464F"/>
    <w:rsid w:val="00420B5B"/>
    <w:rsid w:val="004314D5"/>
    <w:rsid w:val="00461586"/>
    <w:rsid w:val="004643B0"/>
    <w:rsid w:val="004822AC"/>
    <w:rsid w:val="004933F0"/>
    <w:rsid w:val="00495D91"/>
    <w:rsid w:val="004A7559"/>
    <w:rsid w:val="004C62C0"/>
    <w:rsid w:val="004D243C"/>
    <w:rsid w:val="004F0276"/>
    <w:rsid w:val="004F0AF3"/>
    <w:rsid w:val="0051034C"/>
    <w:rsid w:val="005230E1"/>
    <w:rsid w:val="005242B2"/>
    <w:rsid w:val="005368F2"/>
    <w:rsid w:val="00540604"/>
    <w:rsid w:val="00550E71"/>
    <w:rsid w:val="0055323B"/>
    <w:rsid w:val="0055499D"/>
    <w:rsid w:val="00555693"/>
    <w:rsid w:val="005726D7"/>
    <w:rsid w:val="005774BE"/>
    <w:rsid w:val="005A72DA"/>
    <w:rsid w:val="005D0256"/>
    <w:rsid w:val="005D1703"/>
    <w:rsid w:val="005D1B49"/>
    <w:rsid w:val="0060322B"/>
    <w:rsid w:val="006063EB"/>
    <w:rsid w:val="0061663A"/>
    <w:rsid w:val="00631114"/>
    <w:rsid w:val="006433AF"/>
    <w:rsid w:val="006440AC"/>
    <w:rsid w:val="0064453B"/>
    <w:rsid w:val="00645F6F"/>
    <w:rsid w:val="00661362"/>
    <w:rsid w:val="00666EF2"/>
    <w:rsid w:val="00683D3D"/>
    <w:rsid w:val="00684F14"/>
    <w:rsid w:val="006A0C78"/>
    <w:rsid w:val="006B19CD"/>
    <w:rsid w:val="006B5A0E"/>
    <w:rsid w:val="006E56FE"/>
    <w:rsid w:val="006F619C"/>
    <w:rsid w:val="00717E3E"/>
    <w:rsid w:val="0073152C"/>
    <w:rsid w:val="00742D23"/>
    <w:rsid w:val="00743AF1"/>
    <w:rsid w:val="0077458B"/>
    <w:rsid w:val="00781A3B"/>
    <w:rsid w:val="00781EB7"/>
    <w:rsid w:val="007A01F5"/>
    <w:rsid w:val="007A779E"/>
    <w:rsid w:val="007A7FF8"/>
    <w:rsid w:val="007B0590"/>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6555"/>
    <w:rsid w:val="00873A87"/>
    <w:rsid w:val="008754BB"/>
    <w:rsid w:val="0089157F"/>
    <w:rsid w:val="008A2834"/>
    <w:rsid w:val="008B018F"/>
    <w:rsid w:val="008B050E"/>
    <w:rsid w:val="008B77F7"/>
    <w:rsid w:val="008C46AF"/>
    <w:rsid w:val="008D4207"/>
    <w:rsid w:val="008D6626"/>
    <w:rsid w:val="008E3112"/>
    <w:rsid w:val="008F7C1E"/>
    <w:rsid w:val="00903FF8"/>
    <w:rsid w:val="00907157"/>
    <w:rsid w:val="00921735"/>
    <w:rsid w:val="00927C5A"/>
    <w:rsid w:val="0093515F"/>
    <w:rsid w:val="00957C1F"/>
    <w:rsid w:val="00970989"/>
    <w:rsid w:val="00974E74"/>
    <w:rsid w:val="009B74B7"/>
    <w:rsid w:val="009C1936"/>
    <w:rsid w:val="009C3245"/>
    <w:rsid w:val="009D28D1"/>
    <w:rsid w:val="009D5C49"/>
    <w:rsid w:val="00A002D8"/>
    <w:rsid w:val="00A1095E"/>
    <w:rsid w:val="00A138E6"/>
    <w:rsid w:val="00A25B2F"/>
    <w:rsid w:val="00A30785"/>
    <w:rsid w:val="00A40D79"/>
    <w:rsid w:val="00A4351E"/>
    <w:rsid w:val="00A457EE"/>
    <w:rsid w:val="00A45E0A"/>
    <w:rsid w:val="00A51973"/>
    <w:rsid w:val="00A54005"/>
    <w:rsid w:val="00A63CBC"/>
    <w:rsid w:val="00A63DE2"/>
    <w:rsid w:val="00AA2523"/>
    <w:rsid w:val="00AB3610"/>
    <w:rsid w:val="00AC2836"/>
    <w:rsid w:val="00AD14A9"/>
    <w:rsid w:val="00AD5890"/>
    <w:rsid w:val="00AE6E36"/>
    <w:rsid w:val="00AF4F59"/>
    <w:rsid w:val="00B438DD"/>
    <w:rsid w:val="00B570B8"/>
    <w:rsid w:val="00B60E91"/>
    <w:rsid w:val="00B77326"/>
    <w:rsid w:val="00B97924"/>
    <w:rsid w:val="00BA12A8"/>
    <w:rsid w:val="00BA7BC7"/>
    <w:rsid w:val="00BC0E7A"/>
    <w:rsid w:val="00BC2982"/>
    <w:rsid w:val="00BC4CE7"/>
    <w:rsid w:val="00BE0C0F"/>
    <w:rsid w:val="00BE1E61"/>
    <w:rsid w:val="00BE570B"/>
    <w:rsid w:val="00BE7AAB"/>
    <w:rsid w:val="00BF4AA0"/>
    <w:rsid w:val="00C316C2"/>
    <w:rsid w:val="00C4614F"/>
    <w:rsid w:val="00C4678B"/>
    <w:rsid w:val="00C56855"/>
    <w:rsid w:val="00C66AD0"/>
    <w:rsid w:val="00C77C2F"/>
    <w:rsid w:val="00C91541"/>
    <w:rsid w:val="00C923DA"/>
    <w:rsid w:val="00CC067C"/>
    <w:rsid w:val="00D007C0"/>
    <w:rsid w:val="00D11037"/>
    <w:rsid w:val="00D13193"/>
    <w:rsid w:val="00D155A5"/>
    <w:rsid w:val="00D3227B"/>
    <w:rsid w:val="00D74350"/>
    <w:rsid w:val="00D80AD3"/>
    <w:rsid w:val="00D863C5"/>
    <w:rsid w:val="00D8676F"/>
    <w:rsid w:val="00D97BEB"/>
    <w:rsid w:val="00DA2565"/>
    <w:rsid w:val="00DA7CE5"/>
    <w:rsid w:val="00DB11F5"/>
    <w:rsid w:val="00DB5779"/>
    <w:rsid w:val="00DD142F"/>
    <w:rsid w:val="00DE77EE"/>
    <w:rsid w:val="00DF7C23"/>
    <w:rsid w:val="00E04A56"/>
    <w:rsid w:val="00E15708"/>
    <w:rsid w:val="00E30565"/>
    <w:rsid w:val="00E31AE1"/>
    <w:rsid w:val="00E3439D"/>
    <w:rsid w:val="00E40A04"/>
    <w:rsid w:val="00E534FE"/>
    <w:rsid w:val="00E55542"/>
    <w:rsid w:val="00E67908"/>
    <w:rsid w:val="00E81819"/>
    <w:rsid w:val="00E86375"/>
    <w:rsid w:val="00E94AB8"/>
    <w:rsid w:val="00ED2BD5"/>
    <w:rsid w:val="00EF39B8"/>
    <w:rsid w:val="00EF6429"/>
    <w:rsid w:val="00F17D84"/>
    <w:rsid w:val="00F227AE"/>
    <w:rsid w:val="00F51F22"/>
    <w:rsid w:val="00F55887"/>
    <w:rsid w:val="00F6363E"/>
    <w:rsid w:val="00F73A0E"/>
    <w:rsid w:val="00F85351"/>
    <w:rsid w:val="00FA0B44"/>
    <w:rsid w:val="00FA6064"/>
    <w:rsid w:val="00FA7B2A"/>
    <w:rsid w:val="00FC4361"/>
    <w:rsid w:val="00FC7328"/>
    <w:rsid w:val="00FD1860"/>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B6B6D-99D5-204D-9639-03550834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16</Pages>
  <Words>5038</Words>
  <Characters>28722</Characters>
  <Application>Microsoft Macintosh Word</Application>
  <DocSecurity>0</DocSecurity>
  <Lines>239</Lines>
  <Paragraphs>67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77</cp:revision>
  <cp:lastPrinted>2015-04-27T23:56:00Z</cp:lastPrinted>
  <dcterms:created xsi:type="dcterms:W3CDTF">2015-08-10T21:41:00Z</dcterms:created>
  <dcterms:modified xsi:type="dcterms:W3CDTF">2015-08-19T01:56:00Z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