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{Graveley, 2011 #3044}</w:t>
      </w:r>
      <w:r w:rsidR="00AA75CF">
        <w:t xml:space="preserve"> </w:t>
      </w:r>
      <w:r w:rsidR="00AA75CF" w:rsidRPr="00AA75CF">
        <w:t>{De Renzis, 2007 #3149}</w:t>
      </w:r>
      <w:r w:rsidR="00AA75CF">
        <w:t xml:space="preserve">. </w:t>
      </w:r>
      <w:r w:rsidR="00207E2F">
        <w:t xml:space="preserve">Of these, at least 1,000 are expressed in a spatially constricted manner </w:t>
      </w:r>
      <w:r w:rsidR="00F91986" w:rsidRPr="00F91986">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 xml:space="preserve">{Thomsen, 2010 #1350}.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{Fu, 2009 #3150}.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{Tadros, 2009 #3146}</w:t>
      </w:r>
      <w:r w:rsidR="008B7B7F">
        <w:t xml:space="preserve"> {Li, 2014 #3151}. In </w:t>
      </w:r>
      <w:r w:rsidR="008B7B7F">
        <w:rPr>
          <w:i/>
        </w:rPr>
        <w:t xml:space="preserve">Drosophila, </w:t>
      </w:r>
      <w:r w:rsidR="008B7B7F">
        <w:t xml:space="preserve">the zinc-finger TF Zelda is a well-studied example of such a pioneering factor </w:t>
      </w:r>
      <w:r w:rsidR="00CB74DC">
        <w:t xml:space="preserve">{Liang, 2008 #3153} </w:t>
      </w:r>
      <w:r w:rsidR="008B7B7F">
        <w:t>{Harrison, 2011 #3152}</w:t>
      </w:r>
      <w:r w:rsidR="00CB74DC">
        <w:t xml:space="preserve"> {Xu,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During this time the majority of the maternally-contributed transcriptome is destabilized and undergoes coordinated degradation {Tadros, 2007 #3155;Benoit, 2009 #3154}.</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Nascent-seq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tissues to analyze the prevalence of cotranscriptional splicing</w:t>
      </w:r>
      <w:r w:rsidR="00D7635C">
        <w:t xml:space="preserve"> {Khodor, 2011 #2081}</w:t>
      </w:r>
      <w:r w:rsidR="00D25519">
        <w:t>, as well as circadian transcript cycling{Rodriguez, 2013 #1782},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{Nechaev,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2C2A48">
      <w:pPr>
        <w:pStyle w:val="BodyText"/>
        <w:spacing w:line="480" w:lineRule="auto"/>
      </w:pPr>
      <w:r>
        <w:tab/>
        <w:t>Integrating this data with whole RNA-seq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4" w:name="materials-methods"/>
      <w:bookmarkEnd w:id="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45638978" w:rsidR="004311A5" w:rsidRPr="00554634" w:rsidRDefault="004311A5" w:rsidP="002C2A48">
      <w:pPr>
        <w:pStyle w:val="BodyText"/>
        <w:spacing w:line="480" w:lineRule="auto"/>
      </w:pPr>
      <w:r>
        <w:lastRenderedPageBreak/>
        <w:t xml:space="preserve">Wild-type fly embryos were collected in three 2.5 hour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0.3M sucrose and dounced five times each with loose and tight pestles. Embryo lysate was filtered through 50-micron nylon cell strainer. Clarified lysate was layered over a sucrose cushion gradient consisting of equal volumes of homogenization buffer containing 0.8 and 1.7M sucrose and 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While gently vortexing, an equal volume of NUN buffer (25 mM HEPES-KOH pH 7.6; 300 mM NaCl; 1M urea; 1% NP-40; 1 mM DTT; 0.1 mM PMSF) was added drop-by-drop over a period 5 minutes. Condensed chromatin should become visible as a fluffy white precipitate. The solution was then incubated for 20 min on ice and centrifuged at 14k rpm for 30 min at 4˚C. The supernatant (primarily nucleoplasm) was discarded and the pellet was resuspended in Trizol reagent (</w:t>
      </w:r>
      <w:r w:rsidR="000300AF">
        <w:t>Invitrogen</w:t>
      </w:r>
      <w:r w:rsidR="00636044">
        <w:t xml:space="preserve">). RNA </w:t>
      </w:r>
      <w:r w:rsidR="000300AF">
        <w:t>and protein were</w:t>
      </w:r>
      <w:r w:rsidR="00636044">
        <w:t xml:space="preserve"> then purified following manufacturer’s protocols.</w:t>
      </w:r>
    </w:p>
    <w:p w14:paraId="41CFAA20" w14:textId="261F073B" w:rsidR="002C2A48" w:rsidRDefault="002C2A48" w:rsidP="002C2A48">
      <w:pPr>
        <w:pStyle w:val="BodyText"/>
        <w:spacing w:line="480" w:lineRule="auto"/>
        <w:rPr>
          <w:i/>
        </w:rPr>
      </w:pPr>
      <w:r>
        <w:rPr>
          <w:i/>
        </w:rPr>
        <w:t>rRNA removal</w:t>
      </w:r>
    </w:p>
    <w:p w14:paraId="30E02BF4" w14:textId="456BA4E7" w:rsidR="000300AF" w:rsidRPr="000300AF" w:rsidRDefault="00207292" w:rsidP="002C2A48">
      <w:pPr>
        <w:pStyle w:val="BodyText"/>
        <w:spacing w:line="480" w:lineRule="auto"/>
      </w:pPr>
      <w:r>
        <w:lastRenderedPageBreak/>
        <w:t xml:space="preserve">RNA samples were depleted of ribosomal, poly(A)+, and additional RNA contaminants through an affinity depletion procedure adopted from Khodor et a. (2011). An equimolar mixture of biotinylated affinity oligomers (Table 3-1; Eurofins MWG Operon) was added to 6 µg of purified RNA in annealing buffer (10 mM EDTA; 0.5x SSC) in a volume of 100 µl. RNA was denatured at 75˚C for 5 min and annealed at 37˚C for 30 min. Annealed mixture was </w:t>
      </w:r>
      <w:r w:rsidR="00E97A78">
        <w:t xml:space="preserve">added to </w:t>
      </w:r>
      <w:r w:rsidR="000365DE">
        <w:t xml:space="preserve">1ml </w:t>
      </w:r>
      <w:r w:rsidR="00E97A78">
        <w:t xml:space="preserve">streptavidin paramagnetic beads (Promega) </w:t>
      </w:r>
      <w:r w:rsidR="000365DE">
        <w:t xml:space="preserve">and incubated at 25˚C for 15 min, followed by 2 hours at 4˚C with gentle rocking, and the supernatant retained for library preparation. This procedure was performed twice per sample. </w:t>
      </w:r>
    </w:p>
    <w:p w14:paraId="11BAC32B" w14:textId="77777777" w:rsidR="00CE34FA" w:rsidRDefault="00CE34FA" w:rsidP="002C2A48">
      <w:pPr>
        <w:pStyle w:val="BodyText"/>
        <w:spacing w:line="480" w:lineRule="auto"/>
        <w:rPr>
          <w:i/>
        </w:rPr>
      </w:pPr>
    </w:p>
    <w:p w14:paraId="0F651FCE" w14:textId="23A6DE21" w:rsidR="002C2A48" w:rsidRDefault="002C2A48" w:rsidP="002C2A48">
      <w:pPr>
        <w:pStyle w:val="BodyText"/>
        <w:spacing w:line="480" w:lineRule="auto"/>
        <w:rPr>
          <w:i/>
        </w:rPr>
      </w:pPr>
      <w:r>
        <w:rPr>
          <w:i/>
        </w:rPr>
        <w:t>RNA-seq library construction and sequencing</w:t>
      </w:r>
    </w:p>
    <w:p w14:paraId="5E1026CA" w14:textId="766D4C5A" w:rsidR="00356B4E" w:rsidRDefault="003F5254" w:rsidP="002C2A48">
      <w:pPr>
        <w:pStyle w:val="BodyText"/>
        <w:spacing w:line="480" w:lineRule="auto"/>
      </w:pPr>
      <w:r>
        <w:t xml:space="preserve">rRNA-depleted RNA was </w:t>
      </w:r>
      <w:r w:rsidR="005B353C">
        <w:t>concentrated via ethanol precipitation. Size distribution of samples was determined via Agilent 2100 Bioanalyzer (Agilent Technologies). Indexed RNA-seq libraries were generated with the ScriptSeq v2 RNA-seq Library Preparation Kit (Epicentre). Sequencing was performed on Illumia HiSeq 2000 sequencing platform (High Throughput Sequencing Core Facility, Broad Stem Cell Research Center, UCLA).</w:t>
      </w:r>
      <w:r w:rsidR="0019745E">
        <w:t xml:space="preserve"> Reads were </w:t>
      </w:r>
      <w:r w:rsidR="00383BA0">
        <w:t xml:space="preserve">demultiplex via custom scripts and mapped to the BDGP5/dm3 </w:t>
      </w:r>
      <w:r w:rsidR="00383BA0">
        <w:rPr>
          <w:i/>
        </w:rPr>
        <w:t xml:space="preserve">D. melanogaster </w:t>
      </w:r>
      <w:r w:rsidR="00383BA0">
        <w:t>genome with Tophat2 (v2.1.0)</w:t>
      </w:r>
      <w:r w:rsidR="001463EE">
        <w:t xml:space="preserve"> </w:t>
      </w:r>
      <w:r w:rsidR="001463EE">
        <w:t>{Kim, 2013 #1817}</w:t>
      </w:r>
      <w:r w:rsidR="00383BA0">
        <w:t xml:space="preserve"> using the following parameters: -g 1 –solexa1.3-quals. A gene model annotation (</w:t>
      </w:r>
      <w:r w:rsidR="008F108F">
        <w:t>iGenomes UCSC dm3</w:t>
      </w:r>
      <w:r w:rsidR="00383BA0">
        <w:t>) was provided as a mapping guide.</w:t>
      </w:r>
      <w:r w:rsidR="002D0FAD">
        <w:t xml:space="preserve"> Assignment of mapped reads to transcripts </w:t>
      </w:r>
      <w:r w:rsidR="00503DA1">
        <w:t xml:space="preserve">was performed with HTSeq </w:t>
      </w:r>
      <w:r w:rsidR="00503DA1">
        <w:t>{IAnders, 2015 #3027}</w:t>
      </w:r>
      <w:r w:rsidR="00503DA1">
        <w:t>.</w:t>
      </w:r>
    </w:p>
    <w:p w14:paraId="0E7C4ADE" w14:textId="77777777" w:rsidR="002D6DD0" w:rsidRDefault="002D6DD0" w:rsidP="002C2A48">
      <w:pPr>
        <w:pStyle w:val="BodyText"/>
        <w:spacing w:line="480" w:lineRule="auto"/>
      </w:pPr>
    </w:p>
    <w:p w14:paraId="4617E510" w14:textId="009A5885" w:rsidR="002C2A48" w:rsidRDefault="00CE34FA" w:rsidP="00524201">
      <w:pPr>
        <w:pStyle w:val="BodyText"/>
        <w:spacing w:line="480" w:lineRule="auto"/>
        <w:rPr>
          <w:i/>
        </w:rPr>
      </w:pPr>
      <w:r>
        <w:rPr>
          <w:i/>
        </w:rPr>
        <w:lastRenderedPageBreak/>
        <w:t>Data analysis</w:t>
      </w:r>
      <w:bookmarkStart w:id="5" w:name="results"/>
      <w:bookmarkEnd w:id="5"/>
    </w:p>
    <w:p w14:paraId="6567A19B" w14:textId="13CFC78E" w:rsidR="00524201" w:rsidRPr="00524201" w:rsidRDefault="00524201" w:rsidP="00524201">
      <w:pPr>
        <w:pStyle w:val="BodyText"/>
        <w:spacing w:line="480" w:lineRule="auto"/>
      </w:pPr>
      <w:r>
        <w:t xml:space="preserve">Mean normalized transcript expression levels (FPKM) were generated with DESeq2 (v1.10.0) </w:t>
      </w:r>
      <w:r>
        <w:t>{Love, 2014 #3031}</w:t>
      </w:r>
      <w:r>
        <w:t>.</w:t>
      </w:r>
      <w:r w:rsidR="00617167">
        <w:t xml:space="preserve"> RNA-seq read mapping density analysis was performed using </w:t>
      </w:r>
      <w:r w:rsidR="009534CE">
        <w:t xml:space="preserve">PicardTools (http://broadinstitute.github.io/picard/). Additional metagene analysis was performed using the ‘metagene’ package of R/Bioconductor </w:t>
      </w:r>
      <w:r w:rsidR="00F55CCA">
        <w:t>{Beauparlant, 2014 #3167}</w:t>
      </w:r>
      <w:r w:rsidR="00F55CCA">
        <w:t>.</w:t>
      </w:r>
      <w:bookmarkStart w:id="6" w:name="_GoBack"/>
      <w:bookmarkEnd w:id="6"/>
      <w:r w:rsidR="00617167">
        <w:t xml:space="preserve"> </w:t>
      </w:r>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11BA9880"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{Cernilogar, 2011 #3156}.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w:t>
      </w:r>
      <w:r w:rsidR="003369DA">
        <w:lastRenderedPageBreak/>
        <w:t>for library generation. Non-uniformity generally manifests as a 3’ bias in mappable reads, as partially fragmented mRNA is purified by affinity selection to polyadenylation sites</w:t>
      </w:r>
      <w:r w:rsidR="009344D2">
        <w:t xml:space="preserve"> {Roberts,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FE5A3C">
        <w:t>{Carrillo Oesterreich, 2010 #3159}.</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FE5A3C">
        <w:t>{Gromak, 2006 #3158}.</w:t>
      </w:r>
    </w:p>
    <w:p w14:paraId="3E4C258A" w14:textId="10AEBBC4"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majority of introns are believed to be cotranscriptionally spliced, with only 16% of introns exhibiting little or no splicing {Khodor, 2011 #2081}</w:t>
      </w:r>
      <w:r w:rsidR="00F8262E" w:rsidRPr="00F8262E">
        <w:t xml:space="preserve"> </w:t>
      </w:r>
      <w:r w:rsidR="00F8262E">
        <w:t>{Wuarin, 1994 #259}.</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7FF5F163"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w:t>
      </w:r>
      <w:r>
        <w:lastRenderedPageBreak/>
        <w:t xml:space="preserve">degradation {Khodor, 2011 #2081} {Rodriguez, 2013 #1782}. In developmental contexts, in which </w:t>
      </w:r>
      <w:r w:rsidR="00711590">
        <w:t xml:space="preserve">a significant proportion of the transcriptome is far from steady-state. Correlation of chromatin-associated RNA transcript profiles with mRNA profiles obtained from the same timepoints 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 xml:space="preserve">exhibit comparable levels of expression in poly(A)+ and nascent samples.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non-polyadenylated RNAs, including histones, snRNAs, and snoRNAs.</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Groucho target genes are enriched for promoter-proximal read density indicative of polymerase pausing</w:t>
      </w:r>
    </w:p>
    <w:p w14:paraId="1877DD4B" w14:textId="77777777" w:rsidR="002C43ED" w:rsidRDefault="004611B3" w:rsidP="00DF0E0B">
      <w:pPr>
        <w:spacing w:line="480" w:lineRule="auto"/>
      </w:pPr>
      <w:r>
        <w:tab/>
      </w:r>
      <w:r>
        <w:rPr>
          <w:i/>
        </w:rPr>
        <w:t xml:space="preserve">  </w:t>
      </w:r>
      <w:r w:rsidR="00E513DE">
        <w:t xml:space="preserve">Evidence presented in Chapter II 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mutant embryos {Zeitlinger, 2007 #3010}</w:t>
      </w:r>
      <w:r w:rsidR="003670B6">
        <w:t>. These embryos generate a more homogenous population of cells, as all portions of the embryo adopt a cell type representative of the presumptive mesoderm {Schneider, 1991 #3161},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w:t>
      </w:r>
      <w:r w:rsidR="002C43ED">
        <w:lastRenderedPageBreak/>
        <w:t>types. This heterogeneity limits the interpretation of Groucho’s involvement with promoter-proximal stalled polymerase, so we can determine whether a gene is regulated by Groucho and possesses stalled PolII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3-6).</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7" w:name="discussion"/>
      <w:bookmarkEnd w:id="7"/>
      <w:r>
        <w:t>Discussion</w:t>
      </w:r>
    </w:p>
    <w:p w14:paraId="51AD4C07" w14:textId="2D8502C9"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w:t>
      </w:r>
      <w:r>
        <w:lastRenderedPageBreak/>
        <w:t>complexes.</w:t>
      </w:r>
      <w:r w:rsidR="00241459">
        <w:t xml:space="preserve"> Investigations of stalled PolII in the embryo have previously shown that in 2-4 hour embryos, 12% of all protein-coding genes have stalled promoter-proximal PolII {Zeitlinger, 2007 #3010}.</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{Nechaev, 2010 #3006}</w:t>
      </w:r>
      <w:r w:rsidR="0061791A">
        <w:t xml:space="preserve">. </w:t>
      </w:r>
    </w:p>
    <w:p w14:paraId="0FE7CE31" w14:textId="3B8F0B75"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reviewed {Adelman, 2012 #272}</w:t>
      </w:r>
      <w:r w:rsidR="00974AF4">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Members of the Rel family of transcription factors, of which the Groucho-interactor Dorsal is a member, have been found to promote both PolII pausing and release in mammals {Barboric, 2001 #3164}.</w:t>
      </w:r>
    </w:p>
    <w:p w14:paraId="004A986A" w14:textId="77777777" w:rsidR="003A1156" w:rsidRPr="003A1156" w:rsidRDefault="003A1156" w:rsidP="00392443">
      <w:pPr>
        <w:pStyle w:val="BodyText"/>
        <w:spacing w:line="480" w:lineRule="auto"/>
      </w:pPr>
    </w:p>
    <w:p w14:paraId="4BE77F31" w14:textId="704A527F" w:rsidR="00692974" w:rsidRDefault="002C6B01" w:rsidP="00392443">
      <w:pPr>
        <w:pStyle w:val="Heading4"/>
        <w:spacing w:line="480" w:lineRule="auto"/>
      </w:pPr>
      <w:bookmarkStart w:id="8" w:name="references"/>
      <w:bookmarkEnd w:id="8"/>
      <w:r>
        <w:t>References</w:t>
      </w:r>
      <w:bookmarkStart w:id="9" w:name="figures-and-tables"/>
      <w:bookmarkEnd w:id="9"/>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5B4F8" w14:textId="77777777" w:rsidR="0073582E" w:rsidRDefault="0073582E">
      <w:pPr>
        <w:spacing w:after="0"/>
      </w:pPr>
      <w:r>
        <w:separator/>
      </w:r>
    </w:p>
  </w:endnote>
  <w:endnote w:type="continuationSeparator" w:id="0">
    <w:p w14:paraId="3C799533" w14:textId="77777777" w:rsidR="0073582E" w:rsidRDefault="00735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19DDD" w14:textId="77777777" w:rsidR="0073582E" w:rsidRDefault="0073582E">
      <w:r>
        <w:separator/>
      </w:r>
    </w:p>
  </w:footnote>
  <w:footnote w:type="continuationSeparator" w:id="0">
    <w:p w14:paraId="36461524" w14:textId="77777777" w:rsidR="0073582E" w:rsidRDefault="007358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0AF"/>
    <w:rsid w:val="000365DE"/>
    <w:rsid w:val="000761A6"/>
    <w:rsid w:val="000778C7"/>
    <w:rsid w:val="000E6892"/>
    <w:rsid w:val="00127FD7"/>
    <w:rsid w:val="00131A23"/>
    <w:rsid w:val="001463EE"/>
    <w:rsid w:val="00151771"/>
    <w:rsid w:val="0019745E"/>
    <w:rsid w:val="00197D12"/>
    <w:rsid w:val="00205682"/>
    <w:rsid w:val="00207292"/>
    <w:rsid w:val="00207E2F"/>
    <w:rsid w:val="00241459"/>
    <w:rsid w:val="002534AA"/>
    <w:rsid w:val="002C2A48"/>
    <w:rsid w:val="002C43ED"/>
    <w:rsid w:val="002C6B01"/>
    <w:rsid w:val="002D0FAD"/>
    <w:rsid w:val="002D6DD0"/>
    <w:rsid w:val="002F2A73"/>
    <w:rsid w:val="002F4B7D"/>
    <w:rsid w:val="003369DA"/>
    <w:rsid w:val="00352387"/>
    <w:rsid w:val="00356B4E"/>
    <w:rsid w:val="003670B6"/>
    <w:rsid w:val="00383BA0"/>
    <w:rsid w:val="00392443"/>
    <w:rsid w:val="003A1156"/>
    <w:rsid w:val="003F5254"/>
    <w:rsid w:val="004011C8"/>
    <w:rsid w:val="0041031A"/>
    <w:rsid w:val="00427CB5"/>
    <w:rsid w:val="004311A5"/>
    <w:rsid w:val="00452672"/>
    <w:rsid w:val="004611B3"/>
    <w:rsid w:val="004901DE"/>
    <w:rsid w:val="004B1FFD"/>
    <w:rsid w:val="004E29B3"/>
    <w:rsid w:val="00503DA1"/>
    <w:rsid w:val="00524201"/>
    <w:rsid w:val="005266FA"/>
    <w:rsid w:val="00536021"/>
    <w:rsid w:val="005364BC"/>
    <w:rsid w:val="00554634"/>
    <w:rsid w:val="00556A1F"/>
    <w:rsid w:val="00561695"/>
    <w:rsid w:val="00590D07"/>
    <w:rsid w:val="00593895"/>
    <w:rsid w:val="005A5F61"/>
    <w:rsid w:val="005A7761"/>
    <w:rsid w:val="005B353C"/>
    <w:rsid w:val="005B4A33"/>
    <w:rsid w:val="005B672F"/>
    <w:rsid w:val="005E5117"/>
    <w:rsid w:val="00612FFD"/>
    <w:rsid w:val="00617167"/>
    <w:rsid w:val="0061791A"/>
    <w:rsid w:val="00636044"/>
    <w:rsid w:val="00641A4D"/>
    <w:rsid w:val="006755D4"/>
    <w:rsid w:val="00692974"/>
    <w:rsid w:val="006B09BB"/>
    <w:rsid w:val="00711590"/>
    <w:rsid w:val="00733885"/>
    <w:rsid w:val="0073582E"/>
    <w:rsid w:val="00742CD1"/>
    <w:rsid w:val="00784D58"/>
    <w:rsid w:val="00805066"/>
    <w:rsid w:val="0083242A"/>
    <w:rsid w:val="008B7B7F"/>
    <w:rsid w:val="008D226D"/>
    <w:rsid w:val="008D6863"/>
    <w:rsid w:val="008E6909"/>
    <w:rsid w:val="008F108F"/>
    <w:rsid w:val="00931F1D"/>
    <w:rsid w:val="009344D2"/>
    <w:rsid w:val="009534CE"/>
    <w:rsid w:val="00965BCD"/>
    <w:rsid w:val="00973F2C"/>
    <w:rsid w:val="00974AF4"/>
    <w:rsid w:val="00975EA3"/>
    <w:rsid w:val="009E4EB0"/>
    <w:rsid w:val="009F6658"/>
    <w:rsid w:val="00A42A69"/>
    <w:rsid w:val="00A67E88"/>
    <w:rsid w:val="00AA275B"/>
    <w:rsid w:val="00AA75CF"/>
    <w:rsid w:val="00AF254D"/>
    <w:rsid w:val="00B86B75"/>
    <w:rsid w:val="00B94878"/>
    <w:rsid w:val="00BC48D5"/>
    <w:rsid w:val="00BD4A44"/>
    <w:rsid w:val="00BE648A"/>
    <w:rsid w:val="00C16C79"/>
    <w:rsid w:val="00C36279"/>
    <w:rsid w:val="00C80B87"/>
    <w:rsid w:val="00CB74DC"/>
    <w:rsid w:val="00CC25A8"/>
    <w:rsid w:val="00CE34FA"/>
    <w:rsid w:val="00D25519"/>
    <w:rsid w:val="00D67DAC"/>
    <w:rsid w:val="00D7635C"/>
    <w:rsid w:val="00DF0E0B"/>
    <w:rsid w:val="00DF3BEE"/>
    <w:rsid w:val="00E1075F"/>
    <w:rsid w:val="00E315A3"/>
    <w:rsid w:val="00E513DE"/>
    <w:rsid w:val="00E60A07"/>
    <w:rsid w:val="00E75EF2"/>
    <w:rsid w:val="00E80EA8"/>
    <w:rsid w:val="00E97A78"/>
    <w:rsid w:val="00F37FD0"/>
    <w:rsid w:val="00F55CCA"/>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2775</Words>
  <Characters>15820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68</cp:revision>
  <dcterms:created xsi:type="dcterms:W3CDTF">2015-11-03T02:51:00Z</dcterms:created>
  <dcterms:modified xsi:type="dcterms:W3CDTF">2015-11-10T00:31:00Z</dcterms:modified>
</cp:coreProperties>
</file>