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6D7094" w14:textId="14DE7F52" w:rsidR="007541E1" w:rsidRPr="00FA3AF4" w:rsidRDefault="00F558A3" w:rsidP="00FA3AF4">
      <w:pPr>
        <w:spacing w:line="480" w:lineRule="auto"/>
      </w:pPr>
      <w:r>
        <w:rPr>
          <w:b/>
        </w:rPr>
        <w:t>Figure 3-1.</w:t>
      </w:r>
      <w:r w:rsidR="00FA3AF4">
        <w:rPr>
          <w:b/>
        </w:rPr>
        <w:t xml:space="preserve"> RNA enriched for nascent transcripts was isolated from the chromatin fraction of fractionated embryos. (A) </w:t>
      </w:r>
      <w:r w:rsidR="00FA3AF4">
        <w:t xml:space="preserve">A typical fractionation resulted in a chromatin fraction enriched for proteins consistent with </w:t>
      </w:r>
      <w:r w:rsidR="00FA3AF4">
        <w:rPr>
          <w:i/>
        </w:rPr>
        <w:t xml:space="preserve">Drosophila </w:t>
      </w:r>
      <w:r w:rsidR="00524278">
        <w:t xml:space="preserve">histone cores. </w:t>
      </w:r>
      <w:r w:rsidR="00524278">
        <w:rPr>
          <w:b/>
        </w:rPr>
        <w:t xml:space="preserve">(B) </w:t>
      </w:r>
      <w:r w:rsidR="00345606">
        <w:t>Fractionation was confirmed via immunoblot. Chromatin fractions were enriched for the histone H3 (green) and depleted for tubulin, which is predominately cytoplasmic (red).</w:t>
      </w:r>
      <w:r w:rsidR="00FA3AF4">
        <w:t xml:space="preserve">  </w:t>
      </w:r>
      <w:r w:rsidR="00FA3AF4">
        <w:rPr>
          <w:b/>
        </w:rPr>
        <w:t xml:space="preserve"> </w:t>
      </w:r>
    </w:p>
    <w:p w14:paraId="678491B0" w14:textId="77777777" w:rsidR="00F558A3" w:rsidRDefault="00F558A3" w:rsidP="00FA3AF4">
      <w:pPr>
        <w:spacing w:line="480" w:lineRule="auto"/>
        <w:rPr>
          <w:b/>
        </w:rPr>
      </w:pPr>
      <w:r>
        <w:rPr>
          <w:b/>
        </w:rPr>
        <w:br w:type="page"/>
      </w:r>
    </w:p>
    <w:p w14:paraId="63D6086B" w14:textId="04D60474" w:rsidR="00AF03CA" w:rsidRDefault="00AF03CA">
      <w:pPr>
        <w:rPr>
          <w:b/>
        </w:rPr>
      </w:pPr>
      <w:r>
        <w:rPr>
          <w:b/>
        </w:rPr>
        <w:lastRenderedPageBreak/>
        <w:t>Fig. 3-1</w:t>
      </w:r>
      <w:r>
        <w:rPr>
          <w:b/>
          <w:noProof/>
        </w:rPr>
        <w:drawing>
          <wp:inline distT="0" distB="0" distL="0" distR="0" wp14:anchorId="3FC07985" wp14:editId="2E334522">
            <wp:extent cx="5943600" cy="7683500"/>
            <wp:effectExtent l="0" t="0" r="0" b="0"/>
            <wp:docPr id="1" name="Picture 1" descr="ch3_nascent.figures.split.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3_nascent.figures.split.1.pd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8E6A" w14:textId="77777777" w:rsidR="00AF03CA" w:rsidRDefault="00AF03CA">
      <w:pPr>
        <w:rPr>
          <w:b/>
        </w:rPr>
      </w:pPr>
      <w:r>
        <w:rPr>
          <w:b/>
        </w:rPr>
        <w:br w:type="page"/>
      </w:r>
    </w:p>
    <w:p w14:paraId="015B6958" w14:textId="3BE0D4BD" w:rsidR="003118A8" w:rsidRPr="003E5B8F" w:rsidRDefault="005308A0" w:rsidP="003E5B8F">
      <w:pPr>
        <w:spacing w:line="480" w:lineRule="auto"/>
      </w:pPr>
      <w:r>
        <w:rPr>
          <w:b/>
        </w:rPr>
        <w:t>Figure 3-2</w:t>
      </w:r>
      <w:r w:rsidR="003118A8">
        <w:rPr>
          <w:b/>
        </w:rPr>
        <w:t>.</w:t>
      </w:r>
      <w:r>
        <w:rPr>
          <w:b/>
        </w:rPr>
        <w:t xml:space="preserve"> Nascent RNA is enriched for reads originating from the 5’ end of transcripts and depleted for 3’ transcript reads</w:t>
      </w:r>
      <w:r w:rsidR="003E5B8F">
        <w:rPr>
          <w:b/>
        </w:rPr>
        <w:t xml:space="preserve">. </w:t>
      </w:r>
      <w:r w:rsidR="003E5B8F">
        <w:t xml:space="preserve">The distribution of </w:t>
      </w:r>
      <w:proofErr w:type="spellStart"/>
      <w:r w:rsidR="003E5B8F">
        <w:t>mappable</w:t>
      </w:r>
      <w:proofErr w:type="spellEnd"/>
      <w:r w:rsidR="003E5B8F">
        <w:t xml:space="preserve"> sequencing reads generated via RNA-</w:t>
      </w:r>
      <w:proofErr w:type="spellStart"/>
      <w:r w:rsidR="003E5B8F">
        <w:t>seq</w:t>
      </w:r>
      <w:proofErr w:type="spellEnd"/>
      <w:r w:rsidR="003E5B8F">
        <w:t xml:space="preserve"> of chromatin-associated RNA was </w:t>
      </w:r>
      <w:r w:rsidR="00C355F5">
        <w:t xml:space="preserve">calculated </w:t>
      </w:r>
      <w:r w:rsidR="00FB0CB7">
        <w:t xml:space="preserve">for each expressed gene. Gene distributions were then normalized for total gene length and expression level. The resulting </w:t>
      </w:r>
      <w:proofErr w:type="spellStart"/>
      <w:r w:rsidR="00FB0CB7">
        <w:t>metagene</w:t>
      </w:r>
      <w:proofErr w:type="spellEnd"/>
      <w:r w:rsidR="00FB0CB7">
        <w:t xml:space="preserve"> distribution shows a strong increase in read density arising from 5’ portions of expressed genes, consistent with the isolation of incompletely transcribed transcripts.</w:t>
      </w:r>
    </w:p>
    <w:p w14:paraId="2AE4FD35" w14:textId="77777777" w:rsidR="003118A8" w:rsidRDefault="003118A8" w:rsidP="003E5B8F">
      <w:pPr>
        <w:spacing w:line="480" w:lineRule="auto"/>
        <w:rPr>
          <w:b/>
        </w:rPr>
      </w:pPr>
      <w:r>
        <w:rPr>
          <w:b/>
        </w:rPr>
        <w:br w:type="page"/>
      </w:r>
    </w:p>
    <w:p w14:paraId="2DD2A27D" w14:textId="09149A63" w:rsidR="003118A8" w:rsidRDefault="005308A0" w:rsidP="003118A8">
      <w:pPr>
        <w:rPr>
          <w:b/>
        </w:rPr>
      </w:pPr>
      <w:r>
        <w:rPr>
          <w:b/>
        </w:rPr>
        <w:t>Fig. 3-2</w:t>
      </w:r>
      <w:r w:rsidR="003118A8">
        <w:rPr>
          <w:b/>
          <w:noProof/>
        </w:rPr>
        <w:drawing>
          <wp:inline distT="0" distB="0" distL="0" distR="0" wp14:anchorId="7C37B38F" wp14:editId="7FF05EA2">
            <wp:extent cx="5943600" cy="7683500"/>
            <wp:effectExtent l="0" t="0" r="0" b="0"/>
            <wp:docPr id="6" name="Picture 6" descr="ch3_nascent.figures.split.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h3_nascent.figures.split.4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584A" w14:textId="77777777" w:rsidR="003118A8" w:rsidRDefault="003118A8" w:rsidP="003118A8">
      <w:pPr>
        <w:rPr>
          <w:b/>
        </w:rPr>
      </w:pPr>
      <w:r>
        <w:rPr>
          <w:b/>
        </w:rPr>
        <w:br w:type="page"/>
      </w:r>
    </w:p>
    <w:p w14:paraId="741FD65E" w14:textId="47635868" w:rsidR="003118A8" w:rsidRPr="00995092" w:rsidRDefault="00617D62" w:rsidP="00452B26">
      <w:pPr>
        <w:spacing w:line="480" w:lineRule="auto"/>
      </w:pPr>
      <w:r>
        <w:rPr>
          <w:b/>
        </w:rPr>
        <w:t>Figure 3-3</w:t>
      </w:r>
      <w:r w:rsidR="003118A8">
        <w:rPr>
          <w:b/>
        </w:rPr>
        <w:t>.</w:t>
      </w:r>
      <w:r w:rsidR="00995092">
        <w:rPr>
          <w:b/>
        </w:rPr>
        <w:t xml:space="preserve"> Chromatin-associated RNAs are enriched for </w:t>
      </w:r>
      <w:proofErr w:type="spellStart"/>
      <w:r w:rsidR="00995092">
        <w:rPr>
          <w:b/>
        </w:rPr>
        <w:t>unspliced</w:t>
      </w:r>
      <w:proofErr w:type="spellEnd"/>
      <w:r w:rsidR="00995092">
        <w:rPr>
          <w:b/>
        </w:rPr>
        <w:t xml:space="preserve"> introns. </w:t>
      </w:r>
      <w:proofErr w:type="spellStart"/>
      <w:r w:rsidR="00995092">
        <w:t>Cotranscriptional</w:t>
      </w:r>
      <w:proofErr w:type="spellEnd"/>
      <w:r w:rsidR="00995092">
        <w:t xml:space="preserve"> splicing is widespread in </w:t>
      </w:r>
      <w:r w:rsidR="00995092">
        <w:rPr>
          <w:i/>
        </w:rPr>
        <w:t xml:space="preserve">Drosophila, </w:t>
      </w:r>
      <w:r w:rsidR="002B5924">
        <w:t>with the</w:t>
      </w:r>
      <w:r w:rsidR="00995092">
        <w:t xml:space="preserve"> majority of introns being </w:t>
      </w:r>
      <w:proofErr w:type="spellStart"/>
      <w:r w:rsidR="00995092">
        <w:t>cotranscriptionally</w:t>
      </w:r>
      <w:proofErr w:type="spellEnd"/>
      <w:r w:rsidR="00995092">
        <w:t xml:space="preserve"> processed</w:t>
      </w:r>
      <w:r w:rsidR="00F0058B">
        <w:t xml:space="preserve">; </w:t>
      </w:r>
      <w:r w:rsidR="00AE4604">
        <w:t xml:space="preserve">some introns are known to be spliced post-transcriptionally </w:t>
      </w:r>
      <w:r w:rsidR="00995092">
        <w:t>{</w:t>
      </w:r>
      <w:proofErr w:type="spellStart"/>
      <w:r w:rsidR="00995092">
        <w:t>Khodor</w:t>
      </w:r>
      <w:proofErr w:type="spellEnd"/>
      <w:r w:rsidR="00995092">
        <w:t>, 2011 #2081}</w:t>
      </w:r>
      <w:r w:rsidR="00995092">
        <w:t xml:space="preserve">. </w:t>
      </w:r>
      <w:r w:rsidR="00AA16DB">
        <w:t xml:space="preserve">Chromatin-associated RNA remains enriched for </w:t>
      </w:r>
      <w:r w:rsidR="00AE4604">
        <w:t xml:space="preserve">intronic content compared to poly(A)-selected mRNA obtained at the same embryonic stages. Over twice as much chromatin-associated RNA maps to intronic sequences as compared to poly(A)-selected (35% vs. 13%), indicating that these samples are enriched for nascent </w:t>
      </w:r>
      <w:proofErr w:type="spellStart"/>
      <w:r w:rsidR="00AE4604">
        <w:t>trasncripts</w:t>
      </w:r>
      <w:proofErr w:type="spellEnd"/>
      <w:r w:rsidR="00AE4604">
        <w:t xml:space="preserve">. </w:t>
      </w:r>
    </w:p>
    <w:p w14:paraId="046FBA6E" w14:textId="77777777" w:rsidR="003118A8" w:rsidRDefault="003118A8" w:rsidP="00452B26">
      <w:pPr>
        <w:spacing w:line="480" w:lineRule="auto"/>
        <w:rPr>
          <w:b/>
        </w:rPr>
      </w:pPr>
      <w:r>
        <w:rPr>
          <w:b/>
        </w:rPr>
        <w:br w:type="page"/>
      </w:r>
    </w:p>
    <w:p w14:paraId="4D4FBF30" w14:textId="5DC984D0" w:rsidR="003118A8" w:rsidRPr="00F558A3" w:rsidRDefault="00617D62" w:rsidP="003118A8">
      <w:pPr>
        <w:rPr>
          <w:b/>
        </w:rPr>
      </w:pPr>
      <w:r>
        <w:rPr>
          <w:b/>
        </w:rPr>
        <w:t>Fig. 3-3</w:t>
      </w:r>
      <w:r w:rsidR="003118A8">
        <w:rPr>
          <w:b/>
          <w:noProof/>
        </w:rPr>
        <w:drawing>
          <wp:inline distT="0" distB="0" distL="0" distR="0" wp14:anchorId="07667B3E" wp14:editId="0192B518">
            <wp:extent cx="5943600" cy="7683500"/>
            <wp:effectExtent l="0" t="0" r="0" b="0"/>
            <wp:docPr id="8" name="Picture 8" descr="ch3_nascent.figures.split.5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3_nascent.figures.split.5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A1CB4" w14:textId="77777777" w:rsidR="003118A8" w:rsidRDefault="003118A8">
      <w:pPr>
        <w:rPr>
          <w:b/>
        </w:rPr>
      </w:pPr>
    </w:p>
    <w:p w14:paraId="31C244CC" w14:textId="098AA18D" w:rsidR="00F558A3" w:rsidRPr="00736899" w:rsidRDefault="00736899">
      <w:r>
        <w:rPr>
          <w:b/>
        </w:rPr>
        <w:t>Figure 3-4</w:t>
      </w:r>
      <w:r w:rsidR="00AF03CA">
        <w:rPr>
          <w:b/>
        </w:rPr>
        <w:t>.</w:t>
      </w:r>
      <w:r>
        <w:rPr>
          <w:b/>
        </w:rPr>
        <w:t xml:space="preserve"> Chromatin-associated RNA samples present a significantly different transcriptional profile in comparison to poly(A)-selected RNA. </w:t>
      </w:r>
    </w:p>
    <w:p w14:paraId="369E124E" w14:textId="1C66C26F" w:rsidR="00AF03CA" w:rsidRDefault="00AF03CA">
      <w:pPr>
        <w:rPr>
          <w:b/>
        </w:rPr>
      </w:pPr>
      <w:r>
        <w:rPr>
          <w:b/>
        </w:rPr>
        <w:br w:type="page"/>
      </w:r>
    </w:p>
    <w:p w14:paraId="2D3DDE56" w14:textId="13B0C7E2" w:rsidR="00AF03CA" w:rsidRDefault="00736899">
      <w:pPr>
        <w:rPr>
          <w:b/>
        </w:rPr>
      </w:pPr>
      <w:r>
        <w:rPr>
          <w:b/>
        </w:rPr>
        <w:t>Fig. 3-4</w:t>
      </w:r>
      <w:r w:rsidR="00AF03CA">
        <w:rPr>
          <w:b/>
          <w:noProof/>
        </w:rPr>
        <w:drawing>
          <wp:inline distT="0" distB="0" distL="0" distR="0" wp14:anchorId="648639F0" wp14:editId="11CE7802">
            <wp:extent cx="5943600" cy="7683500"/>
            <wp:effectExtent l="0" t="0" r="0" b="0"/>
            <wp:docPr id="2" name="Picture 2" descr="ch3_nascent.figures.split.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3_nascent.figures.split.2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A14C" w14:textId="77777777" w:rsidR="00AF03CA" w:rsidRDefault="00AF03CA">
      <w:pPr>
        <w:rPr>
          <w:b/>
        </w:rPr>
      </w:pPr>
      <w:r>
        <w:rPr>
          <w:b/>
        </w:rPr>
        <w:br w:type="page"/>
      </w:r>
    </w:p>
    <w:p w14:paraId="600FC582" w14:textId="3D4CF29C" w:rsidR="00AF03CA" w:rsidRDefault="00736899">
      <w:pPr>
        <w:rPr>
          <w:b/>
        </w:rPr>
      </w:pPr>
      <w:r>
        <w:rPr>
          <w:b/>
        </w:rPr>
        <w:t>Figure 3-5</w:t>
      </w:r>
      <w:r w:rsidR="00AF03CA">
        <w:rPr>
          <w:b/>
        </w:rPr>
        <w:t>.</w:t>
      </w:r>
      <w:r w:rsidR="000570DE">
        <w:rPr>
          <w:b/>
        </w:rPr>
        <w:t xml:space="preserve"> A small number of transcripts are significantly over-represented in chromatin-associated RNA.</w:t>
      </w:r>
    </w:p>
    <w:p w14:paraId="71576AF6" w14:textId="7BA26772" w:rsidR="00AF03CA" w:rsidRDefault="00AF03CA">
      <w:pPr>
        <w:rPr>
          <w:b/>
        </w:rPr>
      </w:pPr>
      <w:r>
        <w:rPr>
          <w:b/>
        </w:rPr>
        <w:br w:type="page"/>
      </w:r>
    </w:p>
    <w:p w14:paraId="20676A5D" w14:textId="724AB78F" w:rsidR="00AF03CA" w:rsidRDefault="00736899">
      <w:pPr>
        <w:rPr>
          <w:b/>
        </w:rPr>
      </w:pPr>
      <w:r>
        <w:rPr>
          <w:b/>
        </w:rPr>
        <w:t>Fig. 3-5</w:t>
      </w:r>
      <w:r w:rsidR="00AF03CA">
        <w:rPr>
          <w:b/>
          <w:noProof/>
        </w:rPr>
        <w:drawing>
          <wp:inline distT="0" distB="0" distL="0" distR="0" wp14:anchorId="47EBF63F" wp14:editId="139937F4">
            <wp:extent cx="5943600" cy="7683500"/>
            <wp:effectExtent l="0" t="0" r="0" b="0"/>
            <wp:docPr id="3" name="Picture 3" descr="ch3_nascent.figures.split.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3_nascent.figures.split.3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3E0A8" w14:textId="19D7E5DB" w:rsidR="00A92218" w:rsidRDefault="00A92218">
      <w:pPr>
        <w:rPr>
          <w:b/>
        </w:rPr>
      </w:pPr>
      <w:r>
        <w:rPr>
          <w:b/>
        </w:rPr>
        <w:br w:type="page"/>
      </w:r>
    </w:p>
    <w:p w14:paraId="0A99BCDB" w14:textId="54A7C2FD" w:rsidR="00AF03CA" w:rsidRDefault="00A92218">
      <w:pPr>
        <w:rPr>
          <w:b/>
        </w:rPr>
      </w:pPr>
      <w:r>
        <w:rPr>
          <w:b/>
        </w:rPr>
        <w:t>Figure 3-6.</w:t>
      </w:r>
      <w:bookmarkStart w:id="0" w:name="_GoBack"/>
      <w:bookmarkEnd w:id="0"/>
    </w:p>
    <w:p w14:paraId="46EEDD2C" w14:textId="42F0543A" w:rsidR="00A92218" w:rsidRDefault="00A92218">
      <w:pPr>
        <w:rPr>
          <w:b/>
        </w:rPr>
      </w:pPr>
      <w:r>
        <w:rPr>
          <w:b/>
        </w:rPr>
        <w:br w:type="page"/>
      </w:r>
    </w:p>
    <w:p w14:paraId="18DC19A0" w14:textId="4ECFDFD2" w:rsidR="00A92218" w:rsidRDefault="00A92218">
      <w:pPr>
        <w:rPr>
          <w:b/>
        </w:rPr>
      </w:pPr>
      <w:r>
        <w:rPr>
          <w:b/>
        </w:rPr>
        <w:t>Fig. 3-6</w:t>
      </w:r>
    </w:p>
    <w:sectPr w:rsidR="00A92218" w:rsidSect="006B7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8A3"/>
    <w:rsid w:val="000570DE"/>
    <w:rsid w:val="002B5924"/>
    <w:rsid w:val="003118A8"/>
    <w:rsid w:val="00345606"/>
    <w:rsid w:val="003E5B8F"/>
    <w:rsid w:val="00452B26"/>
    <w:rsid w:val="00524278"/>
    <w:rsid w:val="005308A0"/>
    <w:rsid w:val="00617D62"/>
    <w:rsid w:val="006B7416"/>
    <w:rsid w:val="00736899"/>
    <w:rsid w:val="007541E1"/>
    <w:rsid w:val="00995092"/>
    <w:rsid w:val="00A77F4C"/>
    <w:rsid w:val="00A91C29"/>
    <w:rsid w:val="00A92218"/>
    <w:rsid w:val="00AA16DB"/>
    <w:rsid w:val="00AE4604"/>
    <w:rsid w:val="00AF03CA"/>
    <w:rsid w:val="00C355F5"/>
    <w:rsid w:val="00F0058B"/>
    <w:rsid w:val="00F558A3"/>
    <w:rsid w:val="00FA3AF4"/>
    <w:rsid w:val="00FB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7A183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283</Words>
  <Characters>1618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Chambers</dc:creator>
  <cp:keywords/>
  <dc:description/>
  <cp:lastModifiedBy>Michael Chambers</cp:lastModifiedBy>
  <cp:revision>17</cp:revision>
  <dcterms:created xsi:type="dcterms:W3CDTF">2015-11-09T03:56:00Z</dcterms:created>
  <dcterms:modified xsi:type="dcterms:W3CDTF">2015-11-09T06:47:00Z</dcterms:modified>
</cp:coreProperties>
</file>