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2</w:t>
      </w:r>
      <w:r>
        <w:t xml:space="preserve"> </w:t>
      </w:r>
      <w:r>
        <w:t xml:space="preserve">Identificaiton</w:t>
      </w:r>
      <w:r>
        <w:t xml:space="preserve"> </w:t>
      </w:r>
      <w:r>
        <w:t xml:space="preserve">of</w:t>
      </w:r>
      <w:r>
        <w:t xml:space="preserve"> </w:t>
      </w:r>
      <w:r>
        <w:t xml:space="preserve">Groucho-regulated</w:t>
      </w:r>
      <w:r>
        <w:t xml:space="preserve"> </w:t>
      </w:r>
      <w:r>
        <w:t xml:space="preserve">genes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early</w:t>
      </w:r>
      <w:r>
        <w:t xml:space="preserve"> </w:t>
      </w:r>
      <w:r>
        <w:t xml:space="preserve">Drosophila</w:t>
      </w:r>
      <w:r>
        <w:t xml:space="preserve"> </w:t>
      </w:r>
      <w:r>
        <w:t xml:space="preserve">embryo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Chambers</w:t>
      </w:r>
    </w:p>
    <w:p>
      <w:pPr>
        <w:pStyle w:val="Heading3"/>
      </w:pPr>
      <w:bookmarkStart w:id="21" w:name="chapter-2-identification-of-groucho-regulated-genes-in-the-early-drosophila-embryo"/>
      <w:bookmarkEnd w:id="21"/>
      <w:r>
        <w:t xml:space="preserve">Chapter 2: Identification of Groucho-regulated genes in the early</w:t>
      </w:r>
      <w:r>
        <w:t xml:space="preserve"> </w:t>
      </w:r>
      <w:r>
        <w:rPr>
          <w:b/>
        </w:rPr>
        <w:t xml:space="preserve">Drosophila</w:t>
      </w:r>
      <w:r>
        <w:t xml:space="preserve"> </w:t>
      </w:r>
      <w:r>
        <w:t xml:space="preserve">embryo</w:t>
      </w:r>
    </w:p>
    <w:p>
      <w:pPr>
        <w:pStyle w:val="Heading4"/>
      </w:pPr>
      <w:bookmarkStart w:id="22" w:name="abstract"/>
      <w:bookmarkEnd w:id="22"/>
      <w:r>
        <w:t xml:space="preserve">Abstract</w:t>
      </w:r>
    </w:p>
    <w:p>
      <w:pPr>
        <w:pStyle w:val="Heading4"/>
      </w:pPr>
      <w:bookmarkStart w:id="23" w:name="introduction"/>
      <w:bookmarkEnd w:id="23"/>
      <w:r>
        <w:t xml:space="preserve">Introduction</w:t>
      </w:r>
    </w:p>
    <w:p>
      <w:pPr>
        <w:pStyle w:val="FirstParagraph"/>
      </w:pPr>
      <w:r>
        <w:t xml:space="preserve">Groucho is a transcriptional corepressor ubiquitiously expressed in the Drosophila embryo.</w:t>
      </w:r>
      <w:r>
        <w:t xml:space="preserve"> </w:t>
      </w:r>
      <w:r>
        <w:t xml:space="preserve">(Rodriguez et al.,</w:t>
      </w:r>
      <w:r>
        <w:t xml:space="preserve"> </w:t>
      </w:r>
      <w:hyperlink w:anchor="ref-Rodriguez:2013kq">
        <w:r>
          <w:rPr>
            <w:rStyle w:val="Hyperlink"/>
          </w:rPr>
          <w:t xml:space="preserve">2013</w:t>
        </w:r>
      </w:hyperlink>
      <w:r>
        <w:t xml:space="preserve">; Turki-Judeh and Courey,</w:t>
      </w:r>
      <w:r>
        <w:t xml:space="preserve"> </w:t>
      </w:r>
      <w:hyperlink w:anchor="ref-TurkiJudeh:2012bm">
        <w:r>
          <w:rPr>
            <w:rStyle w:val="Hyperlink"/>
          </w:rPr>
          <w:t xml:space="preserve">2012</w:t>
        </w:r>
      </w:hyperlink>
      <w:hyperlink w:anchor="ref-TurkiJudeh:2012bm">
        <w:r>
          <w:rPr>
            <w:rStyle w:val="Hyperlink"/>
          </w:rPr>
          <w:t xml:space="preserve">a</w:t>
        </w:r>
      </w:hyperlink>
      <w:r>
        <w:t xml:space="preserve">,</w:t>
      </w:r>
      <w:r>
        <w:t xml:space="preserve"> </w:t>
      </w:r>
      <w:hyperlink w:anchor="ref-TurkiJudeh:2012bma">
        <w:r>
          <w:rPr>
            <w:rStyle w:val="Hyperlink"/>
          </w:rPr>
          <w:t xml:space="preserve">2012</w:t>
        </w:r>
      </w:hyperlink>
      <w:hyperlink w:anchor="ref-TurkiJudeh:2012bma">
        <w:r>
          <w:rPr>
            <w:rStyle w:val="Hyperlink"/>
          </w:rPr>
          <w:t xml:space="preserve">b</w:t>
        </w:r>
      </w:hyperlink>
      <w:r>
        <w:t xml:space="preserve">)</w:t>
      </w:r>
    </w:p>
    <w:p>
      <w:pPr>
        <w:pStyle w:val="BodyText"/>
      </w:pPr>
      <w:r>
        <w:t xml:space="preserve">Groucho is a transcriptional corepressor ubiquitiously expressed in the Drosophila embryo.</w:t>
      </w:r>
      <w:r>
        <w:t xml:space="preserve"> </w:t>
      </w:r>
      <w:r>
        <w:t xml:space="preserve">Turki-Judeh and Courey (</w:t>
      </w:r>
      <w:hyperlink w:anchor="ref-TurkiJudeh:2012bm">
        <w:r>
          <w:rPr>
            <w:rStyle w:val="Hyperlink"/>
          </w:rPr>
          <w:t xml:space="preserve">2012</w:t>
        </w:r>
      </w:hyperlink>
      <w:hyperlink w:anchor="ref-TurkiJudeh:2012bm">
        <w:r>
          <w:rPr>
            <w:rStyle w:val="Hyperlink"/>
          </w:rPr>
          <w:t xml:space="preserve">a</w:t>
        </w:r>
      </w:hyperlink>
      <w:r>
        <w:t xml:space="preserve">)</w:t>
      </w:r>
      <w:r>
        <w:t xml:space="preserve"> </w:t>
      </w:r>
      <w:r>
        <w:t xml:space="preserve">Turki-Judeh and Courey (</w:t>
      </w:r>
      <w:hyperlink w:anchor="ref-TurkiJudeh:2012bma">
        <w:r>
          <w:rPr>
            <w:rStyle w:val="Hyperlink"/>
          </w:rPr>
          <w:t xml:space="preserve">2012</w:t>
        </w:r>
      </w:hyperlink>
      <w:hyperlink w:anchor="ref-TurkiJudeh:2012bma">
        <w:r>
          <w:rPr>
            <w:rStyle w:val="Hyperlink"/>
          </w:rPr>
          <w:t xml:space="preserve">b</w:t>
        </w:r>
      </w:hyperlink>
      <w:r>
        <w:t xml:space="preserve">)</w:t>
      </w:r>
      <w:r>
        <w:t xml:space="preserve"> </w:t>
      </w:r>
      <w:r>
        <w:t xml:space="preserve">Rodriguez et al. (</w:t>
      </w:r>
      <w:hyperlink w:anchor="ref-Rodriguez:2013kq">
        <w:r>
          <w:rPr>
            <w:rStyle w:val="Hyperlink"/>
          </w:rPr>
          <w:t xml:space="preserve">2013</w:t>
        </w:r>
      </w:hyperlink>
      <w:r>
        <w:t xml:space="preserve">)</w:t>
      </w:r>
    </w:p>
    <w:p>
      <w:pPr>
        <w:pStyle w:val="BodyText"/>
      </w:pPr>
      <w:r>
        <w:t xml:space="preserve">Menet et al. (</w:t>
      </w:r>
      <w:hyperlink w:anchor="ref-Menet:2012ci">
        <w:r>
          <w:rPr>
            <w:rStyle w:val="Hyperlink"/>
          </w:rPr>
          <w:t xml:space="preserve">2012</w:t>
        </w:r>
      </w:hyperlink>
      <w:r>
        <w:t xml:space="preserve">)</w:t>
      </w:r>
      <w:r>
        <w:t xml:space="preserve"> </w:t>
      </w:r>
      <w:r>
        <w:t xml:space="preserve">Courey and Tjian (</w:t>
      </w:r>
      <w:hyperlink w:anchor="ref-Courey:1988uk">
        <w:r>
          <w:rPr>
            <w:rStyle w:val="Hyperlink"/>
          </w:rPr>
          <w:t xml:space="preserve">1988</w:t>
        </w:r>
      </w:hyperlink>
      <w:r>
        <w:t xml:space="preserve">)</w:t>
      </w:r>
      <w:r>
        <w:t xml:space="preserve"> </w:t>
      </w:r>
      <w:r>
        <w:t xml:space="preserve">Flores-Saaib and Courey (</w:t>
      </w:r>
      <w:hyperlink w:anchor="ref-FloresSaaib:2000wu">
        <w:r>
          <w:rPr>
            <w:rStyle w:val="Hyperlink"/>
          </w:rPr>
          <w:t xml:space="preserve">2000</w:t>
        </w:r>
      </w:hyperlink>
      <w:r>
        <w:t xml:space="preserve">)</w:t>
      </w:r>
    </w:p>
    <w:p>
      <w:pPr>
        <w:pStyle w:val="Heading4"/>
      </w:pPr>
      <w:bookmarkStart w:id="24" w:name="materials-methods"/>
      <w:bookmarkEnd w:id="24"/>
      <w:r>
        <w:t xml:space="preserve">Materials &amp; Methods</w:t>
      </w:r>
    </w:p>
    <w:p>
      <w:pPr>
        <w:pStyle w:val="Heading4"/>
      </w:pPr>
      <w:bookmarkStart w:id="25" w:name="results"/>
      <w:bookmarkEnd w:id="25"/>
      <w:r>
        <w:t xml:space="preserve">Results</w:t>
      </w:r>
    </w:p>
    <w:p>
      <w:pPr>
        <w:pStyle w:val="Heading4"/>
      </w:pPr>
      <w:bookmarkStart w:id="26" w:name="discussion"/>
      <w:bookmarkEnd w:id="26"/>
      <w:r>
        <w:t xml:space="preserve">Discussion</w:t>
      </w:r>
    </w:p>
    <w:p>
      <w:pPr>
        <w:pStyle w:val="Heading4"/>
      </w:pPr>
      <w:bookmarkStart w:id="27" w:name="references"/>
      <w:bookmarkEnd w:id="27"/>
      <w:r>
        <w:t xml:space="preserve">References</w:t>
      </w:r>
    </w:p>
    <w:p>
      <w:pPr>
        <w:pStyle w:val="Heading4"/>
      </w:pPr>
      <w:bookmarkStart w:id="28" w:name="figures-and-tables"/>
      <w:bookmarkEnd w:id="28"/>
      <w:r>
        <w:t xml:space="preserve">Figures and Tables</w:t>
      </w:r>
    </w:p>
    <w:p>
      <w:pPr>
        <w:pStyle w:val="Bibliography"/>
      </w:pPr>
      <w:r>
        <w:t xml:space="preserve">Courey, A.J., and Tjian, R. (1988). Analysis of Sp1 In Vivo Reveals Multiple Transcriptional Domains, Including a Novel Glutamine-Rich Activation Motif. Cell</w:t>
      </w:r>
      <w:r>
        <w:t xml:space="preserve"> </w:t>
      </w:r>
      <w:r>
        <w:rPr>
          <w:i/>
        </w:rPr>
        <w:t xml:space="preserve">55</w:t>
      </w:r>
      <w:r>
        <w:t xml:space="preserve">, 887–898.</w:t>
      </w:r>
    </w:p>
    <w:p>
      <w:pPr>
        <w:pStyle w:val="Bibliography"/>
      </w:pPr>
      <w:r>
        <w:t xml:space="preserve">Flores-Saaib, R., and Courey, A. (2000). Analysis of Groucho–histone interactions suggests mechanistic similarities between Groucho-and Tup1-mediated repression. Nucleic Acids Research</w:t>
      </w:r>
      <w:r>
        <w:t xml:space="preserve"> </w:t>
      </w:r>
      <w:r>
        <w:rPr>
          <w:i/>
        </w:rPr>
        <w:t xml:space="preserve">28</w:t>
      </w:r>
      <w:r>
        <w:t xml:space="preserve">, 4189.</w:t>
      </w:r>
    </w:p>
    <w:p>
      <w:pPr>
        <w:pStyle w:val="Bibliography"/>
      </w:pPr>
      <w:r>
        <w:t xml:space="preserve">Menet, J.S., Rodriguez, J., Abruzzi, K.C., and Rosbash, M. (2012). Nascent-Seq reveals novel features of mouse circadian transcriptional regulation. ELife</w:t>
      </w:r>
      <w:r>
        <w:t xml:space="preserve"> </w:t>
      </w:r>
      <w:r>
        <w:rPr>
          <w:i/>
        </w:rPr>
        <w:t xml:space="preserve">1</w:t>
      </w:r>
      <w:r>
        <w:t xml:space="preserve">, e00011–e00011.</w:t>
      </w:r>
    </w:p>
    <w:p>
      <w:pPr>
        <w:pStyle w:val="Bibliography"/>
      </w:pPr>
      <w:r>
        <w:t xml:space="preserve">Rodriguez, J., Tang, C.-H.A., Khodor, Y.L., Vodala, S., Menet, J.S., and Rosbash, M. (2013). Nascent-Seq analysis of Drosophila cycling gene expression. Proceedings of the National Academy of Sciences</w:t>
      </w:r>
      <w:r>
        <w:t xml:space="preserve"> </w:t>
      </w:r>
      <w:r>
        <w:rPr>
          <w:i/>
        </w:rPr>
        <w:t xml:space="preserve">110</w:t>
      </w:r>
      <w:r>
        <w:t xml:space="preserve">, E275–E284.</w:t>
      </w:r>
    </w:p>
    <w:p>
      <w:pPr>
        <w:pStyle w:val="Bibliography"/>
      </w:pPr>
      <w:r>
        <w:t xml:space="preserve">Turki-Judeh, W., and Courey, A.J. (2012a). Groucho. (Elsevier), pp. 65–96.</w:t>
      </w:r>
    </w:p>
    <w:p>
      <w:pPr>
        <w:pStyle w:val="Bibliography"/>
      </w:pPr>
      <w:r>
        <w:t xml:space="preserve">Turki-Judeh, W., and Courey, A.J. (2012b). Groucho: A Corepressor with Instructive Roles in Development. (Elsevier), pp. 65–96.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098b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 Identificaiton of Groucho-regulated genes in the early Drosophila embryo</dc:title>
  <dc:creator>Michael Chambers</dc:creator>
</cp:coreProperties>
</file>