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8B1FD" w14:textId="77777777" w:rsidR="00DF19B0" w:rsidRDefault="007332F8">
      <w:pPr>
        <w:pStyle w:val="Heading2"/>
      </w:pPr>
      <w:bookmarkStart w:id="0" w:name="dissertation-title"/>
      <w:bookmarkEnd w:id="0"/>
      <w:r>
        <w:t>Dissertation Title</w:t>
      </w:r>
    </w:p>
    <w:p w14:paraId="7EE0E536" w14:textId="77777777" w:rsidR="00DF19B0" w:rsidRDefault="007332F8">
      <w:pPr>
        <w:pStyle w:val="Heading3"/>
      </w:pPr>
      <w:bookmarkStart w:id="1" w:name="list-of-figures"/>
      <w:bookmarkEnd w:id="1"/>
      <w:r>
        <w:t>List of Figures</w:t>
      </w:r>
    </w:p>
    <w:p w14:paraId="14C65290" w14:textId="77777777" w:rsidR="00DF19B0" w:rsidRDefault="007332F8">
      <w:pPr>
        <w:pStyle w:val="Heading3"/>
      </w:pPr>
      <w:bookmarkStart w:id="2" w:name="list-of-tables"/>
      <w:bookmarkEnd w:id="2"/>
      <w:r>
        <w:t>List of Tables</w:t>
      </w:r>
    </w:p>
    <w:p w14:paraId="175A213A" w14:textId="77777777" w:rsidR="00DF19B0" w:rsidRDefault="007332F8">
      <w:pPr>
        <w:pStyle w:val="Heading3"/>
      </w:pPr>
      <w:bookmarkStart w:id="3" w:name="acknowledgments"/>
      <w:bookmarkEnd w:id="3"/>
      <w:r>
        <w:t>Acknowledgments</w:t>
      </w:r>
    </w:p>
    <w:p w14:paraId="77B96969" w14:textId="77777777" w:rsidR="00DF19B0" w:rsidRDefault="007332F8">
      <w:pPr>
        <w:pStyle w:val="Heading3"/>
      </w:pPr>
      <w:bookmarkStart w:id="4" w:name="vita"/>
      <w:bookmarkEnd w:id="4"/>
      <w:r>
        <w:t>Vita</w:t>
      </w:r>
    </w:p>
    <w:p w14:paraId="1F0DDBF4" w14:textId="77777777" w:rsidR="00DF19B0" w:rsidRDefault="007332F8">
      <w:pPr>
        <w:pStyle w:val="Heading3"/>
      </w:pPr>
      <w:bookmarkStart w:id="5" w:name="selected-publications"/>
      <w:bookmarkEnd w:id="5"/>
      <w:r>
        <w:t>Selected Publications</w:t>
      </w:r>
    </w:p>
    <w:p w14:paraId="71BBEE63" w14:textId="77777777" w:rsidR="00DF19B0" w:rsidRDefault="007332F8">
      <w:pPr>
        <w:pStyle w:val="Heading3"/>
      </w:pPr>
      <w:bookmarkStart w:id="6" w:name="abstract-of-the-dissertation"/>
      <w:bookmarkEnd w:id="6"/>
      <w:r>
        <w:t>Abstract of the Dissertation</w:t>
      </w:r>
    </w:p>
    <w:p w14:paraId="51B5487F" w14:textId="77777777" w:rsidR="00DF19B0" w:rsidRDefault="007332F8">
      <w:pPr>
        <w:pStyle w:val="Heading3"/>
      </w:pPr>
      <w:bookmarkStart w:id="7" w:name="chapter-x-introduction-groucho-and-droso"/>
      <w:bookmarkEnd w:id="7"/>
      <w:r>
        <w:t xml:space="preserve">Chapter X: Introduction: Groucho and </w:t>
      </w:r>
      <w:r>
        <w:rPr>
          <w:i/>
        </w:rPr>
        <w:t>Drosophila</w:t>
      </w:r>
      <w:r>
        <w:t xml:space="preserve"> development</w:t>
      </w:r>
    </w:p>
    <w:p w14:paraId="32AB05C8" w14:textId="77777777" w:rsidR="00DF19B0" w:rsidRDefault="007332F8">
      <w:pPr>
        <w:pStyle w:val="Compact"/>
        <w:numPr>
          <w:ilvl w:val="0"/>
          <w:numId w:val="3"/>
        </w:numPr>
      </w:pPr>
      <w:r>
        <w:t>Drosophila development</w:t>
      </w:r>
    </w:p>
    <w:p w14:paraId="660994BB" w14:textId="77777777" w:rsidR="00DF19B0" w:rsidRDefault="007332F8">
      <w:pPr>
        <w:pStyle w:val="Compact"/>
        <w:numPr>
          <w:ilvl w:val="1"/>
          <w:numId w:val="4"/>
        </w:numPr>
      </w:pPr>
      <w:r>
        <w:t>Brief overview of early embryonic stages and patterning events</w:t>
      </w:r>
    </w:p>
    <w:p w14:paraId="189BCA4A" w14:textId="77777777" w:rsidR="00DF19B0" w:rsidRDefault="007332F8">
      <w:pPr>
        <w:pStyle w:val="Compact"/>
        <w:numPr>
          <w:ilvl w:val="1"/>
          <w:numId w:val="4"/>
        </w:numPr>
      </w:pPr>
      <w:r>
        <w:t>Relevance of Drosophila development on humans</w:t>
      </w:r>
    </w:p>
    <w:p w14:paraId="2BAC3221" w14:textId="77777777" w:rsidR="00DF19B0" w:rsidRDefault="007332F8">
      <w:pPr>
        <w:pStyle w:val="Compact"/>
        <w:numPr>
          <w:ilvl w:val="0"/>
          <w:numId w:val="3"/>
        </w:numPr>
      </w:pPr>
      <w:r>
        <w:t>Transcription factors</w:t>
      </w:r>
    </w:p>
    <w:p w14:paraId="080BED24" w14:textId="77777777" w:rsidR="00DF19B0" w:rsidRDefault="007332F8">
      <w:pPr>
        <w:pStyle w:val="Compact"/>
        <w:numPr>
          <w:ilvl w:val="1"/>
          <w:numId w:val="5"/>
        </w:numPr>
      </w:pPr>
      <w:r>
        <w:t>Overview of role of major activators/repressors in early development</w:t>
      </w:r>
    </w:p>
    <w:p w14:paraId="4C9526B0" w14:textId="77777777" w:rsidR="00DF19B0" w:rsidRDefault="007332F8">
      <w:pPr>
        <w:pStyle w:val="Compact"/>
        <w:numPr>
          <w:ilvl w:val="1"/>
          <w:numId w:val="5"/>
        </w:numPr>
      </w:pPr>
      <w:r>
        <w:t>Overview of role of major coactivators/corepressors</w:t>
      </w:r>
    </w:p>
    <w:p w14:paraId="10FA1903" w14:textId="77777777" w:rsidR="00DF19B0" w:rsidRDefault="007332F8">
      <w:pPr>
        <w:pStyle w:val="Compact"/>
        <w:numPr>
          <w:ilvl w:val="0"/>
          <w:numId w:val="3"/>
        </w:numPr>
      </w:pPr>
      <w:r>
        <w:t>Grou</w:t>
      </w:r>
      <w:r>
        <w:t>cho</w:t>
      </w:r>
    </w:p>
    <w:p w14:paraId="659E5138" w14:textId="77777777" w:rsidR="00DF19B0" w:rsidRDefault="007332F8">
      <w:pPr>
        <w:pStyle w:val="Compact"/>
        <w:numPr>
          <w:ilvl w:val="1"/>
          <w:numId w:val="6"/>
        </w:numPr>
      </w:pPr>
      <w:r>
        <w:t>Discovery &amp; early characterization</w:t>
      </w:r>
    </w:p>
    <w:p w14:paraId="059EB5FA" w14:textId="77777777" w:rsidR="00DF19B0" w:rsidRDefault="007332F8">
      <w:pPr>
        <w:pStyle w:val="Compact"/>
        <w:numPr>
          <w:ilvl w:val="1"/>
          <w:numId w:val="6"/>
        </w:numPr>
      </w:pPr>
      <w:r>
        <w:t>Domain structure</w:t>
      </w:r>
    </w:p>
    <w:p w14:paraId="34B7E920" w14:textId="77777777" w:rsidR="00DF19B0" w:rsidRDefault="007332F8">
      <w:pPr>
        <w:pStyle w:val="Compact"/>
        <w:numPr>
          <w:ilvl w:val="1"/>
          <w:numId w:val="6"/>
        </w:numPr>
      </w:pPr>
      <w:r>
        <w:t>Homology</w:t>
      </w:r>
    </w:p>
    <w:p w14:paraId="0E773809" w14:textId="77777777" w:rsidR="00DF19B0" w:rsidRDefault="007332F8">
      <w:pPr>
        <w:pStyle w:val="Compact"/>
        <w:numPr>
          <w:ilvl w:val="1"/>
          <w:numId w:val="6"/>
        </w:numPr>
      </w:pPr>
      <w:r>
        <w:t>Pathway participation</w:t>
      </w:r>
    </w:p>
    <w:p w14:paraId="0EAD68B8" w14:textId="77777777" w:rsidR="00DF19B0" w:rsidRDefault="007332F8">
      <w:pPr>
        <w:pStyle w:val="Compact"/>
        <w:numPr>
          <w:ilvl w:val="1"/>
          <w:numId w:val="6"/>
        </w:numPr>
      </w:pPr>
      <w:r>
        <w:t>Regulation</w:t>
      </w:r>
    </w:p>
    <w:p w14:paraId="2D971E35" w14:textId="77777777" w:rsidR="00DF19B0" w:rsidRDefault="007332F8">
      <w:pPr>
        <w:pStyle w:val="Compact"/>
        <w:numPr>
          <w:ilvl w:val="1"/>
          <w:numId w:val="6"/>
        </w:numPr>
      </w:pPr>
      <w:r>
        <w:t>Potential regulatory mechanism(s)</w:t>
      </w:r>
    </w:p>
    <w:p w14:paraId="196E960C" w14:textId="77777777" w:rsidR="00DF19B0" w:rsidRDefault="007332F8">
      <w:pPr>
        <w:pStyle w:val="Compact"/>
        <w:numPr>
          <w:ilvl w:val="1"/>
          <w:numId w:val="6"/>
        </w:numPr>
      </w:pPr>
      <w:r>
        <w:t>Known/suspected target genes</w:t>
      </w:r>
    </w:p>
    <w:p w14:paraId="427F0614" w14:textId="77777777" w:rsidR="00DF19B0" w:rsidRDefault="007332F8">
      <w:pPr>
        <w:pStyle w:val="Compact"/>
        <w:numPr>
          <w:ilvl w:val="1"/>
          <w:numId w:val="6"/>
        </w:numPr>
      </w:pPr>
      <w:r>
        <w:t>Importance to development/signal transduction</w:t>
      </w:r>
    </w:p>
    <w:p w14:paraId="1E18FE31" w14:textId="77777777" w:rsidR="00DF19B0" w:rsidRDefault="007332F8">
      <w:pPr>
        <w:pStyle w:val="Compact"/>
        <w:numPr>
          <w:ilvl w:val="1"/>
          <w:numId w:val="6"/>
        </w:numPr>
      </w:pPr>
      <w:r>
        <w:t>Importance to disease states (developmental abnor</w:t>
      </w:r>
      <w:r>
        <w:t>malities and cancer)</w:t>
      </w:r>
    </w:p>
    <w:p w14:paraId="3FDC57DF" w14:textId="77777777" w:rsidR="00DF19B0" w:rsidRDefault="007332F8">
      <w:pPr>
        <w:pStyle w:val="Compact"/>
        <w:numPr>
          <w:ilvl w:val="0"/>
          <w:numId w:val="3"/>
        </w:numPr>
      </w:pPr>
      <w:r>
        <w:t>DNA topological considerations</w:t>
      </w:r>
    </w:p>
    <w:p w14:paraId="0323D717" w14:textId="77777777" w:rsidR="00DF19B0" w:rsidRDefault="007332F8">
      <w:pPr>
        <w:pStyle w:val="Heading3"/>
      </w:pPr>
      <w:bookmarkStart w:id="8" w:name="chapter-x-groucho-activity-in-the-develo"/>
      <w:bookmarkEnd w:id="8"/>
      <w:r>
        <w:t>Chapter X: Groucho activity in the developing embryo</w:t>
      </w:r>
    </w:p>
    <w:p w14:paraId="10FF2F00" w14:textId="77777777" w:rsidR="00DF19B0" w:rsidRDefault="007332F8">
      <w:pPr>
        <w:pStyle w:val="Heading4"/>
      </w:pPr>
      <w:bookmarkStart w:id="9" w:name="abstract"/>
      <w:bookmarkEnd w:id="9"/>
      <w:r>
        <w:t>Abstract</w:t>
      </w:r>
    </w:p>
    <w:p w14:paraId="28BADBD6" w14:textId="77777777" w:rsidR="00DF19B0" w:rsidRDefault="007332F8">
      <w:pPr>
        <w:pStyle w:val="Heading4"/>
      </w:pPr>
      <w:bookmarkStart w:id="10" w:name="introduction"/>
      <w:bookmarkEnd w:id="10"/>
      <w:r>
        <w:t>Introduction</w:t>
      </w:r>
    </w:p>
    <w:p w14:paraId="23905A24" w14:textId="77777777" w:rsidR="00DF19B0" w:rsidRDefault="007332F8">
      <w:pPr>
        <w:pStyle w:val="Compact"/>
        <w:numPr>
          <w:ilvl w:val="0"/>
          <w:numId w:val="7"/>
        </w:numPr>
      </w:pPr>
      <w:r>
        <w:t>Groucho and development (short section)</w:t>
      </w:r>
    </w:p>
    <w:p w14:paraId="73DECFCC" w14:textId="77777777" w:rsidR="00DF19B0" w:rsidRDefault="007332F8">
      <w:pPr>
        <w:pStyle w:val="Compact"/>
        <w:numPr>
          <w:ilvl w:val="1"/>
          <w:numId w:val="8"/>
        </w:numPr>
      </w:pPr>
      <w:r>
        <w:t>Roles throughout Drosophila development</w:t>
      </w:r>
    </w:p>
    <w:p w14:paraId="45D6B234" w14:textId="77777777" w:rsidR="00DF19B0" w:rsidRDefault="007332F8">
      <w:pPr>
        <w:pStyle w:val="Compact"/>
        <w:numPr>
          <w:ilvl w:val="1"/>
          <w:numId w:val="8"/>
        </w:numPr>
      </w:pPr>
      <w:r>
        <w:t>Ubiquitously expressed</w:t>
      </w:r>
    </w:p>
    <w:p w14:paraId="587F60B6" w14:textId="77777777" w:rsidR="00DF19B0" w:rsidRDefault="007332F8">
      <w:pPr>
        <w:pStyle w:val="Compact"/>
        <w:numPr>
          <w:ilvl w:val="1"/>
          <w:numId w:val="8"/>
        </w:numPr>
      </w:pPr>
      <w:r>
        <w:t>Roles in tissue specification in response to multiple extracellular signaling pathways (RTK signaling being most prominent)</w:t>
      </w:r>
    </w:p>
    <w:p w14:paraId="29AE0E92" w14:textId="77777777" w:rsidR="00DF19B0" w:rsidRDefault="007332F8">
      <w:pPr>
        <w:pStyle w:val="Compact"/>
        <w:numPr>
          <w:ilvl w:val="1"/>
          <w:numId w:val="8"/>
        </w:numPr>
      </w:pPr>
      <w:r>
        <w:lastRenderedPageBreak/>
        <w:t>Groucho as a decision node, integrating signal information combinatorially and in a context-dependent fashion, as it's activity is d</w:t>
      </w:r>
      <w:r>
        <w:t>ependent on the presence or absence of one or more interacting partners</w:t>
      </w:r>
    </w:p>
    <w:p w14:paraId="1571B276" w14:textId="77777777" w:rsidR="00DF19B0" w:rsidRDefault="007332F8">
      <w:pPr>
        <w:pStyle w:val="Compact"/>
        <w:numPr>
          <w:ilvl w:val="0"/>
          <w:numId w:val="7"/>
        </w:numPr>
      </w:pPr>
      <w:r>
        <w:t>RNA-seq for transcriptome analysis</w:t>
      </w:r>
    </w:p>
    <w:p w14:paraId="45D80DEB" w14:textId="77777777" w:rsidR="00DF19B0" w:rsidRDefault="007332F8">
      <w:pPr>
        <w:pStyle w:val="Compact"/>
        <w:numPr>
          <w:ilvl w:val="1"/>
          <w:numId w:val="9"/>
        </w:numPr>
      </w:pPr>
      <w:r>
        <w:t>Allows for the analysis of Groucho regulatory activity in a developmental context</w:t>
      </w:r>
    </w:p>
    <w:p w14:paraId="0C9ABAEE" w14:textId="77777777" w:rsidR="00DF19B0" w:rsidRDefault="007332F8">
      <w:pPr>
        <w:pStyle w:val="Compact"/>
        <w:numPr>
          <w:ilvl w:val="1"/>
          <w:numId w:val="9"/>
        </w:numPr>
      </w:pPr>
      <w:r>
        <w:t>Development is a rapid and fluid process, so necessary and instruct</w:t>
      </w:r>
      <w:r>
        <w:t>ive to analyze groucho activity at multiple timepoints throughout the process</w:t>
      </w:r>
    </w:p>
    <w:p w14:paraId="2701E5AC" w14:textId="77777777" w:rsidR="00DF19B0" w:rsidRDefault="007332F8">
      <w:pPr>
        <w:pStyle w:val="Compact"/>
        <w:numPr>
          <w:ilvl w:val="1"/>
          <w:numId w:val="9"/>
        </w:numPr>
      </w:pPr>
      <w:r>
        <w:t>Interested in looking at Groucho activity at the initiation of zygotic transcription onwards, though Grouch is maternally deposited and so ubiquitously present in the embryo befo</w:t>
      </w:r>
      <w:r>
        <w:t>re this time</w:t>
      </w:r>
    </w:p>
    <w:p w14:paraId="0ED4CD95" w14:textId="77777777" w:rsidR="00DF19B0" w:rsidRDefault="007332F8">
      <w:pPr>
        <w:pStyle w:val="Compact"/>
        <w:numPr>
          <w:ilvl w:val="0"/>
          <w:numId w:val="7"/>
        </w:numPr>
      </w:pPr>
      <w:r>
        <w:t>Short reiteration of major developmental events w/ Gro involvement at each of the three timepoints analyzed</w:t>
      </w:r>
    </w:p>
    <w:p w14:paraId="14DF754B" w14:textId="77777777" w:rsidR="00DF19B0" w:rsidRDefault="007332F8">
      <w:pPr>
        <w:pStyle w:val="Heading4"/>
      </w:pPr>
      <w:bookmarkStart w:id="11" w:name="materials-methods"/>
      <w:bookmarkEnd w:id="11"/>
      <w:r>
        <w:t>Materials &amp; Methods</w:t>
      </w:r>
    </w:p>
    <w:p w14:paraId="5BA37F82" w14:textId="77777777" w:rsidR="00DF19B0" w:rsidRDefault="007332F8">
      <w:pPr>
        <w:pStyle w:val="Compact"/>
        <w:numPr>
          <w:ilvl w:val="0"/>
          <w:numId w:val="10"/>
        </w:numPr>
      </w:pPr>
      <w:r>
        <w:t>Fly strains/culturing/collection</w:t>
      </w:r>
    </w:p>
    <w:p w14:paraId="2A5F8016" w14:textId="77777777" w:rsidR="00DF19B0" w:rsidRDefault="007332F8">
      <w:pPr>
        <w:pStyle w:val="Compact"/>
        <w:numPr>
          <w:ilvl w:val="1"/>
          <w:numId w:val="11"/>
        </w:numPr>
      </w:pPr>
      <w:r>
        <w:t xml:space="preserve">All fly lines were grown according to established procedures (look up how exactly </w:t>
      </w:r>
      <w:r>
        <w:t>to cite this)</w:t>
      </w:r>
    </w:p>
    <w:p w14:paraId="2CC18803" w14:textId="77777777" w:rsidR="00DF19B0" w:rsidRDefault="007332F8">
      <w:pPr>
        <w:pStyle w:val="Compact"/>
        <w:numPr>
          <w:ilvl w:val="0"/>
          <w:numId w:val="10"/>
        </w:numPr>
      </w:pPr>
      <w:r>
        <w:t>RNA isolation/library generation/sequencing</w:t>
      </w:r>
    </w:p>
    <w:p w14:paraId="178BA186" w14:textId="77777777" w:rsidR="00DF19B0" w:rsidRDefault="007332F8">
      <w:pPr>
        <w:pStyle w:val="Compact"/>
        <w:numPr>
          <w:ilvl w:val="1"/>
          <w:numId w:val="12"/>
        </w:numPr>
      </w:pPr>
      <w:r>
        <w:t>RNA isolated with Qiagen RNA extraction kit (look up name)</w:t>
      </w:r>
    </w:p>
    <w:p w14:paraId="62C061A0" w14:textId="77777777" w:rsidR="00DF19B0" w:rsidRDefault="007332F8">
      <w:pPr>
        <w:pStyle w:val="Compact"/>
        <w:numPr>
          <w:ilvl w:val="1"/>
          <w:numId w:val="12"/>
        </w:numPr>
      </w:pPr>
      <w:r>
        <w:t>RNA quality assessed by Agilent Bioanalyzer</w:t>
      </w:r>
    </w:p>
    <w:p w14:paraId="096E3010" w14:textId="77777777" w:rsidR="00DF19B0" w:rsidRDefault="007332F8">
      <w:pPr>
        <w:pStyle w:val="Compact"/>
        <w:numPr>
          <w:ilvl w:val="1"/>
          <w:numId w:val="12"/>
        </w:numPr>
      </w:pPr>
      <w:r>
        <w:t xml:space="preserve">Stranded RNA-seq libraries generated using Illumina TruSeq transcriptome generation kits (look </w:t>
      </w:r>
      <w:r>
        <w:t>up name of kit I suppose, or ask Sean)</w:t>
      </w:r>
    </w:p>
    <w:p w14:paraId="63368FBB" w14:textId="77777777" w:rsidR="00DF19B0" w:rsidRDefault="007332F8">
      <w:pPr>
        <w:pStyle w:val="Compact"/>
        <w:numPr>
          <w:ilvl w:val="2"/>
          <w:numId w:val="13"/>
        </w:numPr>
      </w:pPr>
      <w:r>
        <w:t>Libraries were barcoded for multiplex sequencing</w:t>
      </w:r>
    </w:p>
    <w:p w14:paraId="3F34E26F" w14:textId="77777777" w:rsidR="00DF19B0" w:rsidRDefault="007332F8">
      <w:pPr>
        <w:pStyle w:val="Compact"/>
        <w:numPr>
          <w:ilvl w:val="1"/>
          <w:numId w:val="12"/>
        </w:numPr>
      </w:pPr>
      <w:r>
        <w:t>Sequencing performed at UCLA High-Throughput sequencing core (name) on ____ (machine? Illumina HiSeq something probably)</w:t>
      </w:r>
    </w:p>
    <w:p w14:paraId="6ADF8C92" w14:textId="77777777" w:rsidR="00DF19B0" w:rsidRDefault="007332F8">
      <w:pPr>
        <w:pStyle w:val="Compact"/>
        <w:numPr>
          <w:ilvl w:val="0"/>
          <w:numId w:val="10"/>
        </w:numPr>
      </w:pPr>
      <w:r>
        <w:t>Data analysis methodologies</w:t>
      </w:r>
    </w:p>
    <w:p w14:paraId="1D20AB7C" w14:textId="77777777" w:rsidR="00DF19B0" w:rsidRDefault="007332F8">
      <w:pPr>
        <w:pStyle w:val="Compact"/>
        <w:numPr>
          <w:ilvl w:val="1"/>
          <w:numId w:val="14"/>
        </w:numPr>
      </w:pPr>
      <w:r>
        <w:t>QC/filtering</w:t>
      </w:r>
    </w:p>
    <w:p w14:paraId="095F8400" w14:textId="77777777" w:rsidR="00DF19B0" w:rsidRDefault="007332F8">
      <w:pPr>
        <w:pStyle w:val="Compact"/>
        <w:numPr>
          <w:ilvl w:val="2"/>
          <w:numId w:val="15"/>
        </w:numPr>
      </w:pPr>
      <w:r>
        <w:t>Quality assessment performed with FastQC (no available publication)</w:t>
      </w:r>
    </w:p>
    <w:p w14:paraId="3057A035" w14:textId="77777777" w:rsidR="00DF19B0" w:rsidRDefault="007332F8">
      <w:pPr>
        <w:pStyle w:val="Compact"/>
        <w:numPr>
          <w:ilvl w:val="1"/>
          <w:numId w:val="14"/>
        </w:numPr>
      </w:pPr>
      <w:r>
        <w:t>Demultiplexing performed by in-house scripts (github link?)</w:t>
      </w:r>
    </w:p>
    <w:p w14:paraId="2CA9F18A" w14:textId="77777777" w:rsidR="00DF19B0" w:rsidRDefault="007332F8">
      <w:pPr>
        <w:pStyle w:val="Compact"/>
        <w:numPr>
          <w:ilvl w:val="1"/>
          <w:numId w:val="14"/>
        </w:numPr>
      </w:pPr>
      <w:r>
        <w:t>Mapping</w:t>
      </w:r>
    </w:p>
    <w:p w14:paraId="0EA3FE46" w14:textId="77777777" w:rsidR="00DF19B0" w:rsidRDefault="007332F8">
      <w:pPr>
        <w:pStyle w:val="Compact"/>
        <w:numPr>
          <w:ilvl w:val="2"/>
          <w:numId w:val="16"/>
        </w:numPr>
      </w:pPr>
      <w:r>
        <w:t>Mapping performed using Tophat2 v2.0.9 {Kim, 2013, r08998}</w:t>
      </w:r>
    </w:p>
    <w:p w14:paraId="445E6D51" w14:textId="77777777" w:rsidR="00DF19B0" w:rsidRDefault="007332F8">
      <w:pPr>
        <w:pStyle w:val="Compact"/>
        <w:numPr>
          <w:ilvl w:val="2"/>
          <w:numId w:val="16"/>
        </w:numPr>
      </w:pPr>
      <w:r>
        <w:t>Using Drosophila assembly BDGP?/dm3 (Illumina iGenomes)</w:t>
      </w:r>
    </w:p>
    <w:p w14:paraId="75948481" w14:textId="77777777" w:rsidR="00DF19B0" w:rsidRDefault="007332F8">
      <w:pPr>
        <w:pStyle w:val="Compact"/>
        <w:numPr>
          <w:ilvl w:val="2"/>
          <w:numId w:val="16"/>
        </w:numPr>
      </w:pPr>
      <w:r>
        <w:t>Transcript accessions (dm3) provided by FlyBase (Illumina iGenomes)</w:t>
      </w:r>
    </w:p>
    <w:p w14:paraId="5DAC3F06" w14:textId="77777777" w:rsidR="00DF19B0" w:rsidRDefault="007332F8">
      <w:pPr>
        <w:pStyle w:val="Compact"/>
        <w:numPr>
          <w:ilvl w:val="1"/>
          <w:numId w:val="14"/>
        </w:numPr>
      </w:pPr>
      <w:r>
        <w:t>Assignment of mapped fragments to genes performed by HTSeq</w:t>
      </w:r>
    </w:p>
    <w:p w14:paraId="33FAB441" w14:textId="77777777" w:rsidR="00DF19B0" w:rsidRDefault="007332F8">
      <w:pPr>
        <w:pStyle w:val="Compact"/>
        <w:numPr>
          <w:ilvl w:val="1"/>
          <w:numId w:val="14"/>
        </w:numPr>
      </w:pPr>
      <w:r>
        <w:t>Differential expression analysis w/ DESeq2 {Love, 2014 #3031}</w:t>
      </w:r>
    </w:p>
    <w:p w14:paraId="33E1EABF" w14:textId="77777777" w:rsidR="00DF19B0" w:rsidRDefault="007332F8">
      <w:pPr>
        <w:pStyle w:val="Compact"/>
        <w:numPr>
          <w:ilvl w:val="2"/>
          <w:numId w:val="17"/>
        </w:numPr>
      </w:pPr>
      <w:r>
        <w:t>Setup of model and DE paramaters (show some diagnostic plots?)</w:t>
      </w:r>
    </w:p>
    <w:p w14:paraId="7CF75FA6" w14:textId="77777777" w:rsidR="00DF19B0" w:rsidRDefault="007332F8">
      <w:pPr>
        <w:pStyle w:val="Compact"/>
        <w:numPr>
          <w:ilvl w:val="1"/>
          <w:numId w:val="14"/>
        </w:numPr>
      </w:pPr>
      <w:r>
        <w:t>Diff</w:t>
      </w:r>
      <w:r>
        <w:t>erential expression analysis w/ MaSigPro {Nueda, 2014 #3032}</w:t>
      </w:r>
    </w:p>
    <w:p w14:paraId="391D6156" w14:textId="77777777" w:rsidR="00DF19B0" w:rsidRDefault="007332F8">
      <w:pPr>
        <w:pStyle w:val="Heading4"/>
      </w:pPr>
      <w:bookmarkStart w:id="12" w:name="results"/>
      <w:bookmarkEnd w:id="12"/>
      <w:r>
        <w:lastRenderedPageBreak/>
        <w:t>Results</w:t>
      </w:r>
    </w:p>
    <w:p w14:paraId="372BE7CD" w14:textId="77777777" w:rsidR="00DF19B0" w:rsidRDefault="007332F8">
      <w:pPr>
        <w:pStyle w:val="Compact"/>
        <w:numPr>
          <w:ilvl w:val="0"/>
          <w:numId w:val="18"/>
        </w:numPr>
      </w:pPr>
      <w:r>
        <w:t>Sequencing overview</w:t>
      </w:r>
    </w:p>
    <w:p w14:paraId="2A6868DC" w14:textId="77777777" w:rsidR="00DF19B0" w:rsidRDefault="007332F8">
      <w:pPr>
        <w:pStyle w:val="Compact"/>
        <w:numPr>
          <w:ilvl w:val="1"/>
          <w:numId w:val="19"/>
        </w:numPr>
      </w:pPr>
      <w:r>
        <w:t>Table: Total reads/qc pass reads/mapped reads/reads by feature (intergenic/intronic/exon/etc)</w:t>
      </w:r>
    </w:p>
    <w:p w14:paraId="028B7B0B" w14:textId="77777777" w:rsidR="00DF19B0" w:rsidRDefault="007332F8">
      <w:pPr>
        <w:pStyle w:val="Compact"/>
        <w:numPr>
          <w:ilvl w:val="1"/>
          <w:numId w:val="19"/>
        </w:numPr>
      </w:pPr>
      <w:r>
        <w:t>Replicate similarity</w:t>
      </w:r>
    </w:p>
    <w:p w14:paraId="3BFC1489" w14:textId="77777777" w:rsidR="00DF19B0" w:rsidRDefault="007332F8">
      <w:pPr>
        <w:pStyle w:val="Compact"/>
        <w:numPr>
          <w:ilvl w:val="2"/>
          <w:numId w:val="20"/>
        </w:numPr>
      </w:pPr>
      <w:r>
        <w:t>Heatmap of spearman coefficients</w:t>
      </w:r>
    </w:p>
    <w:p w14:paraId="50ACA6CF" w14:textId="77777777" w:rsidR="00DF19B0" w:rsidRDefault="007332F8">
      <w:pPr>
        <w:pStyle w:val="Compact"/>
        <w:numPr>
          <w:ilvl w:val="2"/>
          <w:numId w:val="20"/>
        </w:numPr>
      </w:pPr>
      <w:r>
        <w:t>PCA analysis</w:t>
      </w:r>
    </w:p>
    <w:p w14:paraId="0A883848" w14:textId="77777777" w:rsidR="00DF19B0" w:rsidRDefault="007332F8">
      <w:pPr>
        <w:pStyle w:val="Compact"/>
        <w:numPr>
          <w:ilvl w:val="2"/>
          <w:numId w:val="20"/>
        </w:numPr>
      </w:pPr>
      <w:r>
        <w:t>Charac</w:t>
      </w:r>
      <w:r>
        <w:t>teristic MA plot</w:t>
      </w:r>
    </w:p>
    <w:p w14:paraId="26E3D6E8" w14:textId="77777777" w:rsidR="00DF19B0" w:rsidRDefault="007332F8">
      <w:pPr>
        <w:pStyle w:val="Compact"/>
        <w:numPr>
          <w:ilvl w:val="0"/>
          <w:numId w:val="18"/>
        </w:numPr>
      </w:pPr>
      <w:r>
        <w:t>Perturbation of Groucho levels results in the misregulation of thousands of genes</w:t>
      </w:r>
    </w:p>
    <w:p w14:paraId="0DB85754" w14:textId="77777777" w:rsidR="00DF19B0" w:rsidRDefault="007332F8">
      <w:pPr>
        <w:pStyle w:val="Compact"/>
        <w:numPr>
          <w:ilvl w:val="1"/>
          <w:numId w:val="21"/>
        </w:numPr>
      </w:pPr>
      <w:r>
        <w:t>Wild-type and mutant expression profile of Groucho shows ubiquitious maternal contribution in the early embryo, and steep fall-off at later timepoints</w:t>
      </w:r>
    </w:p>
    <w:p w14:paraId="73FAEB35" w14:textId="77777777" w:rsidR="00DF19B0" w:rsidRDefault="007332F8">
      <w:pPr>
        <w:pStyle w:val="Compact"/>
        <w:numPr>
          <w:ilvl w:val="2"/>
          <w:numId w:val="22"/>
        </w:numPr>
      </w:pPr>
      <w:r>
        <w:t>Overex</w:t>
      </w:r>
      <w:r>
        <w:t>pression shows higher expression at early timepoints, and a slight recovery towards wt levels aftewards</w:t>
      </w:r>
    </w:p>
    <w:p w14:paraId="7C1E4B35" w14:textId="77777777" w:rsidR="00DF19B0" w:rsidRDefault="007332F8">
      <w:pPr>
        <w:pStyle w:val="Compact"/>
        <w:numPr>
          <w:ilvl w:val="2"/>
          <w:numId w:val="22"/>
        </w:numPr>
      </w:pPr>
      <w:r>
        <w:t>Gro LoF shows constitutively low levels of Groucho expression</w:t>
      </w:r>
    </w:p>
    <w:p w14:paraId="3138334E" w14:textId="77777777" w:rsidR="00DF19B0" w:rsidRDefault="007332F8">
      <w:pPr>
        <w:pStyle w:val="Compact"/>
        <w:numPr>
          <w:ilvl w:val="2"/>
          <w:numId w:val="22"/>
        </w:numPr>
      </w:pPr>
      <w:r>
        <w:t>Is Gro zygotically expressed at all?</w:t>
      </w:r>
    </w:p>
    <w:p w14:paraId="54150556" w14:textId="77777777" w:rsidR="00DF19B0" w:rsidRDefault="007332F8">
      <w:pPr>
        <w:pStyle w:val="Compact"/>
        <w:numPr>
          <w:ilvl w:val="2"/>
          <w:numId w:val="22"/>
        </w:numPr>
      </w:pPr>
      <w:r>
        <w:t>According to modENCODE data, gro transcript levels ar</w:t>
      </w:r>
      <w:r>
        <w:t>e highest at embryo deposition, and steadily decrease, reaching a low point during larval L3 stage. Gro levels are slightly elevated during late L3 and white prepupae stages, before dropping once more to approximately early/mid larval levels</w:t>
      </w:r>
    </w:p>
    <w:p w14:paraId="457A9174" w14:textId="77777777" w:rsidR="00DF19B0" w:rsidRDefault="007332F8">
      <w:pPr>
        <w:pStyle w:val="Compact"/>
        <w:numPr>
          <w:ilvl w:val="2"/>
          <w:numId w:val="22"/>
        </w:numPr>
      </w:pPr>
      <w:r>
        <w:t>Our Gro profil</w:t>
      </w:r>
      <w:r>
        <w:t>e is consistent with these observations</w:t>
      </w:r>
    </w:p>
    <w:p w14:paraId="0A2AE77C" w14:textId="77777777" w:rsidR="00DF19B0" w:rsidRDefault="007332F8">
      <w:pPr>
        <w:pStyle w:val="Compact"/>
        <w:numPr>
          <w:ilvl w:val="2"/>
          <w:numId w:val="22"/>
        </w:numPr>
      </w:pPr>
      <w:r>
        <w:t>Figure: Groucho expression timecourse (wt and mut)</w:t>
      </w:r>
    </w:p>
    <w:p w14:paraId="2AFF3972" w14:textId="77777777" w:rsidR="00DF19B0" w:rsidRDefault="007332F8">
      <w:pPr>
        <w:pStyle w:val="Compact"/>
        <w:numPr>
          <w:ilvl w:val="1"/>
          <w:numId w:val="21"/>
        </w:numPr>
      </w:pPr>
      <w:r>
        <w:t>Drosophila Gro is a dedicated repressor</w:t>
      </w:r>
    </w:p>
    <w:p w14:paraId="1C4B8323" w14:textId="77777777" w:rsidR="00DF19B0" w:rsidRDefault="007332F8">
      <w:pPr>
        <w:pStyle w:val="Compact"/>
        <w:numPr>
          <w:ilvl w:val="2"/>
          <w:numId w:val="23"/>
        </w:numPr>
      </w:pPr>
      <w:r>
        <w:t>Introduce concept of Gro homologs that serve primarily as activators</w:t>
      </w:r>
    </w:p>
    <w:p w14:paraId="17F29C73" w14:textId="77777777" w:rsidR="00DF19B0" w:rsidRDefault="007332F8">
      <w:pPr>
        <w:pStyle w:val="Compact"/>
        <w:numPr>
          <w:ilvl w:val="2"/>
          <w:numId w:val="23"/>
        </w:numPr>
      </w:pPr>
      <w:r>
        <w:t>Evidence from LoF and OE regulated genes</w:t>
      </w:r>
    </w:p>
    <w:p w14:paraId="5168AD3C" w14:textId="77777777" w:rsidR="00DF19B0" w:rsidRDefault="007332F8">
      <w:pPr>
        <w:pStyle w:val="Compact"/>
        <w:numPr>
          <w:ilvl w:val="0"/>
          <w:numId w:val="18"/>
        </w:numPr>
      </w:pPr>
      <w:r>
        <w:t>Groucho target genes are enriched for developmentally-regulated transcription factors</w:t>
      </w:r>
    </w:p>
    <w:p w14:paraId="37CABF3F" w14:textId="77777777" w:rsidR="00DF19B0" w:rsidRDefault="007332F8">
      <w:pPr>
        <w:pStyle w:val="Compact"/>
        <w:numPr>
          <w:ilvl w:val="0"/>
          <w:numId w:val="18"/>
        </w:numPr>
      </w:pPr>
      <w:r>
        <w:t>Groucho recruitment is more dynamic during early embryonic stages (consistent with highest levels of Gro at these stages)</w:t>
      </w:r>
    </w:p>
    <w:p w14:paraId="7817B5AA" w14:textId="77777777" w:rsidR="00DF19B0" w:rsidRDefault="007332F8">
      <w:pPr>
        <w:pStyle w:val="Compact"/>
        <w:numPr>
          <w:ilvl w:val="0"/>
          <w:numId w:val="18"/>
        </w:numPr>
      </w:pPr>
      <w:r>
        <w:t>Groucho localizes in distinctive patterns adjace</w:t>
      </w:r>
      <w:r>
        <w:t>nt to, and overlapping, predicted target genes</w:t>
      </w:r>
    </w:p>
    <w:p w14:paraId="40A13C89" w14:textId="77777777" w:rsidR="00DF19B0" w:rsidRDefault="007332F8">
      <w:pPr>
        <w:pStyle w:val="Compact"/>
        <w:numPr>
          <w:ilvl w:val="1"/>
          <w:numId w:val="24"/>
        </w:numPr>
      </w:pPr>
      <w:r>
        <w:t>Capicua-regulated genes</w:t>
      </w:r>
    </w:p>
    <w:p w14:paraId="049C1E54" w14:textId="77777777" w:rsidR="00DF19B0" w:rsidRDefault="007332F8">
      <w:pPr>
        <w:pStyle w:val="Compact"/>
        <w:numPr>
          <w:ilvl w:val="1"/>
          <w:numId w:val="24"/>
        </w:numPr>
      </w:pPr>
      <w:r>
        <w:t>Brinker-regulated genes</w:t>
      </w:r>
    </w:p>
    <w:p w14:paraId="744425B9" w14:textId="77777777" w:rsidR="00DF19B0" w:rsidRDefault="007332F8">
      <w:pPr>
        <w:pStyle w:val="Compact"/>
        <w:numPr>
          <w:ilvl w:val="1"/>
          <w:numId w:val="24"/>
        </w:numPr>
      </w:pPr>
      <w:r>
        <w:t>Zelda interaction</w:t>
      </w:r>
    </w:p>
    <w:p w14:paraId="756826A9" w14:textId="77777777" w:rsidR="00DF19B0" w:rsidRDefault="007332F8">
      <w:pPr>
        <w:pStyle w:val="Compact"/>
        <w:numPr>
          <w:ilvl w:val="0"/>
          <w:numId w:val="18"/>
        </w:numPr>
      </w:pPr>
      <w:r>
        <w:t>Groucho binds at transcription start sites</w:t>
      </w:r>
    </w:p>
    <w:p w14:paraId="37A0165C" w14:textId="77777777" w:rsidR="00DF19B0" w:rsidRDefault="007332F8">
      <w:pPr>
        <w:pStyle w:val="Compact"/>
        <w:numPr>
          <w:ilvl w:val="0"/>
          <w:numId w:val="18"/>
        </w:numPr>
      </w:pPr>
      <w:r>
        <w:t>Groucho spreading does not appear to be an obligate characteristic of repression</w:t>
      </w:r>
    </w:p>
    <w:p w14:paraId="13868FBB" w14:textId="77777777" w:rsidR="00DF19B0" w:rsidRDefault="007332F8">
      <w:pPr>
        <w:pStyle w:val="Compact"/>
        <w:numPr>
          <w:ilvl w:val="1"/>
          <w:numId w:val="25"/>
        </w:numPr>
      </w:pPr>
      <w:r>
        <w:t>Groucho peaks exhib</w:t>
      </w:r>
      <w:r>
        <w:t>it a mean width of approximately 500 bp</w:t>
      </w:r>
    </w:p>
    <w:p w14:paraId="2C44B747" w14:textId="77777777" w:rsidR="00DF19B0" w:rsidRDefault="007332F8">
      <w:pPr>
        <w:pStyle w:val="Compact"/>
        <w:numPr>
          <w:ilvl w:val="1"/>
          <w:numId w:val="25"/>
        </w:numPr>
      </w:pPr>
      <w:r>
        <w:lastRenderedPageBreak/>
        <w:t>Groucho widths slightly increase in size at later timepoints, though whether this is the result of biological variability or slight deviations in chip-seq library fraction efficiencies is uncertain. In either case, t</w:t>
      </w:r>
      <w:r>
        <w:t>he effect is slight.</w:t>
      </w:r>
    </w:p>
    <w:p w14:paraId="6337D710" w14:textId="77777777" w:rsidR="00DF19B0" w:rsidRDefault="007332F8">
      <w:pPr>
        <w:pStyle w:val="Compact"/>
        <w:numPr>
          <w:ilvl w:val="1"/>
          <w:numId w:val="25"/>
        </w:numPr>
      </w:pPr>
      <w:r>
        <w:t>Clustering of Gro binding regions does appear to be prevalent. Over half of all Groucho-associated genes exhibit two or more distinct Groucho binding sites</w:t>
      </w:r>
    </w:p>
    <w:p w14:paraId="70426A75" w14:textId="1088D9DC" w:rsidR="00DF19B0" w:rsidRDefault="007332F8">
      <w:pPr>
        <w:pStyle w:val="Compact"/>
        <w:numPr>
          <w:ilvl w:val="0"/>
          <w:numId w:val="18"/>
        </w:numPr>
      </w:pPr>
      <w:r>
        <w:t xml:space="preserve">At all timepoints, about half of Gro binding is either upstream or overlapping </w:t>
      </w:r>
      <w:r>
        <w:t>the start site of the nearest gene feature, consistent with Groucho's association with enhancer regions, which are typically, but certainly not always upstream of their target gene</w:t>
      </w:r>
      <w:bookmarkStart w:id="13" w:name="_GoBack"/>
      <w:bookmarkEnd w:id="13"/>
    </w:p>
    <w:p w14:paraId="3EFB0F0D" w14:textId="77777777" w:rsidR="00DF19B0" w:rsidRDefault="007332F8">
      <w:pPr>
        <w:pStyle w:val="Compact"/>
        <w:numPr>
          <w:ilvl w:val="1"/>
          <w:numId w:val="26"/>
        </w:numPr>
      </w:pPr>
      <w:r>
        <w:t xml:space="preserve">Approximately 40% of all Gro binding sites are contained with gene bodies, </w:t>
      </w:r>
      <w:r>
        <w:t>with 35 to 50% of those sites falling within an intron. Of those, 40% are found within the first intron.</w:t>
      </w:r>
    </w:p>
    <w:p w14:paraId="407D4C00" w14:textId="77777777" w:rsidR="00DF19B0" w:rsidRDefault="007332F8">
      <w:pPr>
        <w:pStyle w:val="Compact"/>
        <w:numPr>
          <w:ilvl w:val="1"/>
          <w:numId w:val="26"/>
        </w:numPr>
      </w:pPr>
      <w:r>
        <w:t>In Drosophila, the first intron is typically longer, and most relevant to gene regulation.</w:t>
      </w:r>
    </w:p>
    <w:p w14:paraId="21D97385" w14:textId="77777777" w:rsidR="00DF19B0" w:rsidRDefault="007332F8">
      <w:pPr>
        <w:pStyle w:val="Compact"/>
        <w:numPr>
          <w:ilvl w:val="1"/>
          <w:numId w:val="26"/>
        </w:numPr>
      </w:pPr>
      <w:r>
        <w:t>It is unknown whether Groucho is being actively recruited to</w:t>
      </w:r>
      <w:r>
        <w:t xml:space="preserve"> these intronic regions, or if looping from an enhancer region is responsible for depositing Gro within these areas.</w:t>
      </w:r>
    </w:p>
    <w:p w14:paraId="2E316ECA" w14:textId="77777777" w:rsidR="00DF19B0" w:rsidRDefault="007332F8">
      <w:pPr>
        <w:pStyle w:val="Compact"/>
        <w:numPr>
          <w:ilvl w:val="1"/>
          <w:numId w:val="26"/>
        </w:numPr>
      </w:pPr>
      <w:r>
        <w:t>Motif analysis of binding sequences within introns reveals few conserved sequences, possibly indicating the lack of a sequence-specific DNA</w:t>
      </w:r>
      <w:r>
        <w:t xml:space="preserve"> binding factor being responsible for recruiting Gro at these positions</w:t>
      </w:r>
    </w:p>
    <w:p w14:paraId="3973FB13" w14:textId="77777777" w:rsidR="00DF19B0" w:rsidRDefault="007332F8">
      <w:pPr>
        <w:pStyle w:val="Compact"/>
        <w:numPr>
          <w:ilvl w:val="2"/>
          <w:numId w:val="27"/>
        </w:numPr>
      </w:pPr>
      <w:r>
        <w:t>Despite this, recruitment of Gro to introns seems highly specific (is being directed by some factor or process), as it often occurs with 100-200 bps of the TSS, in discreet peaks or cl</w:t>
      </w:r>
      <w:r>
        <w:t>usters of peaks</w:t>
      </w:r>
    </w:p>
    <w:p w14:paraId="3173CA84" w14:textId="77777777" w:rsidR="00DF19B0" w:rsidRDefault="007332F8">
      <w:pPr>
        <w:pStyle w:val="Compact"/>
        <w:numPr>
          <w:ilvl w:val="2"/>
          <w:numId w:val="27"/>
        </w:numPr>
      </w:pPr>
      <w:r>
        <w:t>Several examples of genes with alternative TSS's exhibiting Groucho peaks in introns adjacent to each start site (ex. dpp)</w:t>
      </w:r>
    </w:p>
    <w:p w14:paraId="422CEFC9" w14:textId="77777777" w:rsidR="00DF19B0" w:rsidRDefault="007332F8">
      <w:pPr>
        <w:pStyle w:val="Compact"/>
        <w:numPr>
          <w:ilvl w:val="0"/>
          <w:numId w:val="18"/>
        </w:numPr>
      </w:pPr>
      <w:r>
        <w:t>Recruitment of Groucho to intronic regions correlates with repression of those genes, but does not appear to be an ob</w:t>
      </w:r>
      <w:r>
        <w:t>ligate feature of repression</w:t>
      </w:r>
    </w:p>
    <w:p w14:paraId="50F7D6F2" w14:textId="77777777" w:rsidR="00DF19B0" w:rsidRDefault="007332F8">
      <w:pPr>
        <w:pStyle w:val="Compact"/>
        <w:numPr>
          <w:ilvl w:val="1"/>
          <w:numId w:val="28"/>
        </w:numPr>
      </w:pPr>
      <w:r>
        <w:t>Multiple known or suspected Gro targets lack introns (zen, tolloid, twist, wntD, tll, sna)</w:t>
      </w:r>
    </w:p>
    <w:p w14:paraId="4EFDF574" w14:textId="77777777" w:rsidR="00DF19B0" w:rsidRDefault="007332F8">
      <w:pPr>
        <w:pStyle w:val="Compact"/>
        <w:numPr>
          <w:ilvl w:val="0"/>
          <w:numId w:val="18"/>
        </w:numPr>
      </w:pPr>
      <w:r>
        <w:t>Some genomic areas exhibit widespread Groucho binding, especially around Gro targets in areas with low gene density</w:t>
      </w:r>
    </w:p>
    <w:p w14:paraId="7FBE406C" w14:textId="77777777" w:rsidR="00DF19B0" w:rsidRDefault="007332F8">
      <w:pPr>
        <w:pStyle w:val="Compact"/>
        <w:numPr>
          <w:ilvl w:val="1"/>
          <w:numId w:val="29"/>
        </w:numPr>
      </w:pPr>
      <w:r>
        <w:t>Ex. snail; 21 distinct Groucho bindng sites spread over a 50kb region</w:t>
      </w:r>
    </w:p>
    <w:p w14:paraId="40BA74E8" w14:textId="77777777" w:rsidR="00DF19B0" w:rsidRDefault="007332F8">
      <w:pPr>
        <w:pStyle w:val="Compact"/>
        <w:numPr>
          <w:ilvl w:val="1"/>
          <w:numId w:val="29"/>
        </w:numPr>
      </w:pPr>
      <w:r>
        <w:t>Ex. odd skipped; 17 distinct sites over 30kb</w:t>
      </w:r>
    </w:p>
    <w:p w14:paraId="4C23C3EB" w14:textId="77777777" w:rsidR="00DF19B0" w:rsidRDefault="007332F8">
      <w:pPr>
        <w:pStyle w:val="Compact"/>
        <w:numPr>
          <w:ilvl w:val="0"/>
          <w:numId w:val="18"/>
        </w:numPr>
      </w:pPr>
      <w:r>
        <w:t>Groucho involved in active, reversible repression is enriched for upstream and within genes</w:t>
      </w:r>
    </w:p>
    <w:p w14:paraId="131FEDD5" w14:textId="77777777" w:rsidR="00DF19B0" w:rsidRDefault="007332F8">
      <w:pPr>
        <w:pStyle w:val="Compact"/>
        <w:numPr>
          <w:ilvl w:val="0"/>
          <w:numId w:val="18"/>
        </w:numPr>
      </w:pPr>
      <w:r>
        <w:t>Groucho regulated genes are enriched for paused PolII, and depleted for actively transcribing PolII</w:t>
      </w:r>
    </w:p>
    <w:p w14:paraId="4AF3C797" w14:textId="77777777" w:rsidR="00DF19B0" w:rsidRDefault="007332F8">
      <w:pPr>
        <w:pStyle w:val="Compact"/>
        <w:numPr>
          <w:ilvl w:val="1"/>
          <w:numId w:val="30"/>
        </w:numPr>
      </w:pPr>
      <w:r>
        <w:t>Stronger enrichment with genes with Gro intronic binding</w:t>
      </w:r>
    </w:p>
    <w:p w14:paraId="053CC313" w14:textId="77777777" w:rsidR="00DF19B0" w:rsidRDefault="007332F8">
      <w:pPr>
        <w:pStyle w:val="Heading4"/>
      </w:pPr>
      <w:bookmarkStart w:id="14" w:name="discussion"/>
      <w:bookmarkEnd w:id="14"/>
      <w:r>
        <w:lastRenderedPageBreak/>
        <w:t>Discussion</w:t>
      </w:r>
    </w:p>
    <w:p w14:paraId="071473DE" w14:textId="77777777" w:rsidR="00DF19B0" w:rsidRDefault="007332F8">
      <w:pPr>
        <w:pStyle w:val="Heading3"/>
      </w:pPr>
      <w:bookmarkStart w:id="15" w:name="chapter-x-nascent-seq"/>
      <w:bookmarkEnd w:id="15"/>
      <w:r>
        <w:t>Chapter X: Nascent-seq</w:t>
      </w:r>
    </w:p>
    <w:p w14:paraId="36ADB576" w14:textId="77777777" w:rsidR="00DF19B0" w:rsidRDefault="007332F8">
      <w:pPr>
        <w:pStyle w:val="Heading4"/>
      </w:pPr>
      <w:bookmarkStart w:id="16" w:name="abstract-1"/>
      <w:bookmarkEnd w:id="16"/>
      <w:r>
        <w:t>Abstract</w:t>
      </w:r>
    </w:p>
    <w:p w14:paraId="411730FB" w14:textId="77777777" w:rsidR="00DF19B0" w:rsidRDefault="007332F8">
      <w:pPr>
        <w:pStyle w:val="Heading4"/>
      </w:pPr>
      <w:bookmarkStart w:id="17" w:name="introduction-1"/>
      <w:bookmarkEnd w:id="17"/>
      <w:r>
        <w:t>Introduction</w:t>
      </w:r>
    </w:p>
    <w:p w14:paraId="31BEE11B" w14:textId="77777777" w:rsidR="00DF19B0" w:rsidRDefault="007332F8">
      <w:pPr>
        <w:pStyle w:val="Compact"/>
        <w:numPr>
          <w:ilvl w:val="0"/>
          <w:numId w:val="31"/>
        </w:numPr>
      </w:pPr>
      <w:r>
        <w:t>Introduction to nascent-seq</w:t>
      </w:r>
    </w:p>
    <w:p w14:paraId="02CE8D13" w14:textId="77777777" w:rsidR="00DF19B0" w:rsidRDefault="007332F8">
      <w:pPr>
        <w:pStyle w:val="Compact"/>
        <w:numPr>
          <w:ilvl w:val="1"/>
          <w:numId w:val="32"/>
        </w:numPr>
      </w:pPr>
      <w:r>
        <w:t>Transcription r</w:t>
      </w:r>
      <w:r>
        <w:t>ate determination</w:t>
      </w:r>
    </w:p>
    <w:p w14:paraId="4906B139" w14:textId="77777777" w:rsidR="00DF19B0" w:rsidRDefault="007332F8">
      <w:pPr>
        <w:pStyle w:val="Compact"/>
        <w:numPr>
          <w:ilvl w:val="2"/>
          <w:numId w:val="33"/>
        </w:numPr>
      </w:pPr>
      <w:r>
        <w:t>Importance to non-steady state transcript level analysis</w:t>
      </w:r>
    </w:p>
    <w:p w14:paraId="20C9AEB4" w14:textId="77777777" w:rsidR="00DF19B0" w:rsidRDefault="007332F8">
      <w:pPr>
        <w:pStyle w:val="Compact"/>
        <w:numPr>
          <w:ilvl w:val="1"/>
          <w:numId w:val="32"/>
        </w:numPr>
      </w:pPr>
      <w:r>
        <w:t>Fractionation methodology</w:t>
      </w:r>
    </w:p>
    <w:p w14:paraId="743FF572" w14:textId="77777777" w:rsidR="00DF19B0" w:rsidRDefault="007332F8">
      <w:pPr>
        <w:pStyle w:val="Compact"/>
        <w:numPr>
          <w:ilvl w:val="0"/>
          <w:numId w:val="31"/>
        </w:numPr>
      </w:pPr>
      <w:r>
        <w:t>Very brief introduction to deep sequencing technologies</w:t>
      </w:r>
    </w:p>
    <w:p w14:paraId="54B8103F" w14:textId="77777777" w:rsidR="00DF19B0" w:rsidRDefault="007332F8">
      <w:pPr>
        <w:pStyle w:val="Heading4"/>
      </w:pPr>
      <w:bookmarkStart w:id="18" w:name="materials-methods-1"/>
      <w:bookmarkEnd w:id="18"/>
      <w:r>
        <w:t>Materials &amp; Methods</w:t>
      </w:r>
    </w:p>
    <w:p w14:paraId="34542837" w14:textId="77777777" w:rsidR="00DF19B0" w:rsidRDefault="007332F8">
      <w:pPr>
        <w:pStyle w:val="Compact"/>
        <w:numPr>
          <w:ilvl w:val="0"/>
          <w:numId w:val="34"/>
        </w:numPr>
      </w:pPr>
      <w:r>
        <w:t>Flies</w:t>
      </w:r>
    </w:p>
    <w:p w14:paraId="1B978BF7" w14:textId="77777777" w:rsidR="00DF19B0" w:rsidRDefault="007332F8">
      <w:pPr>
        <w:pStyle w:val="Compact"/>
        <w:numPr>
          <w:ilvl w:val="1"/>
          <w:numId w:val="35"/>
        </w:numPr>
      </w:pPr>
      <w:r>
        <w:t>Strains</w:t>
      </w:r>
    </w:p>
    <w:p w14:paraId="1FE14F3C" w14:textId="77777777" w:rsidR="00DF19B0" w:rsidRDefault="007332F8">
      <w:pPr>
        <w:pStyle w:val="Compact"/>
        <w:numPr>
          <w:ilvl w:val="1"/>
          <w:numId w:val="35"/>
        </w:numPr>
      </w:pPr>
      <w:r>
        <w:t>Culturing</w:t>
      </w:r>
    </w:p>
    <w:p w14:paraId="21A975BC" w14:textId="77777777" w:rsidR="00DF19B0" w:rsidRDefault="007332F8">
      <w:pPr>
        <w:pStyle w:val="Compact"/>
        <w:numPr>
          <w:ilvl w:val="1"/>
          <w:numId w:val="35"/>
        </w:numPr>
      </w:pPr>
      <w:r>
        <w:t>Collection</w:t>
      </w:r>
    </w:p>
    <w:p w14:paraId="7D1664F7" w14:textId="77777777" w:rsidR="00DF19B0" w:rsidRDefault="007332F8">
      <w:pPr>
        <w:pStyle w:val="Compact"/>
        <w:numPr>
          <w:ilvl w:val="0"/>
          <w:numId w:val="34"/>
        </w:numPr>
      </w:pPr>
      <w:r>
        <w:t>Isolation of chromatin-associated RNA</w:t>
      </w:r>
    </w:p>
    <w:p w14:paraId="5F2C565C" w14:textId="77777777" w:rsidR="00DF19B0" w:rsidRDefault="007332F8">
      <w:pPr>
        <w:pStyle w:val="Compact"/>
        <w:numPr>
          <w:ilvl w:val="1"/>
          <w:numId w:val="36"/>
        </w:numPr>
      </w:pPr>
      <w:r>
        <w:t>Embryo</w:t>
      </w:r>
      <w:r>
        <w:t xml:space="preserve"> fractionation</w:t>
      </w:r>
    </w:p>
    <w:p w14:paraId="42F9E05D" w14:textId="77777777" w:rsidR="00DF19B0" w:rsidRDefault="007332F8">
      <w:pPr>
        <w:pStyle w:val="Compact"/>
        <w:numPr>
          <w:ilvl w:val="1"/>
          <w:numId w:val="36"/>
        </w:numPr>
      </w:pPr>
      <w:r>
        <w:t>RNA isolation</w:t>
      </w:r>
    </w:p>
    <w:p w14:paraId="07211A91" w14:textId="77777777" w:rsidR="00DF19B0" w:rsidRDefault="007332F8">
      <w:pPr>
        <w:pStyle w:val="Compact"/>
        <w:numPr>
          <w:ilvl w:val="1"/>
          <w:numId w:val="36"/>
        </w:numPr>
      </w:pPr>
      <w:r>
        <w:t>Validation of fractionation (anti-H3/anti-tubulin immunoblot)</w:t>
      </w:r>
    </w:p>
    <w:p w14:paraId="1C04EACB" w14:textId="77777777" w:rsidR="00DF19B0" w:rsidRDefault="007332F8">
      <w:pPr>
        <w:pStyle w:val="Compact"/>
        <w:numPr>
          <w:ilvl w:val="1"/>
          <w:numId w:val="36"/>
        </w:numPr>
      </w:pPr>
      <w:r>
        <w:t>Depletion of rRNA</w:t>
      </w:r>
    </w:p>
    <w:p w14:paraId="03B0377B" w14:textId="77777777" w:rsidR="00DF19B0" w:rsidRDefault="007332F8">
      <w:pPr>
        <w:pStyle w:val="Compact"/>
        <w:numPr>
          <w:ilvl w:val="2"/>
          <w:numId w:val="37"/>
        </w:numPr>
      </w:pPr>
      <w:r>
        <w:t>Sequences of depletion oligomers</w:t>
      </w:r>
    </w:p>
    <w:p w14:paraId="1A4D12F9" w14:textId="77777777" w:rsidR="00DF19B0" w:rsidRDefault="007332F8">
      <w:pPr>
        <w:pStyle w:val="Compact"/>
        <w:numPr>
          <w:ilvl w:val="1"/>
          <w:numId w:val="36"/>
        </w:numPr>
      </w:pPr>
      <w:r>
        <w:t>Validation of mRNA quality (Bioanalyzer)</w:t>
      </w:r>
    </w:p>
    <w:p w14:paraId="19DD9128" w14:textId="77777777" w:rsidR="00DF19B0" w:rsidRDefault="007332F8">
      <w:pPr>
        <w:pStyle w:val="Compact"/>
        <w:numPr>
          <w:ilvl w:val="0"/>
          <w:numId w:val="34"/>
        </w:numPr>
      </w:pPr>
      <w:r>
        <w:t>Library preparation/QC</w:t>
      </w:r>
    </w:p>
    <w:p w14:paraId="641675EF" w14:textId="77777777" w:rsidR="00DF19B0" w:rsidRDefault="007332F8">
      <w:pPr>
        <w:pStyle w:val="Compact"/>
        <w:numPr>
          <w:ilvl w:val="0"/>
          <w:numId w:val="34"/>
        </w:numPr>
      </w:pPr>
      <w:r>
        <w:t>Sequencing</w:t>
      </w:r>
    </w:p>
    <w:p w14:paraId="4CB739D3" w14:textId="77777777" w:rsidR="00DF19B0" w:rsidRDefault="007332F8">
      <w:pPr>
        <w:pStyle w:val="Compact"/>
        <w:numPr>
          <w:ilvl w:val="0"/>
          <w:numId w:val="34"/>
        </w:numPr>
      </w:pPr>
      <w:r>
        <w:t>Data processing</w:t>
      </w:r>
    </w:p>
    <w:p w14:paraId="2C3231FD" w14:textId="77777777" w:rsidR="00DF19B0" w:rsidRDefault="007332F8">
      <w:pPr>
        <w:pStyle w:val="Compact"/>
        <w:numPr>
          <w:ilvl w:val="1"/>
          <w:numId w:val="38"/>
        </w:numPr>
      </w:pPr>
      <w:r>
        <w:t>QC/pre-processing</w:t>
      </w:r>
    </w:p>
    <w:p w14:paraId="1CB484B0" w14:textId="77777777" w:rsidR="00DF19B0" w:rsidRDefault="007332F8">
      <w:pPr>
        <w:pStyle w:val="Compact"/>
        <w:numPr>
          <w:ilvl w:val="1"/>
          <w:numId w:val="38"/>
        </w:numPr>
      </w:pPr>
      <w:r>
        <w:t>Mapping</w:t>
      </w:r>
    </w:p>
    <w:p w14:paraId="54531C3E" w14:textId="77777777" w:rsidR="00DF19B0" w:rsidRDefault="007332F8">
      <w:pPr>
        <w:pStyle w:val="Compact"/>
        <w:numPr>
          <w:ilvl w:val="1"/>
          <w:numId w:val="38"/>
        </w:numPr>
      </w:pPr>
      <w:r>
        <w:t>Transcript assignment and expression level normalization</w:t>
      </w:r>
    </w:p>
    <w:p w14:paraId="136F5B3B" w14:textId="77777777" w:rsidR="00DF19B0" w:rsidRDefault="007332F8">
      <w:pPr>
        <w:pStyle w:val="Heading4"/>
      </w:pPr>
      <w:bookmarkStart w:id="19" w:name="results-1"/>
      <w:bookmarkEnd w:id="19"/>
      <w:r>
        <w:t>Results</w:t>
      </w:r>
    </w:p>
    <w:p w14:paraId="320B9EB5" w14:textId="77777777" w:rsidR="00DF19B0" w:rsidRDefault="007332F8">
      <w:pPr>
        <w:pStyle w:val="Compact"/>
        <w:numPr>
          <w:ilvl w:val="0"/>
          <w:numId w:val="39"/>
        </w:numPr>
      </w:pPr>
      <w:r>
        <w:t>Validation of chromatin-associated RNA isolation</w:t>
      </w:r>
    </w:p>
    <w:p w14:paraId="02D4490B" w14:textId="77777777" w:rsidR="00DF19B0" w:rsidRDefault="007332F8">
      <w:pPr>
        <w:pStyle w:val="Compact"/>
        <w:numPr>
          <w:ilvl w:val="1"/>
          <w:numId w:val="40"/>
        </w:numPr>
      </w:pPr>
      <w:r>
        <w:t>anti-H3/anti-tubulin immunoblot</w:t>
      </w:r>
    </w:p>
    <w:p w14:paraId="2502E2D2" w14:textId="77777777" w:rsidR="00DF19B0" w:rsidRDefault="007332F8">
      <w:pPr>
        <w:pStyle w:val="Compact"/>
        <w:numPr>
          <w:ilvl w:val="1"/>
          <w:numId w:val="40"/>
        </w:numPr>
      </w:pPr>
      <w:r>
        <w:t>Bioanalyzer profiles/pseudogels</w:t>
      </w:r>
    </w:p>
    <w:p w14:paraId="7AC45221" w14:textId="77777777" w:rsidR="00DF19B0" w:rsidRDefault="007332F8">
      <w:pPr>
        <w:pStyle w:val="Compact"/>
        <w:numPr>
          <w:ilvl w:val="1"/>
          <w:numId w:val="40"/>
        </w:numPr>
      </w:pPr>
      <w:r>
        <w:t>Schematic of rRNA depletion procedure(?)</w:t>
      </w:r>
    </w:p>
    <w:p w14:paraId="588FA38A" w14:textId="77777777" w:rsidR="00DF19B0" w:rsidRDefault="007332F8">
      <w:pPr>
        <w:pStyle w:val="Compact"/>
        <w:numPr>
          <w:ilvl w:val="0"/>
          <w:numId w:val="39"/>
        </w:numPr>
      </w:pPr>
      <w:r>
        <w:t>Overview of data sets</w:t>
      </w:r>
    </w:p>
    <w:p w14:paraId="1981C02C" w14:textId="77777777" w:rsidR="00DF19B0" w:rsidRDefault="007332F8">
      <w:pPr>
        <w:pStyle w:val="Compact"/>
        <w:numPr>
          <w:ilvl w:val="1"/>
          <w:numId w:val="41"/>
        </w:numPr>
      </w:pPr>
      <w:r>
        <w:t>Reads p</w:t>
      </w:r>
      <w:r>
        <w:t>er sample</w:t>
      </w:r>
    </w:p>
    <w:p w14:paraId="21B62610" w14:textId="77777777" w:rsidR="00DF19B0" w:rsidRDefault="007332F8">
      <w:pPr>
        <w:pStyle w:val="Compact"/>
        <w:numPr>
          <w:ilvl w:val="1"/>
          <w:numId w:val="41"/>
        </w:numPr>
      </w:pPr>
      <w:r>
        <w:t>Intra- and inter-replicate similarity analyses</w:t>
      </w:r>
    </w:p>
    <w:p w14:paraId="63DEF1A0" w14:textId="77777777" w:rsidR="00DF19B0" w:rsidRDefault="007332F8">
      <w:pPr>
        <w:pStyle w:val="Compact"/>
        <w:numPr>
          <w:ilvl w:val="0"/>
          <w:numId w:val="39"/>
        </w:numPr>
      </w:pPr>
      <w:r>
        <w:t>Primary differences with total mRNA seq experiments</w:t>
      </w:r>
    </w:p>
    <w:p w14:paraId="7AE881B4" w14:textId="77777777" w:rsidR="00DF19B0" w:rsidRDefault="007332F8">
      <w:pPr>
        <w:pStyle w:val="Heading4"/>
      </w:pPr>
      <w:bookmarkStart w:id="20" w:name="discussion-1"/>
      <w:bookmarkEnd w:id="20"/>
      <w:r>
        <w:lastRenderedPageBreak/>
        <w:t>Discussion</w:t>
      </w:r>
    </w:p>
    <w:p w14:paraId="44C4DCE3" w14:textId="77777777" w:rsidR="00DF19B0" w:rsidRDefault="007332F8">
      <w:pPr>
        <w:pStyle w:val="Heading4"/>
      </w:pPr>
      <w:bookmarkStart w:id="21" w:name="figures-tables"/>
      <w:bookmarkEnd w:id="21"/>
      <w:r>
        <w:t>Figures &amp; Tables</w:t>
      </w:r>
    </w:p>
    <w:p w14:paraId="4F5ACC1A" w14:textId="77777777" w:rsidR="00DF19B0" w:rsidRDefault="007332F8">
      <w:pPr>
        <w:pStyle w:val="Heading4"/>
      </w:pPr>
      <w:bookmarkStart w:id="22" w:name="references"/>
      <w:bookmarkEnd w:id="22"/>
      <w:r>
        <w:t>References</w:t>
      </w:r>
    </w:p>
    <w:p w14:paraId="6954E0E7" w14:textId="77777777" w:rsidR="00DF19B0" w:rsidRDefault="007332F8">
      <w:pPr>
        <w:pStyle w:val="Heading3"/>
      </w:pPr>
      <w:bookmarkStart w:id="23" w:name="appendices"/>
      <w:bookmarkEnd w:id="23"/>
      <w:r>
        <w:t>Appendices</w:t>
      </w:r>
    </w:p>
    <w:p w14:paraId="7844E77D" w14:textId="77777777" w:rsidR="00DF19B0" w:rsidRDefault="007332F8">
      <w:pPr>
        <w:pStyle w:val="Heading4"/>
      </w:pPr>
      <w:bookmarkStart w:id="24" w:name="appendix-x-groucho-regulated-gene-data"/>
      <w:bookmarkEnd w:id="24"/>
      <w:r>
        <w:t>Appendix X: Groucho-regulated gene data</w:t>
      </w:r>
    </w:p>
    <w:p w14:paraId="0671A3FE" w14:textId="77777777" w:rsidR="00DF19B0" w:rsidRDefault="007332F8">
      <w:pPr>
        <w:pStyle w:val="Heading4"/>
      </w:pPr>
      <w:bookmarkStart w:id="25" w:name="appendix-x-groucho-binding-regions-by-ti"/>
      <w:bookmarkEnd w:id="25"/>
      <w:r>
        <w:t>Appendix X: Groucho binding regions by timepoint</w:t>
      </w:r>
    </w:p>
    <w:sectPr w:rsidR="00DF19B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95AA2" w14:textId="77777777" w:rsidR="00000000" w:rsidRDefault="007332F8">
      <w:pPr>
        <w:spacing w:after="0"/>
      </w:pPr>
      <w:r>
        <w:separator/>
      </w:r>
    </w:p>
  </w:endnote>
  <w:endnote w:type="continuationSeparator" w:id="0">
    <w:p w14:paraId="2408A6FB" w14:textId="77777777" w:rsidR="00000000" w:rsidRDefault="007332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D0B3C" w14:textId="77777777" w:rsidR="00DF19B0" w:rsidRDefault="007332F8">
      <w:r>
        <w:separator/>
      </w:r>
    </w:p>
  </w:footnote>
  <w:footnote w:type="continuationSeparator" w:id="0">
    <w:p w14:paraId="7C882D91" w14:textId="77777777" w:rsidR="00DF19B0" w:rsidRDefault="00733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83602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814CC7"/>
    <w:multiLevelType w:val="multilevel"/>
    <w:tmpl w:val="F0B037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71B0C1"/>
    <w:multiLevelType w:val="multilevel"/>
    <w:tmpl w:val="E25C83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84EFA"/>
    <w:rsid w:val="00235510"/>
    <w:rsid w:val="004E29B3"/>
    <w:rsid w:val="00590D07"/>
    <w:rsid w:val="006408F0"/>
    <w:rsid w:val="007332F8"/>
    <w:rsid w:val="00784D58"/>
    <w:rsid w:val="008D6863"/>
    <w:rsid w:val="00A25BD5"/>
    <w:rsid w:val="00B86B75"/>
    <w:rsid w:val="00BC48D5"/>
    <w:rsid w:val="00BD29A6"/>
    <w:rsid w:val="00C36279"/>
    <w:rsid w:val="00DF19B0"/>
    <w:rsid w:val="00E315A3"/>
    <w:rsid w:val="00E656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F530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1233</Words>
  <Characters>7030</Characters>
  <Application>Microsoft Macintosh Word</Application>
  <DocSecurity>0</DocSecurity>
  <Lines>58</Lines>
  <Paragraphs>16</Paragraphs>
  <ScaleCrop>false</ScaleCrop>
  <Company>UCLA</Company>
  <LinksUpToDate>false</LinksUpToDate>
  <CharactersWithSpaces>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Chambers</dc:creator>
  <cp:lastModifiedBy>Michael Chambers</cp:lastModifiedBy>
  <cp:revision>7</cp:revision>
  <dcterms:created xsi:type="dcterms:W3CDTF">2015-08-06T19:45:00Z</dcterms:created>
  <dcterms:modified xsi:type="dcterms:W3CDTF">2015-08-07T00:38:00Z</dcterms:modified>
</cp:coreProperties>
</file>