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A9447" w14:textId="77777777" w:rsidR="00A30785" w:rsidRDefault="00A30785" w:rsidP="006A0C78">
      <w:pPr>
        <w:spacing w:line="480" w:lineRule="auto"/>
        <w:rPr>
          <w:i/>
        </w:rPr>
      </w:pPr>
    </w:p>
    <w:p w14:paraId="4AB7C1B7" w14:textId="77777777" w:rsidR="00645F6F" w:rsidRPr="00C316C2" w:rsidRDefault="004C62C0" w:rsidP="006A0C78">
      <w:pPr>
        <w:spacing w:line="480" w:lineRule="auto"/>
        <w:rPr>
          <w:i/>
        </w:rPr>
      </w:pPr>
      <w:r w:rsidRPr="00C316C2">
        <w:rPr>
          <w:i/>
        </w:rPr>
        <w:t>Identification of Groucho Targets by Developmental Stage</w:t>
      </w:r>
    </w:p>
    <w:p w14:paraId="1F2FA4F8" w14:textId="77777777" w:rsidR="00A4351E" w:rsidRDefault="00A4351E" w:rsidP="006A0C78">
      <w:pPr>
        <w:spacing w:line="480" w:lineRule="auto"/>
      </w:pPr>
    </w:p>
    <w:p w14:paraId="155F22AB" w14:textId="1C6382A3" w:rsidR="00A30785" w:rsidRDefault="00A30785" w:rsidP="006A0C78">
      <w:pPr>
        <w:spacing w:line="480" w:lineRule="auto"/>
      </w:pPr>
      <w:r>
        <w:t xml:space="preserve">Groucho is a crucial regulator of gene expression </w:t>
      </w:r>
      <w:r w:rsidR="00E40A04">
        <w:t>throughout</w:t>
      </w:r>
      <w:r>
        <w:t xml:space="preserve"> </w:t>
      </w:r>
      <w:r w:rsidR="00420B5B">
        <w:t>development</w:t>
      </w:r>
      <w:r>
        <w:t xml:space="preserve"> and is </w:t>
      </w:r>
      <w:r w:rsidR="00D74350">
        <w:t>centrally involved</w:t>
      </w:r>
      <w:r>
        <w:t xml:space="preserve"> </w:t>
      </w:r>
      <w:r w:rsidR="00D74350">
        <w:t>in</w:t>
      </w:r>
      <w:r>
        <w:t xml:space="preserve"> the establishment of embryonic patterning</w:t>
      </w:r>
      <w:r w:rsidR="00E40A04">
        <w:t xml:space="preserve"> in the early embryo</w:t>
      </w:r>
      <w:r>
        <w:t xml:space="preserve">. While several Groucho regulatory targets are known, it is suspected that the majority of Groucho targets have yet to be identified. To this end, we analyzed the transcriptomes of staged embryos </w:t>
      </w:r>
      <w:r w:rsidR="009D5C49">
        <w:t>expressing multiple dosages of Groucho</w:t>
      </w:r>
      <w:r>
        <w:t>. These included fly lines maternally overexpressing Groucho</w:t>
      </w:r>
      <w:r w:rsidR="00555693">
        <w:t xml:space="preserve"> at two levels,</w:t>
      </w:r>
      <w:r>
        <w:t xml:space="preserve"> two-fold and four-fold</w:t>
      </w:r>
      <w:r w:rsidR="009D5C49">
        <w:t xml:space="preserve"> higher than endo</w:t>
      </w:r>
      <w:r w:rsidR="00555693">
        <w:t>genous</w:t>
      </w:r>
      <w:r>
        <w:t xml:space="preserve">, as well as </w:t>
      </w:r>
      <w:r w:rsidR="009D5C49">
        <w:t xml:space="preserve">a line </w:t>
      </w:r>
      <w:r>
        <w:t>overexpressing a Groucho deletion mutant lacking the central SP domain</w:t>
      </w:r>
      <w:r w:rsidR="009D5C49">
        <w:t xml:space="preserve"> (Gro∆SP)</w:t>
      </w:r>
      <w:r>
        <w:t xml:space="preserve">. Additionally, we analyzed the transcriptome of embryos </w:t>
      </w:r>
      <w:r w:rsidR="00555693">
        <w:t xml:space="preserve">lacking maternally-contributed </w:t>
      </w:r>
      <w:r w:rsidR="009D5C49">
        <w:t xml:space="preserve">functional </w:t>
      </w:r>
      <w:r w:rsidR="00A51973">
        <w:t>Groucho. These embryos express</w:t>
      </w:r>
      <w:r w:rsidR="009D5C49">
        <w:t xml:space="preserve"> a severely truncated and non-functional form of Groucho.</w:t>
      </w:r>
    </w:p>
    <w:p w14:paraId="29887EFE" w14:textId="77777777" w:rsidR="009D5C49" w:rsidRDefault="009D5C49" w:rsidP="006A0C78">
      <w:pPr>
        <w:spacing w:line="480" w:lineRule="auto"/>
      </w:pPr>
    </w:p>
    <w:p w14:paraId="206C37C0" w14:textId="4A3549A8" w:rsidR="009D5C49" w:rsidRPr="00742D23" w:rsidRDefault="009D5C49" w:rsidP="006A0C78">
      <w:pPr>
        <w:spacing w:line="480" w:lineRule="auto"/>
      </w:pPr>
      <w:r>
        <w:t>Perturbation of Groucho levels results in the misregulation of a significant proportion of the Drosophila genome over each timespan (</w:t>
      </w:r>
      <w:r w:rsidR="000B41DA">
        <w:rPr>
          <w:i/>
        </w:rPr>
        <w:t>Fig</w:t>
      </w:r>
      <w:r w:rsidR="000B41DA" w:rsidRPr="000B41DA">
        <w:rPr>
          <w:i/>
        </w:rPr>
        <w:t>: Table or heatmap of significant differential expression of each gene by timepoint</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timepoint</w:t>
      </w:r>
      <w:r w:rsidR="004643B0">
        <w:t>. As Groucho is known to restrict the expression patterns of several transcription factors (including tailless and</w:t>
      </w:r>
      <w:r w:rsidR="00E67908">
        <w:t xml:space="preserve"> huckebein),</w:t>
      </w:r>
      <w:r w:rsidR="004643B0">
        <w:t xml:space="preserve"> it is suspected that many of these </w:t>
      </w:r>
      <w:r w:rsidR="00ED2BD5">
        <w:t>potential</w:t>
      </w:r>
      <w:r w:rsidR="004643B0">
        <w:t xml:space="preserve"> Groucho targets are secondary targets of Groucho and are not regulated by</w:t>
      </w:r>
      <w:r w:rsidR="00FE0377">
        <w:t xml:space="preserve"> direct</w:t>
      </w:r>
      <w:r w:rsidR="004643B0">
        <w:t xml:space="preserve"> Groucho occupancy of their enhancer regions.</w:t>
      </w:r>
    </w:p>
    <w:p w14:paraId="79578B1E" w14:textId="77777777" w:rsidR="00742D23" w:rsidRDefault="00742D23" w:rsidP="006A0C78">
      <w:pPr>
        <w:spacing w:line="480" w:lineRule="auto"/>
      </w:pPr>
    </w:p>
    <w:p w14:paraId="03CB6574" w14:textId="5FDC1008" w:rsidR="009D5C49" w:rsidRDefault="009D5C49" w:rsidP="006A0C78">
      <w:pPr>
        <w:spacing w:line="480" w:lineRule="auto"/>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0514F0">
        <w:fldChar w:fldCharType="begin"/>
      </w:r>
      <w:r w:rsidR="002E08A6">
        <w:instrText xml:space="preserve"> ADDIN PAPERS2_CITATIONS &lt;citation&gt;&lt;uuid&gt;D365F4FE-8131-41FC-B5A4-B7C2DAF77CDC&lt;/uuid&gt;&lt;priority&gt;0&lt;/priority&gt;&lt;publications&gt;&lt;publication&gt;&lt;uuid&gt;CC60C8A9-C023-4F30-AC53-E88E67B12FF0&lt;/uuid&gt;&lt;volume&gt;13&lt;/volume&gt;&lt;doi&gt;10.1016/j.cmet.2011.02.014&lt;/doi&gt;&lt;startpage&gt;413&lt;/startpage&gt;&lt;publication_date&gt;99201104061200000000222000&lt;/publication_date&gt;&lt;url&gt;http://dx.doi.org/10.1016/j.cmet.2011.02.014&lt;/url&gt;&lt;type&gt;400&lt;/type&gt;&lt;title&gt;TLE3 Is a Dual-Function Transcriptional Coregulator of Adipogenesis&lt;/title&gt;&lt;publisher&gt;Elsevier Inc.&lt;/publisher&gt;&lt;number&gt;4&lt;/number&gt;&lt;subtype&gt;400&lt;/subtype&gt;&lt;endpage&gt;427&lt;/endpage&gt;&lt;bundle&gt;&lt;publication&gt;&lt;publisher&gt;Elsevier Inc.&lt;/publisher&gt;&lt;title&gt;Cell Metabolism&lt;/title&gt;&lt;type&gt;-100&lt;/type&gt;&lt;subtype&gt;-100&lt;/subtype&gt;&lt;uuid&gt;87CC1FD8-15F2-4E73-AC6C-4D32AE25652A&lt;/uuid&gt;&lt;/publication&gt;&lt;/bundle&gt;&lt;authors&gt;&lt;author&gt;&lt;firstName&gt;Claudio&lt;/firstName&gt;&lt;middleNames&gt;J&lt;/middleNames&gt;&lt;lastName&gt;Villanueva&lt;/lastName&gt;&lt;/author&gt;&lt;author&gt;&lt;firstName&gt;Hironori&lt;/firstName&gt;&lt;lastName&gt;Waki&lt;/lastName&gt;&lt;/author&gt;&lt;author&gt;&lt;firstName&gt;Cristina&lt;/firstName&gt;&lt;lastName&gt;Godio&lt;/lastName&gt;&lt;/author&gt;&lt;author&gt;&lt;firstName&gt;Ronni&lt;/firstName&gt;&lt;lastName&gt;Nielsen&lt;/lastName&gt;&lt;/author&gt;&lt;author&gt;&lt;firstName&gt;Wen-Ling&lt;/firstName&gt;&lt;lastName&gt;Chou&lt;/lastName&gt;&lt;/author&gt;&lt;author&gt;&lt;firstName&gt;Leo&lt;/firstName&gt;&lt;lastName&gt;Vargas&lt;/lastName&gt;&lt;/author&gt;&lt;author&gt;&lt;firstName&gt;Kevin&lt;/firstName&gt;&lt;lastName&gt;Wroblewski&lt;/lastName&gt;&lt;/author&gt;&lt;author&gt;&lt;firstName&gt;Christian&lt;/firstName&gt;&lt;lastName&gt;Schmedt&lt;/lastName&gt;&lt;/author&gt;&lt;author&gt;&lt;firstName&gt;Lily&lt;/firstName&gt;&lt;middleNames&gt;C&lt;/middleNames&gt;&lt;lastName&gt;Chao&lt;/lastName&gt;&lt;/author&gt;&lt;author&gt;&lt;firstName&gt;Rima&lt;/firstName&gt;&lt;lastName&gt;Boyadjian&lt;/lastName&gt;&lt;/author&gt;&lt;author&gt;&lt;firstName&gt;Susanne&lt;/firstName&gt;&lt;lastName&gt;Mandrup&lt;/lastName&gt;&lt;/author&gt;&lt;author&gt;&lt;firstName&gt;Andrea&lt;/firstName&gt;&lt;lastName&gt;Hevener&lt;/lastName&gt;&lt;/author&gt;&lt;author&gt;&lt;firstName&gt;Enrique&lt;/firstName&gt;&lt;lastName&gt;Saez&lt;/lastName&gt;&lt;/author&gt;&lt;author&gt;&lt;firstName&gt;Peter&lt;/firstName&gt;&lt;lastName&gt;Tontonoz&lt;/lastName&gt;&lt;/author&gt;&lt;/authors&gt;&lt;/publication&gt;&lt;/publications&gt;&lt;cites&gt;&lt;/cites&gt;&lt;/citation&gt;</w:instrText>
      </w:r>
      <w:r w:rsidR="000514F0">
        <w:fldChar w:fldCharType="separate"/>
      </w:r>
      <w:r w:rsidR="000B3215">
        <w:rPr>
          <w:rFonts w:ascii="Cambria" w:hAnsi="Cambria" w:cs="Cambria"/>
        </w:rPr>
        <w:t>{Villanueva:2011ff}</w:t>
      </w:r>
      <w:r w:rsidR="000514F0">
        <w:fldChar w:fldCharType="end"/>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0514F0">
        <w:fldChar w:fldCharType="begin"/>
      </w:r>
      <w:r w:rsidR="002E08A6">
        <w:instrText xml:space="preserve"> ADDIN PAPERS2_CITATIONS &lt;citation&gt;&lt;uuid&gt;120A6536-D8C9-4C6E-80F2-5CB9DEE5AB27&lt;/uuid&gt;&lt;priority&gt;1&lt;/priority&gt;&lt;publications&gt;&lt;publication&gt;&lt;uuid&gt;FD4D98ED-C2DE-41CD-BD74-21B68E7CB9A4&lt;/uuid&gt;&lt;volume&gt;30&lt;/volume&gt;&lt;doi&gt;10.1038/emboj.2011.100&lt;/doi&gt;&lt;startpage&gt;2031&lt;/startpage&gt;&lt;publication_date&gt;99201104051200000000222000&lt;/publication_date&gt;&lt;url&gt;http://dx.doi.org/10.1038/emboj.2011.100&lt;/url&gt;&lt;type&gt;400&lt;/type&gt;&lt;title&gt;The oligomeric state of CtBP determines its role as a transcriptional co-activator and co-repressor of Wingless targets&lt;/title&gt;&lt;publisher&gt;Nature Publishing Group&lt;/publisher&gt;&lt;number&gt;10&lt;/number&gt;&lt;subtype&gt;400&lt;/subtype&gt;&lt;endpage&gt;2043&lt;/endpage&gt;&lt;bundle&gt;&lt;publication&gt;&lt;publisher&gt;Nature Publishing Group&lt;/publisher&gt;&lt;url&gt;http://www.nature.com/emboj/&lt;/url&gt;&lt;title&gt;The EMBO Journal&lt;/title&gt;&lt;type&gt;-100&lt;/type&gt;&lt;subtype&gt;-100&lt;/subtype&gt;&lt;uuid&gt;838DA89D-C445-45C6-9D90-1A8B8915018A&lt;/uuid&gt;&lt;/publication&gt;&lt;/bundle&gt;&lt;authors&gt;&lt;author&gt;&lt;firstName&gt;Chandan&lt;/firstName&gt;&lt;lastName&gt;Bhambhani&lt;/lastName&gt;&lt;/author&gt;&lt;author&gt;&lt;firstName&gt;Jinhee&lt;/firstName&gt;&lt;middleNames&gt;L&lt;/middleNames&gt;&lt;lastName&gt;Chang&lt;/lastName&gt;&lt;/author&gt;&lt;author&gt;&lt;firstName&gt;David&lt;/firstName&gt;&lt;middleNames&gt;L&lt;/middleNames&gt;&lt;lastName&gt;Akey&lt;/lastName&gt;&lt;/author&gt;&lt;author&gt;&lt;firstName&gt;Ken&lt;/firstName&gt;&lt;middleNames&gt;M&lt;/middleNames&gt;&lt;lastName&gt;Cadigan&lt;/lastName&gt;&lt;/author&gt;&lt;/authors&gt;&lt;/publication&gt;&lt;/publications&gt;&lt;cites&gt;&lt;/cites&gt;&lt;/citation&gt;</w:instrText>
      </w:r>
      <w:r w:rsidR="000514F0">
        <w:fldChar w:fldCharType="separate"/>
      </w:r>
      <w:r w:rsidR="000B3215">
        <w:rPr>
          <w:rFonts w:ascii="Cambria" w:hAnsi="Cambria" w:cs="Cambria"/>
        </w:rPr>
        <w:t>{Bhambhani:2011je}</w:t>
      </w:r>
      <w:r w:rsidR="000514F0">
        <w:fldChar w:fldCharType="end"/>
      </w:r>
      <w:r w:rsidR="000514F0">
        <w:t>.</w:t>
      </w:r>
    </w:p>
    <w:p w14:paraId="7C96ADAA" w14:textId="77777777" w:rsidR="008C46AF" w:rsidRDefault="008C46AF" w:rsidP="006A0C78">
      <w:pPr>
        <w:spacing w:line="480" w:lineRule="auto"/>
      </w:pPr>
    </w:p>
    <w:p w14:paraId="7DC1B77C" w14:textId="2575DF0F" w:rsidR="00A30785" w:rsidRDefault="008C46AF" w:rsidP="006A0C78">
      <w:pPr>
        <w:spacing w:line="480" w:lineRule="auto"/>
      </w:pPr>
      <w:r>
        <w:t xml:space="preserve">To identify primary targets of Groucho at each timepoint, we compared differential gene expression of every expressed gene under conditions of Groucho overexpression versus Groucho null. Genes which show an opposite magnitude change in expression under the two conditions were then considered for further analysis. </w:t>
      </w:r>
      <w:r w:rsidR="003E0380">
        <w:t>At early timepoints, a</w:t>
      </w:r>
      <w:r w:rsidR="00661362">
        <w:t xml:space="preserve"> greater percentage of genes appear to be repressed by Groucho than activated, with this trend reversing with increasing age.</w:t>
      </w:r>
      <w:r w:rsidR="008D6626">
        <w:t xml:space="preserve"> </w:t>
      </w:r>
      <w:r w:rsidR="000B41DA">
        <w:t>(</w:t>
      </w:r>
      <w:r w:rsidR="000B41DA">
        <w:rPr>
          <w:i/>
        </w:rPr>
        <w:t xml:space="preserve">Fig : heatmap of selected gene expression changes in Gro MB36 embryos) </w:t>
      </w:r>
      <w:r w:rsidR="008D6626">
        <w:t xml:space="preserve">The significantly enriched gene ontology groups for predicted Groucho-repressed genes (n = 162) contain several groups indicative of transcription regulation (GO:0006355, n = 37) and developmental processes (GO:0032502, n = 81). </w:t>
      </w:r>
      <w:r w:rsidR="000B41DA">
        <w:t>(</w:t>
      </w:r>
      <w:r w:rsidR="000B41DA">
        <w:rPr>
          <w:i/>
        </w:rPr>
        <w:t xml:space="preserve">Fig: GO groups) </w:t>
      </w:r>
      <w:r w:rsidR="008D6626">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rsidR="008D6626">
        <w:t xml:space="preserve"> and do not represent direct Groucho targets.</w:t>
      </w:r>
    </w:p>
    <w:p w14:paraId="275DF794" w14:textId="77777777" w:rsidR="0035211A" w:rsidRDefault="0035211A" w:rsidP="006A0C78">
      <w:pPr>
        <w:spacing w:line="480" w:lineRule="auto"/>
      </w:pPr>
    </w:p>
    <w:p w14:paraId="065CDE8E" w14:textId="5A797B85" w:rsidR="003F10ED" w:rsidRDefault="003F10ED" w:rsidP="006A0C78">
      <w:pPr>
        <w:spacing w:line="480" w:lineRule="auto"/>
        <w:rPr>
          <w:i/>
        </w:rPr>
      </w:pPr>
      <w:r>
        <w:rPr>
          <w:i/>
        </w:rPr>
        <w:lastRenderedPageBreak/>
        <w:t xml:space="preserve">Total mRNA levels correlate well with nascent mRNA levels at all timepoints </w:t>
      </w:r>
    </w:p>
    <w:p w14:paraId="33D294C6" w14:textId="77777777" w:rsidR="003F10ED" w:rsidRDefault="003F10ED" w:rsidP="006A0C78">
      <w:pPr>
        <w:spacing w:line="480" w:lineRule="auto"/>
      </w:pPr>
    </w:p>
    <w:p w14:paraId="5F2A32FD" w14:textId="7AE7E9EF" w:rsidR="00C923DA" w:rsidRDefault="00D11037" w:rsidP="00D11037">
      <w:pPr>
        <w:spacing w:line="480" w:lineRule="auto"/>
      </w:pPr>
      <w:r>
        <w:t>As embryos at the stages utilized for transcriptome measurements are highly dynamic systems, with rapidly fluctuating levels of transcripts, we used Nascent-seq to confirm that the transcriptome measurements were indicative of actual transcription rates, and not overwhelmed by the various contributions of maternal mRNA contribution or differential rates of mRNA maturation and degradation.</w:t>
      </w:r>
      <w:r w:rsidR="000D2F6D">
        <w:t xml:space="preserve"> Sequencing of nascent RNA has been utilized to monitor fluctuating mRNA levels, for example following induction of an immune response in cell culture</w:t>
      </w:r>
      <w:r w:rsidR="000D2F6D">
        <w:fldChar w:fldCharType="begin"/>
      </w:r>
      <w:r w:rsidR="002E08A6">
        <w:instrText xml:space="preserve"> ADDIN PAPERS2_CITATIONS &lt;citation&gt;&lt;uuid&gt;7EBFC5C3-DE85-463C-B9BA-8244EC6881C5&lt;/uuid&gt;&lt;priority&gt;2&lt;/priority&gt;&lt;publications&gt;&lt;publication&gt;&lt;uuid&gt;B8F69154-90C5-4A70-AC53-57371B41973E&lt;/uuid&gt;&lt;volume&gt;150&lt;/volume&gt;&lt;accepted_date&gt;99201205061200000000222000&lt;/accepted_date&gt;&lt;doi&gt;10.1016/j.cell.2012.05.043&lt;/doi&gt;&lt;startpage&gt;279&lt;/startpage&gt;&lt;revision_date&gt;99201203271200000000222000&lt;/revision_date&gt;&lt;publication_date&gt;99201207201200000000222000&lt;/publication_date&gt;&lt;url&gt;http://eutils.ncbi.nlm.nih.gov/entrez/eutils/elink.fcgi?dbfrom=pubmed&amp;amp;id=22817891&amp;amp;retmode=ref&amp;amp;cmd=prlinks&lt;/url&gt;&lt;type&gt;400&lt;/type&gt;&lt;title&gt;Transcript dynamics of proinflammatory genes revealed by sequence analysis of subcellular RNA fractions.&lt;/title&gt;&lt;location&gt;200,9,34.0685244,-118.4454774&lt;/location&gt;&lt;submission_date&gt;99201111211200000000222000&lt;/submission_date&gt;&lt;number&gt;2&lt;/number&gt;&lt;institution&gt;Department of Microbiology, Immunology, and Molecular Genetics, University of California, Los Angeles, Los Angeles, CA 90095, USA.&lt;/institution&gt;&lt;subtype&gt;400&lt;/subtype&gt;&lt;endpage&gt;290&lt;/endpage&gt;&lt;bundle&gt;&lt;publication&gt;&lt;publisher&gt;Elsevier Ltd&lt;/publisher&gt;&lt;url&gt;http://www.cell.com/&lt;/url&gt;&lt;title&gt;Cell&lt;/title&gt;&lt;type&gt;-100&lt;/type&gt;&lt;subtype&gt;-100&lt;/subtype&gt;&lt;uuid&gt;2C58968A-967D-4060-B7A6-C212EBF7833D&lt;/uuid&gt;&lt;/publication&gt;&lt;/bundle&gt;&lt;authors&gt;&lt;author&gt;&lt;firstName&gt;Dev. M&lt;/firstName&gt;&lt;lastName&gt;Bhatt&lt;/lastName&gt;&lt;/author&gt;&lt;author&gt;&lt;firstName&gt;Amy&lt;/firstName&gt;&lt;lastName&gt;Pandya-Jones&lt;/lastName&gt;&lt;/author&gt;&lt;author&gt;&lt;firstName&gt;Ann-Jay&lt;/firstName&gt;&lt;lastName&gt;Tong&lt;/lastName&gt;&lt;/author&gt;&lt;author&gt;&lt;firstName&gt;Iros&lt;/firstName&gt;&lt;lastName&gt;Barozzi&lt;/lastName&gt;&lt;/author&gt;&lt;author&gt;&lt;firstName&gt;Michelle&lt;/firstName&gt;&lt;middleNames&gt;M&lt;/middleNames&gt;&lt;lastName&gt;Lissner&lt;/lastName&gt;&lt;/author&gt;&lt;author&gt;&lt;firstName&gt;Gioacchino&lt;/firstName&gt;&lt;lastName&gt;Natoli&lt;/lastName&gt;&lt;/author&gt;&lt;author&gt;&lt;firstName&gt;Douglas&lt;/firstName&gt;&lt;middleNames&gt;L&lt;/middleNames&gt;&lt;lastName&gt;Black&lt;/lastName&gt;&lt;/author&gt;&lt;author&gt;&lt;firstName&gt;Stephen&lt;/firstName&gt;&lt;middleNames&gt;T&lt;/middleNames&gt;&lt;lastName&gt;Smale&lt;/lastName&gt;&lt;/author&gt;&lt;/authors&gt;&lt;/publication&gt;&lt;/publications&gt;&lt;cites&gt;&lt;/cites&gt;&lt;/citation&gt;</w:instrText>
      </w:r>
      <w:r w:rsidR="000D2F6D">
        <w:fldChar w:fldCharType="separate"/>
      </w:r>
      <w:r w:rsidR="000B3215">
        <w:rPr>
          <w:rFonts w:ascii="Cambria" w:hAnsi="Cambria" w:cs="Cambria"/>
        </w:rPr>
        <w:t>{Bhatt:2012cc}</w:t>
      </w:r>
      <w:r w:rsidR="000D2F6D">
        <w:fldChar w:fldCharType="end"/>
      </w:r>
      <w:r w:rsidR="000D2F6D">
        <w:t xml:space="preserve">. In </w:t>
      </w:r>
      <w:r w:rsidR="000D2F6D" w:rsidRPr="00327E1B">
        <w:rPr>
          <w:i/>
        </w:rPr>
        <w:t>Drosophila</w:t>
      </w:r>
      <w:r w:rsidR="000D2F6D">
        <w:t xml:space="preserve">, </w:t>
      </w:r>
      <w:r w:rsidR="00327E1B">
        <w:t>nascent-seq has been used to monitor cotranscriptional splicing in adult flies</w:t>
      </w:r>
      <w:r w:rsidR="00327E1B">
        <w:fldChar w:fldCharType="begin"/>
      </w:r>
      <w:r w:rsidR="002E08A6">
        <w:instrText xml:space="preserve"> ADDIN PAPERS2_CITATIONS &lt;citation&gt;&lt;uuid&gt;858EE3D6-5613-45E2-9168-A2DDFB81FE65&lt;/uuid&gt;&lt;priority&gt;3&lt;/priority&gt;&lt;publications&gt;&lt;publication&gt;&lt;volume&gt;25&lt;/volume&gt;&lt;publication_date&gt;99201112071200000000222000&lt;/publication_date&gt;&lt;number&gt;23&lt;/number&gt;&lt;doi&gt;10.1101/gad.178962.111&lt;/doi&gt;&lt;startpage&gt;2502&lt;/startpage&gt;&lt;title&gt;Nascent-seq indicates widespread cotranscriptional pre-mRNA splicing in Drosophila&lt;/title&gt;&lt;uuid&gt;E8C812DC-974C-4053-81B4-2689CA78E69C&lt;/uuid&gt;&lt;subtype&gt;400&lt;/subtype&gt;&lt;endpage&gt;2512&lt;/endpage&gt;&lt;type&gt;400&lt;/type&gt;&lt;url&gt;http://genesdev.cshlp.org/cgi/doi/10.1101/gad.178962.111&lt;/url&gt;&lt;bundle&gt;&lt;publication&gt;&lt;publisher&gt;Cold Spring Harbor Lab&lt;/publisher&gt;&lt;url&gt;http://genesdev.cshlp.org/&lt;/url&gt;&lt;title&gt;Genes &amp;amp; Development&lt;/title&gt;&lt;type&gt;-100&lt;/type&gt;&lt;subtype&gt;-100&lt;/subtype&gt;&lt;uuid&gt;A9888D55-887E-4506-93B5-3531F438A788&lt;/uuid&gt;&lt;/publication&gt;&lt;/bundle&gt;&lt;authors&gt;&lt;author&gt;&lt;firstName&gt;Y&lt;/firstName&gt;&lt;middleNames&gt;L&lt;/middleNames&gt;&lt;lastName&gt;Khodor&lt;/lastName&gt;&lt;/author&gt;&lt;author&gt;&lt;firstName&gt;J&lt;/firstName&gt;&lt;lastName&gt;Rodriguez&lt;/lastName&gt;&lt;/author&gt;&lt;author&gt;&lt;firstName&gt;K&lt;/firstName&gt;&lt;middleNames&gt;C&lt;/middleNames&gt;&lt;lastName&gt;Abruzzi&lt;/lastName&gt;&lt;/author&gt;&lt;author&gt;&lt;firstName&gt;C&lt;/firstName&gt;&lt;middleNames&gt;H A&lt;/middleNames&gt;&lt;lastName&gt;Tang&lt;/lastName&gt;&lt;/author&gt;&lt;author&gt;&lt;firstName&gt;M&lt;/firstName&gt;&lt;middleNames&gt;T&lt;/middleNames&gt;&lt;lastName&gt;Marr&lt;/lastName&gt;&lt;/author&gt;&lt;author&gt;&lt;firstName&gt;M&lt;/firstName&gt;&lt;lastName&gt;Rosbash&lt;/lastName&gt;&lt;/author&gt;&lt;/authors&gt;&lt;/publication&gt;&lt;/publications&gt;&lt;cites&gt;&lt;/cites&gt;&lt;/citation&gt;</w:instrText>
      </w:r>
      <w:r w:rsidR="00327E1B">
        <w:fldChar w:fldCharType="separate"/>
      </w:r>
      <w:r w:rsidR="000B3215">
        <w:rPr>
          <w:rFonts w:ascii="Cambria" w:hAnsi="Cambria" w:cs="Cambria"/>
        </w:rPr>
        <w:t>{Khodor:2011hp}</w:t>
      </w:r>
      <w:r w:rsidR="00327E1B">
        <w:fldChar w:fldCharType="end"/>
      </w:r>
      <w:r w:rsidR="00327E1B">
        <w:t>, as well as circadian transcript cycling</w:t>
      </w:r>
      <w:r w:rsidR="00327E1B">
        <w:fldChar w:fldCharType="begin"/>
      </w:r>
      <w:r w:rsidR="002E08A6">
        <w:instrText xml:space="preserve"> ADDIN PAPERS2_CITATIONS &lt;citation&gt;&lt;uuid&gt;F793282E-0237-429B-AAE8-437E754722D4&lt;/uuid&gt;&lt;priority&gt;4&lt;/priority&gt;&lt;publications&gt;&lt;publication&gt;&lt;uuid&gt;8CA8E9D6-FB0B-4618-B6E0-DBF14EE8FBDE&lt;/uuid&gt;&lt;volume&gt;110&lt;/volume&gt;&lt;doi&gt;10.1073/pnas.1219969110&lt;/doi&gt;&lt;startpage&gt;E275&lt;/startpage&gt;&lt;publication_date&gt;99201301221200000000222000&lt;/publication_date&gt;&lt;url&gt;http://eutils.ncbi.nlm.nih.gov/entrez/eutils/elink.fcgi?dbfrom=pubmed&amp;amp;id=23297234&amp;amp;retmode=ref&amp;amp;cmd=prlinks&lt;/url&gt;&lt;type&gt;400&lt;/type&gt;&lt;title&gt;Nascent-Seq analysis of Drosophila cycling gene expression.&lt;/title&gt;&lt;location&gt;&amp;lt;html&amp;gt;&amp;lt;head&amp;gt;&amp;lt;meta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href="http://www.google.com/support/bin/answer.py?answer=86640"&amp;gt;Google Help&amp;lt;/a&amp;gt; for more information.&amp;lt;br/&amp;gt;&amp;lt;br/&amp;gt;&amp;lt;/div&amp;gt;&amp;lt;div style="text-align: center; border-top: 1px solid #dfdfdf;"&amp;gt;&amp;amp;copy; 2009 Google - &amp;lt;a href="http://www.google.com"&amp;gt;Google Home&amp;lt;/a&amp;gt;&amp;lt;/div&amp;gt;&amp;lt;/body&amp;gt;&amp;lt;/html&amp;gt;&lt;/location&gt;&lt;institution&gt;Howard Hughes Medical Institute, Brandeis University, Waltham, MA 02451, USA.&lt;/institution&gt;&lt;number&gt;4&lt;/number&gt;&lt;subtype&gt;400&lt;/subtype&gt;&lt;endpage&gt;84&lt;/endpage&gt;&lt;bundle&gt;&lt;publication&gt;&lt;publisher&gt;National Acad Sciences&lt;/publisher&gt;&lt;url&gt;http://www.pnas.org/&lt;/url&gt;&lt;title&gt;Proceedings of the National Academy of Sciences&lt;/title&gt;&lt;type&gt;-100&lt;/type&gt;&lt;subtype&gt;-100&lt;/subtype&gt;&lt;uuid&gt;CB7CF2C0-0C66-4BFC-BA3B-B35BC9737E10&lt;/uuid&gt;&lt;/publication&gt;&lt;/bundle&gt;&lt;authors&gt;&lt;author&gt;&lt;firstName&gt;Joseph&lt;/firstName&gt;&lt;lastName&gt;Rodriguez&lt;/lastName&gt;&lt;/author&gt;&lt;author&gt;&lt;firstName&gt;Chih-Hang&lt;/firstName&gt;&lt;middleNames&gt;Anthony&lt;/middleNames&gt;&lt;lastName&gt;Tang&lt;/lastName&gt;&lt;/author&gt;&lt;author&gt;&lt;firstName&gt;Yevgenia&lt;/firstName&gt;&lt;middleNames&gt;L&lt;/middleNames&gt;&lt;lastName&gt;Khodor&lt;/lastName&gt;&lt;/author&gt;&lt;author&gt;&lt;firstName&gt;Sadanand&lt;/firstName&gt;&lt;lastName&gt;Vodala&lt;/lastName&gt;&lt;/author&gt;&lt;author&gt;&lt;firstName&gt;Jerome&lt;/firstName&gt;&lt;middleNames&gt;S&lt;/middleNames&gt;&lt;lastName&gt;Menet&lt;/lastName&gt;&lt;/author&gt;&lt;author&gt;&lt;firstName&gt;Michael&lt;/firstName&gt;&lt;lastName&gt;Rosbash&lt;/lastName&gt;&lt;/author&gt;&lt;/authors&gt;&lt;/publication&gt;&lt;/publications&gt;&lt;cites&gt;&lt;/cites&gt;&lt;/citation&gt;</w:instrText>
      </w:r>
      <w:r w:rsidR="00327E1B">
        <w:fldChar w:fldCharType="separate"/>
      </w:r>
      <w:r w:rsidR="000B3215">
        <w:rPr>
          <w:rFonts w:ascii="Cambria" w:hAnsi="Cambria" w:cs="Cambria"/>
        </w:rPr>
        <w:t>{Rodriguez:2013kq}</w:t>
      </w:r>
      <w:r w:rsidR="00327E1B">
        <w:fldChar w:fldCharType="end"/>
      </w:r>
      <w:r w:rsidR="00327E1B">
        <w:t>, in which the authors saw significant differences in total mRNA and nascent mRNA levels over ninety minute collections.</w:t>
      </w:r>
    </w:p>
    <w:p w14:paraId="379F767C" w14:textId="77777777" w:rsidR="00C923DA" w:rsidRDefault="00C923DA" w:rsidP="00C923DA">
      <w:pPr>
        <w:spacing w:line="480" w:lineRule="auto"/>
      </w:pPr>
    </w:p>
    <w:p w14:paraId="17D06021" w14:textId="280FB1ED" w:rsidR="00D11037" w:rsidRPr="00C923DA" w:rsidRDefault="000D2F6D" w:rsidP="00C923DA">
      <w:pPr>
        <w:spacing w:line="480" w:lineRule="auto"/>
      </w:pPr>
      <w:r w:rsidRPr="000D2F6D">
        <w:t>Embryos</w:t>
      </w:r>
      <w:r>
        <w:t xml:space="preserve"> were collected at </w:t>
      </w:r>
      <w:r w:rsidR="00C923DA">
        <w:t xml:space="preserve">each timepoint and fractionated </w:t>
      </w:r>
      <w:r>
        <w:t xml:space="preserve">to isolate chromatin-associated RNA, which is enriched for nascent transcripts. </w:t>
      </w:r>
      <w:r w:rsidR="00C923DA">
        <w:t xml:space="preserve"> Efficient fractionation was confirmed by immunobloting for cytoplasmic and nuclear components (</w:t>
      </w:r>
      <w:r w:rsidR="00C923DA">
        <w:rPr>
          <w:i/>
        </w:rPr>
        <w:t>Supplemental figure</w:t>
      </w:r>
      <w:r w:rsidR="00C923DA">
        <w:t xml:space="preserve">). </w:t>
      </w:r>
    </w:p>
    <w:p w14:paraId="02978A21" w14:textId="77777777" w:rsidR="00BE1E61" w:rsidRPr="00BE1E61" w:rsidRDefault="00BE1E61" w:rsidP="006A0C78">
      <w:pPr>
        <w:spacing w:line="480" w:lineRule="auto"/>
      </w:pPr>
    </w:p>
    <w:p w14:paraId="1137625E" w14:textId="615A503F" w:rsidR="00EF39B8" w:rsidRDefault="0020322A" w:rsidP="006A0C78">
      <w:pPr>
        <w:spacing w:line="480" w:lineRule="auto"/>
        <w:rPr>
          <w:i/>
        </w:rPr>
      </w:pPr>
      <w:r>
        <w:rPr>
          <w:i/>
        </w:rPr>
        <w:t xml:space="preserve">Groucho </w:t>
      </w:r>
      <w:r w:rsidR="00903FF8">
        <w:rPr>
          <w:i/>
        </w:rPr>
        <w:t>occupancy undergoes</w:t>
      </w:r>
      <w:r w:rsidR="00D007C0">
        <w:rPr>
          <w:i/>
        </w:rPr>
        <w:t xml:space="preserve"> extensive rearrangement during early timepoints</w:t>
      </w:r>
    </w:p>
    <w:p w14:paraId="5A825929" w14:textId="77777777" w:rsidR="00B60E91" w:rsidRDefault="00B60E91" w:rsidP="006A0C78">
      <w:pPr>
        <w:spacing w:line="480" w:lineRule="auto"/>
      </w:pPr>
    </w:p>
    <w:p w14:paraId="074B96D9" w14:textId="3FF836D6" w:rsidR="00D007C0" w:rsidRDefault="00B60E91" w:rsidP="006A0C78">
      <w:pPr>
        <w:spacing w:line="480" w:lineRule="auto"/>
      </w:pPr>
      <w:r>
        <w:t xml:space="preserve">ChIP-seq was performed in duplicate on fly embryos collected at three timepoints with a polyclonal Groucho antibody. Peak modeling identified widespread Groucho </w:t>
      </w:r>
      <w:r>
        <w:lastRenderedPageBreak/>
        <w:t xml:space="preserve">binding throughout the </w:t>
      </w:r>
      <w:r w:rsidR="000B41DA">
        <w:t>genome</w:t>
      </w:r>
      <w:r>
        <w:t>, and high biological reproducibility between replicates (Figure – Venn diagram showing peak overlap between replicates per timepoint, as well as overlap of peaks between timepoints). Groucho occupancy appeared highest at the middle timepoint (5246 non-overlapping binding sites) compared to the early (1358) and late (4232) stages. These represent 5829 unique binding sites, with 535 sites constitutively occupied.</w:t>
      </w:r>
    </w:p>
    <w:p w14:paraId="13BA0DFB" w14:textId="77777777" w:rsidR="005D0256" w:rsidRDefault="005D0256" w:rsidP="006A0C78">
      <w:pPr>
        <w:spacing w:line="480" w:lineRule="auto"/>
      </w:pPr>
    </w:p>
    <w:p w14:paraId="2F484A80" w14:textId="36667598" w:rsidR="00F17D84" w:rsidRDefault="005D0256" w:rsidP="006A0C78">
      <w:pPr>
        <w:spacing w:line="480" w:lineRule="auto"/>
        <w:rPr>
          <w:i/>
        </w:rPr>
      </w:pPr>
      <w:r>
        <w:rPr>
          <w:i/>
        </w:rPr>
        <w:t>Groucho recruitment sites exhibit large variability in width and distance from transcription start sites</w:t>
      </w:r>
    </w:p>
    <w:p w14:paraId="63B70DC7" w14:textId="77777777" w:rsidR="005D0256" w:rsidRDefault="005D0256" w:rsidP="006A0C78">
      <w:pPr>
        <w:spacing w:line="480" w:lineRule="auto"/>
        <w:rPr>
          <w:i/>
        </w:rPr>
      </w:pPr>
    </w:p>
    <w:p w14:paraId="7E0CF131" w14:textId="2C8DC76F" w:rsidR="00D3227B" w:rsidRDefault="00D3227B" w:rsidP="00F17D84">
      <w:pPr>
        <w:spacing w:line="480" w:lineRule="auto"/>
      </w:pPr>
      <w:r>
        <w:t xml:space="preserve">Groucho </w:t>
      </w:r>
      <w:r w:rsidR="00FA7B2A">
        <w:t>has traditionally been considered</w:t>
      </w:r>
      <w:r w:rsidR="00E55542">
        <w:t xml:space="preserve"> a long-range corepressor, capable of repressing genes several kilobases away from its </w:t>
      </w:r>
      <w:r w:rsidR="00FD1B41">
        <w:t>recruitment</w:t>
      </w:r>
      <w:r w:rsidR="00E55542">
        <w:t xml:space="preserve"> site</w:t>
      </w:r>
      <w:r w:rsidR="000B3215">
        <w:fldChar w:fldCharType="begin"/>
      </w:r>
      <w:r w:rsidR="000B3215">
        <w:instrText xml:space="preserve"> ADDIN PAPERS2_CITATIONS &lt;citation&gt;&lt;uuid&gt;FDBAB2B0-5605-4C4B-9683-93FAA60C5279&lt;/uuid&gt;&lt;priority&gt;5&lt;/priority&gt;&lt;publications&gt;&lt;publication&gt;&lt;uuid&gt;568AFC3A-D14D-4E91-ABF0-50E53D7C2AE2&lt;/uuid&gt;&lt;volume&gt;11&lt;/volume&gt;&lt;startpage&gt;2952&lt;/startpage&gt;&lt;publication_date&gt;99199711151200000000222000&lt;/publication_date&gt;&lt;url&gt;http://eutils.ncbi.nlm.nih.gov/entrez/eutils/elink.fcgi?dbfrom=pubmed&amp;amp;id=9367978&amp;amp;retmode=ref&amp;amp;cmd=prlinks&lt;/url&gt;&lt;type&gt;400&lt;/type&gt;&lt;title&gt;Conversion of dorsal from an activator to a repressor by the global corepressor Groucho.&lt;/title&gt;&lt;location&gt;&amp;lt;html&amp;gt;&amp;lt;head&amp;gt;&amp;lt;meta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Chemistry and Biochemistry, University of California at Los Angeles, Los Angeles, California 90095, USA.&lt;/institution&gt;&lt;number&gt;22&lt;/number&gt;&lt;subtype&gt;400&lt;/subtype&gt;&lt;endpage&gt;2957&lt;/endpage&gt;&lt;bundle&gt;&lt;publication&gt;&lt;publisher&gt;Cold Spring Harbor Lab&lt;/publisher&gt;&lt;url&gt;http://genesdev.cshlp.org/&lt;/url&gt;&lt;title&gt;Genes &amp;amp; Development&lt;/title&gt;&lt;type&gt;-100&lt;/type&gt;&lt;subtype&gt;-100&lt;/subtype&gt;&lt;uuid&gt;A9888D55-887E-4506-93B5-3531F438A788&lt;/uuid&gt;&lt;/publication&gt;&lt;/bundle&gt;&lt;authors&gt;&lt;author&gt;&lt;firstName&gt;T&lt;/firstName&gt;&lt;lastName&gt;Dubnicoff&lt;/lastName&gt;&lt;/author&gt;&lt;author&gt;&lt;firstName&gt;S&lt;/firstName&gt;&lt;middleNames&gt;A&lt;/middleNames&gt;&lt;lastName&gt;Valentine&lt;/lastName&gt;&lt;/author&gt;&lt;author&gt;&lt;firstName&gt;G&lt;/firstName&gt;&lt;lastName&gt;Chen&lt;/lastName&gt;&lt;/author&gt;&lt;author&gt;&lt;firstName&gt;T&lt;/firstName&gt;&lt;lastName&gt;Shi&lt;/lastName&gt;&lt;/author&gt;&lt;author&gt;&lt;firstName&gt;J&lt;/firstName&gt;&lt;middleNames&gt;A&lt;/middleNames&gt;&lt;lastName&gt;Lengyel&lt;/lastName&gt;&lt;/author&gt;&lt;author&gt;&lt;firstName&gt;Z&lt;/firstName&gt;&lt;lastName&gt;Paroush&lt;/lastName&gt;&lt;/author&gt;&lt;author&gt;&lt;firstName&gt;A&lt;/firstName&gt;&lt;middleNames&gt;J&lt;/middleNames&gt;&lt;lastName&gt;Courey&lt;/lastName&gt;&lt;/author&gt;&lt;/authors&gt;&lt;/publication&gt;&lt;publication&gt;&lt;uuid&gt;220CDD8D-CB14-42CC-832B-587AF79E99BF&lt;/uuid&gt;&lt;volume&gt;16&lt;/volume&gt;&lt;doi&gt;10.1093/emboj/16.10.2883&lt;/doi&gt;&lt;startpage&gt;2883&lt;/startpage&gt;&lt;publication_date&gt;99199705151200000000222000&lt;/publication_date&gt;&lt;url&gt;http://eutils.ncbi.nlm.nih.gov/entrez/eutils/elink.fcgi?dbfrom=pubmed&amp;amp;id=9184232&amp;amp;retmode=ref&amp;amp;cmd=prlinks&lt;/url&gt;&lt;type&gt;400&lt;/type&gt;&lt;title&gt;hairy mediates dominant repression in the Drosophila embryo.&lt;/title&gt;&lt;location&gt;&amp;lt;html&amp;gt;&amp;lt;head&amp;gt;&amp;lt;meta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Biology, Center for Molecular Genetics, University of California at San Diego, La Jolla 92093-0366, USA.&lt;/institution&gt;&lt;number&gt;10&lt;/number&gt;&lt;subtype&gt;400&lt;/subtype&gt;&lt;endpage&gt;2891&lt;/endpage&gt;&lt;bundle&gt;&lt;publication&gt;&lt;publisher&gt;Nature Publishing Group&lt;/publisher&gt;&lt;url&gt;http://www.nature.com/emboj/&lt;/url&gt;&lt;title&gt;The EMBO Journal&lt;/title&gt;&lt;type&gt;-100&lt;/type&gt;&lt;subtype&gt;-100&lt;/subtype&gt;&lt;uuid&gt;838DA89D-C445-45C6-9D90-1A8B8915018A&lt;/uuid&gt;&lt;/publication&gt;&lt;/bundle&gt;&lt;authors&gt;&lt;author&gt;&lt;firstName&gt;S&lt;/firstName&gt;&lt;lastName&gt;Barolo&lt;/lastName&gt;&lt;/author&gt;&lt;author&gt;&lt;firstName&gt;M&lt;/firstName&gt;&lt;lastName&gt;Levine&lt;/lastName&gt;&lt;/author&gt;&lt;/authors&gt;&lt;/publication&gt;&lt;/publications&gt;&lt;cites&gt;&lt;/cites&gt;&lt;/citation&gt;</w:instrText>
      </w:r>
      <w:r w:rsidR="000B3215">
        <w:fldChar w:fldCharType="separate"/>
      </w:r>
      <w:r w:rsidR="000B3215">
        <w:rPr>
          <w:rFonts w:ascii="Cambria" w:hAnsi="Cambria" w:cs="Cambria"/>
        </w:rPr>
        <w:t>{Dubnicoff:1997we, Barolo:1997bh}</w:t>
      </w:r>
      <w:r w:rsidR="000B3215">
        <w:fldChar w:fldCharType="end"/>
      </w:r>
      <w:r w:rsidR="0055323B">
        <w:t>, though it has also been shown to be capable of short-range repression through recruitment by additional transcription factors, such as knirps</w:t>
      </w:r>
      <w:r w:rsidR="0055323B">
        <w:fldChar w:fldCharType="begin"/>
      </w:r>
      <w:r w:rsidR="002E08A6">
        <w:instrText xml:space="preserve"> ADDIN PAPERS2_CITATIONS &lt;citation&gt;&lt;uuid&gt;0C513DD6-15EE-4FC8-997B-C1D6416C5730&lt;/uuid&gt;&lt;priority&gt;6&lt;/priority&gt;&lt;publications&gt;&lt;publication&gt;&lt;uuid&gt;D01A8224-DB5A-4F44-8092-A4EFA73B8607&lt;/uuid&gt;&lt;volume&gt;106&lt;/volume&gt;&lt;doi&gt;10.1073/pnas.0904507106&lt;/doi&gt;&lt;startpage&gt;17314&lt;/startpage&gt;&lt;publication_date&gt;99200910131200000000222000&lt;/publication_date&gt;&lt;url&gt;http://eutils.ncbi.nlm.nih.gov/entrez/eutils/elink.fcgi?dbfrom=pubmed&amp;amp;id=19805071&amp;amp;retmode=ref&amp;amp;cmd=prlinks&lt;/url&gt;&lt;type&gt;400&lt;/type&gt;&lt;title&gt;Groucho corepressor functions as a cofactor for the Knirps short-range transcriptional repressor.&lt;/title&gt;&lt;location&gt;200,9,42.7333678,-84.5557422&lt;/location&gt;&lt;institution&gt;Department of Biochemistry and Molecular Biology, Michigan State University, East Lansing, MI 48824, USA.&lt;/institution&gt;&lt;number&gt;41&lt;/number&gt;&lt;subtype&gt;400&lt;/subtype&gt;&lt;endpage&gt;17319&lt;/endpage&gt;&lt;bundle&gt;&lt;publication&gt;&lt;publisher&gt;National Acad Sciences&lt;/publisher&gt;&lt;url&gt;http://www.pnas.org/&lt;/url&gt;&lt;title&gt;Proceedings of the National Academy of Sciences&lt;/title&gt;&lt;type&gt;-100&lt;/type&gt;&lt;subtype&gt;-100&lt;/subtype&gt;&lt;uuid&gt;CB7CF2C0-0C66-4BFC-BA3B-B35BC9737E10&lt;/uuid&gt;&lt;/publication&gt;&lt;/bundle&gt;&lt;authors&gt;&lt;author&gt;&lt;firstName&gt;Sandhya&lt;/firstName&gt;&lt;lastName&gt;Payankaulam&lt;/lastName&gt;&lt;/author&gt;&lt;author&gt;&lt;firstName&gt;David&lt;/firstName&gt;&lt;middleNames&gt;N&lt;/middleNames&gt;&lt;lastName&gt;Arnosti&lt;/lastName&gt;&lt;/author&gt;&lt;/authors&gt;&lt;/publication&gt;&lt;/publications&gt;&lt;cites&gt;&lt;/cites&gt;&lt;/citation&gt;</w:instrText>
      </w:r>
      <w:r w:rsidR="0055323B">
        <w:fldChar w:fldCharType="separate"/>
      </w:r>
      <w:r w:rsidR="000B3215">
        <w:rPr>
          <w:rFonts w:ascii="Cambria" w:hAnsi="Cambria" w:cs="Cambria"/>
        </w:rPr>
        <w:t>{Payankaulam:2009kn}</w:t>
      </w:r>
      <w:r w:rsidR="0055323B">
        <w:fldChar w:fldCharType="end"/>
      </w:r>
      <w:r w:rsidR="0055323B">
        <w:t>. More recent</w:t>
      </w:r>
      <w:r w:rsidR="008B77F7">
        <w:t>ly,</w:t>
      </w:r>
      <w:r w:rsidR="0055323B">
        <w:t xml:space="preserve"> ChIP-seq data obtained for Groucho binding in S2 and Kc167 cells</w:t>
      </w:r>
      <w:r w:rsidR="00E31AE1">
        <w:t xml:space="preserve"> showed</w:t>
      </w:r>
      <w:r w:rsidR="008B77F7">
        <w:t xml:space="preserve"> that a significant fraction of Groucho binding sites </w:t>
      </w:r>
      <w:r w:rsidR="00E31AE1">
        <w:t>overlap transcription start sites (25% and 40% of sites, respectively). ChIP-seq in early embryos exhibits a shifted distribution of Groucho binding (</w:t>
      </w:r>
      <w:r w:rsidR="00E31AE1" w:rsidRPr="00FA7B2A">
        <w:rPr>
          <w:i/>
        </w:rPr>
        <w:t xml:space="preserve">Fig. </w:t>
      </w:r>
      <w:r w:rsidR="00FA7B2A">
        <w:rPr>
          <w:i/>
        </w:rPr>
        <w:t>bar chart of binding site occupancy relative to genes and density graph around TSS</w:t>
      </w:r>
      <w:r w:rsidR="00E31AE1">
        <w:t xml:space="preserve">), with at most 8% of Groucho binding sites overlapping TSS regions. Our data suggests Groucho </w:t>
      </w:r>
      <w:r w:rsidR="00BE1E61">
        <w:t>exhibits</w:t>
      </w:r>
      <w:r w:rsidR="00E31AE1">
        <w:t xml:space="preserve"> higher fractional occupancy of intergenic regions in embryos, with a smaller percentage of Groucho binding inside gene bodies</w:t>
      </w:r>
      <w:r w:rsidR="00C4614F">
        <w:t xml:space="preserve"> than in the two cell lines studied.</w:t>
      </w:r>
      <w:r w:rsidR="00FA7B2A">
        <w:t xml:space="preserve"> This differency in site occupancy </w:t>
      </w:r>
      <w:r w:rsidR="00FA7B2A">
        <w:lastRenderedPageBreak/>
        <w:t xml:space="preserve">could be explained by the different developmental contexts of the embryos and cell lines studied. The two cell lines studied are derived from later embryonic stages (stages 16-17 for S2, and stages 13-15 for Kc167). </w:t>
      </w:r>
      <w:r w:rsidR="00FC7328">
        <w:t>Our ChIP-seq data represents an amalgamation of numerous cell types, each potentially expressing a subset of Groucho-recruting factors. This may explain the discrepancy in TSS binding, as more numerous and diverse repressor presence in the early embryo compared to single cell types would result in more distributed Groucho binding.</w:t>
      </w:r>
    </w:p>
    <w:p w14:paraId="6358ED1A" w14:textId="77777777" w:rsidR="00903FF8" w:rsidRDefault="00903FF8" w:rsidP="006A0C78">
      <w:pPr>
        <w:spacing w:line="480" w:lineRule="auto"/>
        <w:rPr>
          <w:i/>
        </w:rPr>
      </w:pPr>
    </w:p>
    <w:p w14:paraId="3E664FDE" w14:textId="72A8F409" w:rsidR="00683D3D" w:rsidRDefault="00683D3D" w:rsidP="006A0C78">
      <w:pPr>
        <w:spacing w:line="480" w:lineRule="auto"/>
        <w:rPr>
          <w:i/>
        </w:rPr>
      </w:pPr>
      <w:r>
        <w:rPr>
          <w:i/>
        </w:rPr>
        <w:t>Groucho-regulated genes are enriched for stalled RNA polymerase</w:t>
      </w:r>
    </w:p>
    <w:p w14:paraId="0EE7EE2D" w14:textId="77777777" w:rsidR="00683D3D" w:rsidRDefault="00683D3D" w:rsidP="006A0C78">
      <w:pPr>
        <w:spacing w:line="480" w:lineRule="auto"/>
        <w:rPr>
          <w:i/>
        </w:rPr>
      </w:pPr>
    </w:p>
    <w:p w14:paraId="1AE4084D" w14:textId="6EAD1522" w:rsidR="00866555" w:rsidRDefault="009B74B7" w:rsidP="006A0C78">
      <w:pPr>
        <w:spacing w:line="480" w:lineRule="auto"/>
      </w:pPr>
      <w:r>
        <w:t xml:space="preserve">Promotor-proximal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DE77EE">
        <w:fldChar w:fldCharType="begin"/>
      </w:r>
      <w:r w:rsidR="002E08A6">
        <w:instrText xml:space="preserve"> ADDIN PAPERS2_CITATIONS &lt;citation&gt;&lt;uuid&gt;C7533AC0-E7A1-47C0-8E8F-15A239457E24&lt;/uuid&gt;&lt;priority&gt;7&lt;/priority&gt;&lt;publications&gt;&lt;publication&gt;&lt;uuid&gt;091660EF-AEBF-4661-9194-6844A38D9331&lt;/uuid&gt;&lt;volume&gt;74&lt;/volume&gt;&lt;startpage&gt;1&lt;/startpage&gt;&lt;publication_date&gt;99199307161200000000222000&lt;/publication_date&gt;&lt;url&gt;http://eutils.ncbi.nlm.nih.gov/entrez/eutils/elink.fcgi?dbfrom=pubmed&amp;amp;id=8334697&amp;amp;retmode=ref&amp;amp;cmd=prlinks&lt;/url&gt;&lt;type&gt;400&lt;/type&gt;&lt;title&gt;Protein traffic on the heat shock promoter: parking, stalling, and trucking along.&lt;/title&gt;&lt;location&gt;&amp;lt;html&amp;gt;&amp;lt;head&amp;gt;&amp;lt;meta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Home&amp;lt;/a&amp;gt;&amp;lt;/div&amp;gt;&amp;lt;/body&amp;gt;&amp;lt;/html&amp;gt;&lt;/location&gt;&lt;institution&gt;Section of Biochemistry, Molecular and Cell Biology, Cornell University, Ithaca, New York 14850.&lt;/institution&gt;&lt;number&gt;1&lt;/number&gt;&lt;subtype&gt;400&lt;/subtype&gt;&lt;endpage&gt;4&lt;/endpage&gt;&lt;bundle&gt;&lt;publication&gt;&lt;publisher&gt;Elsevier Ltd&lt;/publisher&gt;&lt;url&gt;http://www.cell.com/&lt;/url&gt;&lt;title&gt;Cell&lt;/title&gt;&lt;type&gt;-100&lt;/type&gt;&lt;subtype&gt;-100&lt;/subtype&gt;&lt;uuid&gt;2C58968A-967D-4060-B7A6-C212EBF7833D&lt;/uuid&gt;&lt;/publication&gt;&lt;/bundle&gt;&lt;authors&gt;&lt;author&gt;&lt;firstName&gt;J&lt;/firstName&gt;&lt;lastName&gt;Lis&lt;/lastName&gt;&lt;/author&gt;&lt;author&gt;&lt;firstName&gt;C&lt;/firstName&gt;&lt;lastName&gt;Wu&lt;/lastName&gt;&lt;/author&gt;&lt;/authors&gt;&lt;/publication&gt;&lt;/publications&gt;&lt;cites&gt;&lt;/cites&gt;&lt;/citation&gt;</w:instrText>
      </w:r>
      <w:r w:rsidR="00DE77EE">
        <w:fldChar w:fldCharType="separate"/>
      </w:r>
      <w:r w:rsidR="000B3215">
        <w:rPr>
          <w:rFonts w:ascii="Cambria" w:hAnsi="Cambria" w:cs="Cambria"/>
        </w:rPr>
        <w:t>{Lis:1993uk}</w:t>
      </w:r>
      <w:r w:rsidR="00DE77EE">
        <w:fldChar w:fldCharType="end"/>
      </w:r>
      <w:r>
        <w:t xml:space="preserve">. Since this discovery, polymerase stalling has been found to be a </w:t>
      </w:r>
      <w:r w:rsidR="00DE77EE">
        <w:t>ubiquitous</w:t>
      </w:r>
      <w:r>
        <w:t xml:space="preserve"> regulatory </w:t>
      </w:r>
      <w:r w:rsidR="00DE77EE">
        <w:t>mechanism</w:t>
      </w:r>
      <w:r w:rsidR="00DE77EE">
        <w:fldChar w:fldCharType="begin"/>
      </w:r>
      <w:r w:rsidR="000B3215">
        <w:instrText xml:space="preserve"> ADDIN PAPERS2_CITATIONS &lt;citation&gt;&lt;uuid&gt;207D0BB6-B7A4-4CB1-B1F5-4BD343F05E0A&lt;/uuid&gt;&lt;priority&gt;8&lt;/priority&gt;&lt;publications&gt;&lt;publication&gt;&lt;uuid&gt;9DA7D2F0-FC69-4CEA-BBBD-441FAAB2091E&lt;/uuid&gt;&lt;volume&gt;25&lt;/volume&gt;&lt;startpage&gt;375&lt;/startpage&gt;&lt;publication_date&gt;99200008001200000000220000&lt;/publication_date&gt;&lt;url&gt;http://eutils.ncbi.nlm.nih.gov/entrez/eutils/elink.fcgi?dbfrom=pubmed&amp;amp;id=10916156&amp;amp;retmode=ref&amp;amp;cmd=prlinks&lt;/url&gt;&lt;type&gt;400&lt;/type&gt;&lt;title&gt;Control of elongation by RNA polymerase II.&lt;/title&gt;&lt;location&gt;&amp;lt;html&amp;gt;&amp;lt;head&amp;gt;&amp;lt;meta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Home&amp;lt;/a&amp;gt;&amp;lt;/div&amp;gt;&amp;lt;/body&amp;gt;&amp;lt;/html&amp;gt;&lt;/location&gt;&lt;institution&gt;Program in Molecular and Cell Biology, Oklahoma Medical Research Foundation, Oklahoma City, OK 73104, USA. conawayj@omrf.ouhsc.edu&lt;/institution&gt;&lt;number&gt;8&lt;/number&gt;&lt;subtype&gt;400&lt;/subtype&gt;&lt;endpage&gt;380&lt;/endpage&gt;&lt;bundle&gt;&lt;publication&gt;&lt;title&gt;Trends in biochemical sciences&lt;/title&gt;&lt;type&gt;-100&lt;/type&gt;&lt;subtype&gt;-100&lt;/subtype&gt;&lt;uuid&gt;349135EF-DD92-4CFF-97A2-570E99860049&lt;/uuid&gt;&lt;/publication&gt;&lt;/bundle&gt;&lt;authors&gt;&lt;author&gt;&lt;firstName&gt;J&lt;/firstName&gt;&lt;middleNames&gt;W&lt;/middleNames&gt;&lt;lastName&gt;Conaway&lt;/lastName&gt;&lt;/author&gt;&lt;author&gt;&lt;firstName&gt;A&lt;/firstName&gt;&lt;lastName&gt;Shilatifard&lt;/lastName&gt;&lt;/author&gt;&lt;author&gt;&lt;firstName&gt;A&lt;/firstName&gt;&lt;lastName&gt;Dvir&lt;/lastName&gt;&lt;/author&gt;&lt;author&gt;&lt;firstName&gt;R&lt;/firstName&gt;&lt;middleNames&gt;C&lt;/middleNames&gt;&lt;lastName&gt;Conaway&lt;/lastName&gt;&lt;/author&gt;&lt;/authors&gt;&lt;/publication&gt;&lt;/publications&gt;&lt;cites&gt;&lt;/cites&gt;&lt;/citation&gt;</w:instrText>
      </w:r>
      <w:r w:rsidR="00DE77EE">
        <w:fldChar w:fldCharType="separate"/>
      </w:r>
      <w:r w:rsidR="000B3215">
        <w:rPr>
          <w:rFonts w:ascii="Cambria" w:hAnsi="Cambria" w:cs="Cambria"/>
        </w:rPr>
        <w:t>{Conaway:2000un}</w:t>
      </w:r>
      <w:r w:rsidR="00DE77EE">
        <w:fldChar w:fldCharType="end"/>
      </w:r>
      <w:r>
        <w:t xml:space="preserve">, with strong peaks of PolII present in the promoter regions of a diverse array of genes throughout the </w:t>
      </w:r>
      <w:r>
        <w:rPr>
          <w:i/>
        </w:rPr>
        <w:t>Droosphila</w:t>
      </w:r>
      <w:r w:rsidR="00B570B8">
        <w:t xml:space="preserve"> </w:t>
      </w:r>
      <w:r>
        <w:t>genome.</w:t>
      </w:r>
      <w:r w:rsidR="00866555">
        <w:t xml:space="preserve"> </w:t>
      </w:r>
    </w:p>
    <w:p w14:paraId="7F5ECB3C" w14:textId="77777777" w:rsidR="00866555" w:rsidRDefault="00866555" w:rsidP="006A0C78">
      <w:pPr>
        <w:spacing w:line="480" w:lineRule="auto"/>
      </w:pPr>
    </w:p>
    <w:p w14:paraId="770FE57D" w14:textId="2E765605" w:rsidR="00683D3D" w:rsidRPr="00AB3610" w:rsidRDefault="00866555" w:rsidP="006A0C78">
      <w:pPr>
        <w:spacing w:line="480" w:lineRule="auto"/>
      </w:pPr>
      <w:r>
        <w:t xml:space="preserve">To explore whether Groucho regulation potentially promotes the stalling of polymerase, we undertook to compare Groucho-regulated genes with publically available genome-wide </w:t>
      </w:r>
      <w:r w:rsidR="005A72DA">
        <w:t xml:space="preserve">PolII localization data. In this data set, the authors classified each gene into one of several states including the lack of detected PolII, active (elongation phase) PolII, or stalled PolII. Comparing genes </w:t>
      </w:r>
      <w:r w:rsidR="000B3215">
        <w:t xml:space="preserve">exhibiting change in </w:t>
      </w:r>
      <w:r w:rsidR="000B3215">
        <w:lastRenderedPageBreak/>
        <w:t>expression levels under Groucho loss-of-function conditions</w:t>
      </w:r>
      <w:r w:rsidR="005A72DA">
        <w:t xml:space="preserve">, we see a strong correlation between </w:t>
      </w:r>
      <w:r w:rsidR="000B3215">
        <w:t xml:space="preserve">genes repressed by Groucho and PolII pausing </w:t>
      </w:r>
      <w:r w:rsidR="00AB3610">
        <w:t xml:space="preserve">( 179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 xml:space="preserve">&gt; 0.05). Conversely, genes activated by Groucho are enriched for active PolII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repression.</w:t>
      </w:r>
      <w:bookmarkStart w:id="0" w:name="_GoBack"/>
      <w:bookmarkEnd w:id="0"/>
    </w:p>
    <w:p w14:paraId="37E3EF76" w14:textId="77777777" w:rsidR="00683D3D" w:rsidRDefault="00683D3D" w:rsidP="006A0C78">
      <w:pPr>
        <w:spacing w:line="480" w:lineRule="auto"/>
        <w:rPr>
          <w:i/>
        </w:rPr>
      </w:pPr>
    </w:p>
    <w:p w14:paraId="328ABCAD" w14:textId="4FB8C131" w:rsidR="0020322A" w:rsidRDefault="00D007C0" w:rsidP="006A0C78">
      <w:pPr>
        <w:spacing w:line="480" w:lineRule="auto"/>
        <w:rPr>
          <w:i/>
        </w:rPr>
      </w:pPr>
      <w:r>
        <w:rPr>
          <w:i/>
        </w:rPr>
        <w:t xml:space="preserve">Groucho </w:t>
      </w:r>
      <w:r w:rsidR="00B77326">
        <w:rPr>
          <w:i/>
        </w:rPr>
        <w:t>&amp; Capicua</w:t>
      </w:r>
    </w:p>
    <w:p w14:paraId="100CBDB9" w14:textId="77777777" w:rsidR="00230A55" w:rsidRPr="00230A55" w:rsidRDefault="00230A55" w:rsidP="006A0C78">
      <w:pPr>
        <w:spacing w:line="480" w:lineRule="auto"/>
      </w:pPr>
    </w:p>
    <w:p w14:paraId="53D72052" w14:textId="77777777" w:rsidR="00230A55" w:rsidRDefault="00230A55" w:rsidP="006A0C78">
      <w:pPr>
        <w:spacing w:line="480" w:lineRule="auto"/>
        <w:rPr>
          <w:i/>
        </w:rPr>
      </w:pPr>
    </w:p>
    <w:p w14:paraId="7EFFD9E1" w14:textId="77777777" w:rsidR="00230A55" w:rsidRDefault="00230A55" w:rsidP="006A0C78">
      <w:pPr>
        <w:spacing w:line="480" w:lineRule="auto"/>
      </w:pPr>
    </w:p>
    <w:p w14:paraId="7DD84E43" w14:textId="6E3F5BE5" w:rsidR="007B1C60" w:rsidRPr="007B1C60" w:rsidRDefault="007B1C60" w:rsidP="006A0C78">
      <w:pPr>
        <w:spacing w:line="480" w:lineRule="auto"/>
        <w:rPr>
          <w:i/>
        </w:rPr>
      </w:pPr>
      <w:r>
        <w:rPr>
          <w:i/>
        </w:rPr>
        <w:t>Groucho &amp; Zelda</w:t>
      </w:r>
    </w:p>
    <w:p w14:paraId="0F75008F" w14:textId="77777777" w:rsidR="0020322A" w:rsidRPr="0020322A" w:rsidRDefault="0020322A" w:rsidP="006A0C78">
      <w:pPr>
        <w:spacing w:line="480" w:lineRule="auto"/>
      </w:pPr>
    </w:p>
    <w:p w14:paraId="14C578E8" w14:textId="77777777" w:rsidR="00EF39B8" w:rsidRDefault="00EF39B8" w:rsidP="006A0C78">
      <w:pPr>
        <w:spacing w:line="480" w:lineRule="auto"/>
      </w:pPr>
    </w:p>
    <w:p w14:paraId="6D7E77E7" w14:textId="0D9041D6" w:rsidR="000B3215" w:rsidRDefault="000B3215">
      <w:bookmarkStart w:id="1" w:name="revised-results-section"/>
      <w:bookmarkEnd w:id="1"/>
      <w:r>
        <w:br w:type="page"/>
      </w:r>
    </w:p>
    <w:p w14:paraId="387BDACC" w14:textId="77777777" w:rsidR="000B3215" w:rsidRDefault="000B3215" w:rsidP="000B3215"/>
    <w:p w14:paraId="5BD83BA3" w14:textId="77777777" w:rsidR="000B3215" w:rsidRDefault="000B3215" w:rsidP="000B3215"/>
    <w:p w14:paraId="723A5494" w14:textId="291A127C" w:rsidR="00A457EE" w:rsidRPr="000B3215" w:rsidRDefault="000B3215" w:rsidP="000B3215">
      <w:pPr>
        <w:widowControl w:val="0"/>
        <w:tabs>
          <w:tab w:val="left" w:pos="640"/>
        </w:tabs>
        <w:autoSpaceDE w:val="0"/>
        <w:autoSpaceDN w:val="0"/>
        <w:adjustRightInd w:val="0"/>
        <w:ind w:left="640" w:hanging="640"/>
      </w:pPr>
      <w:r>
        <w:fldChar w:fldCharType="begin"/>
      </w:r>
      <w:r>
        <w:instrText xml:space="preserve"> ADDIN PAPERS2_CITATIONS &lt;papers2_bibliography/&gt;</w:instrText>
      </w:r>
      <w:r>
        <w:fldChar w:fldCharType="separate"/>
      </w:r>
      <w:r>
        <w:rPr>
          <w:rFonts w:ascii="Cambria" w:hAnsi="Cambria" w:cs="Cambria"/>
        </w:rPr>
        <w:t>{papers2_bibliography}</w:t>
      </w:r>
      <w:r>
        <w:fldChar w:fldCharType="end"/>
      </w:r>
    </w:p>
    <w:sectPr w:rsidR="00A457EE" w:rsidRPr="000B3215" w:rsidSect="00645F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2C0"/>
    <w:rsid w:val="000451FA"/>
    <w:rsid w:val="000514F0"/>
    <w:rsid w:val="000633C8"/>
    <w:rsid w:val="000B3215"/>
    <w:rsid w:val="000B41DA"/>
    <w:rsid w:val="000D2F6D"/>
    <w:rsid w:val="000F4492"/>
    <w:rsid w:val="001A137F"/>
    <w:rsid w:val="001E0562"/>
    <w:rsid w:val="001F41CC"/>
    <w:rsid w:val="0020322A"/>
    <w:rsid w:val="00230A55"/>
    <w:rsid w:val="002B5B8B"/>
    <w:rsid w:val="002E08A6"/>
    <w:rsid w:val="00327E1B"/>
    <w:rsid w:val="0035211A"/>
    <w:rsid w:val="0035579F"/>
    <w:rsid w:val="003E0380"/>
    <w:rsid w:val="003F10ED"/>
    <w:rsid w:val="00407EF6"/>
    <w:rsid w:val="00420B5B"/>
    <w:rsid w:val="004314D5"/>
    <w:rsid w:val="004643B0"/>
    <w:rsid w:val="00495D91"/>
    <w:rsid w:val="004C62C0"/>
    <w:rsid w:val="004F0AF3"/>
    <w:rsid w:val="0055323B"/>
    <w:rsid w:val="00555693"/>
    <w:rsid w:val="005774BE"/>
    <w:rsid w:val="005A72DA"/>
    <w:rsid w:val="005D0256"/>
    <w:rsid w:val="005D1B49"/>
    <w:rsid w:val="0064453B"/>
    <w:rsid w:val="00645F6F"/>
    <w:rsid w:val="00661362"/>
    <w:rsid w:val="00683D3D"/>
    <w:rsid w:val="006A0C78"/>
    <w:rsid w:val="006E56FE"/>
    <w:rsid w:val="006F619C"/>
    <w:rsid w:val="0073152C"/>
    <w:rsid w:val="00742D23"/>
    <w:rsid w:val="00743AF1"/>
    <w:rsid w:val="0077458B"/>
    <w:rsid w:val="00781A3B"/>
    <w:rsid w:val="007A01F5"/>
    <w:rsid w:val="007B1C60"/>
    <w:rsid w:val="007C33E3"/>
    <w:rsid w:val="00844F7B"/>
    <w:rsid w:val="00866555"/>
    <w:rsid w:val="008A2834"/>
    <w:rsid w:val="008B77F7"/>
    <w:rsid w:val="008C46AF"/>
    <w:rsid w:val="008D6626"/>
    <w:rsid w:val="008F7C1E"/>
    <w:rsid w:val="00903FF8"/>
    <w:rsid w:val="00957C1F"/>
    <w:rsid w:val="009B74B7"/>
    <w:rsid w:val="009D5C49"/>
    <w:rsid w:val="00A30785"/>
    <w:rsid w:val="00A4351E"/>
    <w:rsid w:val="00A457EE"/>
    <w:rsid w:val="00A51973"/>
    <w:rsid w:val="00A63CBC"/>
    <w:rsid w:val="00AB3610"/>
    <w:rsid w:val="00B570B8"/>
    <w:rsid w:val="00B60E91"/>
    <w:rsid w:val="00B77326"/>
    <w:rsid w:val="00BE1E61"/>
    <w:rsid w:val="00C316C2"/>
    <w:rsid w:val="00C4614F"/>
    <w:rsid w:val="00C923DA"/>
    <w:rsid w:val="00D007C0"/>
    <w:rsid w:val="00D11037"/>
    <w:rsid w:val="00D3227B"/>
    <w:rsid w:val="00D74350"/>
    <w:rsid w:val="00D8676F"/>
    <w:rsid w:val="00DE77EE"/>
    <w:rsid w:val="00E30565"/>
    <w:rsid w:val="00E31AE1"/>
    <w:rsid w:val="00E3439D"/>
    <w:rsid w:val="00E40A04"/>
    <w:rsid w:val="00E55542"/>
    <w:rsid w:val="00E67908"/>
    <w:rsid w:val="00E86375"/>
    <w:rsid w:val="00ED2BD5"/>
    <w:rsid w:val="00EF39B8"/>
    <w:rsid w:val="00EF6429"/>
    <w:rsid w:val="00F17D84"/>
    <w:rsid w:val="00FA7B2A"/>
    <w:rsid w:val="00FC4361"/>
    <w:rsid w:val="00FC7328"/>
    <w:rsid w:val="00FD1B41"/>
    <w:rsid w:val="00FD6185"/>
    <w:rsid w:val="00FE037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51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6635</TotalTime>
  <Pages>7</Pages>
  <Words>4607</Words>
  <Characters>26265</Characters>
  <Application>Microsoft Macintosh Word</Application>
  <DocSecurity>0</DocSecurity>
  <Lines>218</Lines>
  <Paragraphs>61</Paragraphs>
  <ScaleCrop>false</ScaleCrop>
  <Company>UCLA</Company>
  <LinksUpToDate>false</LinksUpToDate>
  <CharactersWithSpaces>30811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47</cp:revision>
  <cp:lastPrinted>2015-04-27T23:56:00Z</cp:lastPrinted>
  <dcterms:created xsi:type="dcterms:W3CDTF">2015-03-13T22:13:00Z</dcterms:created>
  <dcterms:modified xsi:type="dcterms:W3CDTF">2015-05-27T00:28:00Z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