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AC7F3" w14:textId="77777777" w:rsidR="008D2822" w:rsidRPr="008D2822" w:rsidRDefault="008D2822" w:rsidP="008D2822">
      <w:pPr>
        <w:pStyle w:val="Ttulo1"/>
        <w:rPr>
          <w:rFonts w:ascii="Arial" w:hAnsi="Arial" w:cs="Arial"/>
          <w:b/>
          <w:bCs/>
          <w:color w:val="000000" w:themeColor="text1"/>
        </w:rPr>
      </w:pPr>
      <w:r w:rsidRPr="008D2822">
        <w:rPr>
          <w:rFonts w:ascii="Arial" w:hAnsi="Arial" w:cs="Arial"/>
          <w:b/>
          <w:bCs/>
          <w:color w:val="000000" w:themeColor="text1"/>
        </w:rPr>
        <w:t>ATIVIDADE - VALIDANDO A SOLUÇÃO (STARTUP ONE)</w:t>
      </w:r>
    </w:p>
    <w:p>
      <w:pPr>
        <w:spacing w:after="40" w:before="0"/>
        <w:ind w:left="0"/>
        <w:jc w:val="center"/>
      </w:pPr>
      <w:r>
        <w:rPr>
          <w:rFonts w:ascii="Calibri" w:hAnsi="Calibri"/>
          <w:b/>
          <w:i w:val="0"/>
          <w:sz w:val="24"/>
        </w:rPr>
        <w:t>Projeto: EcoTracker – Monitoramento de Pegada de Carbono e Qualidade do Ar</w:t>
      </w:r>
    </w:p>
    <w:p>
      <w:pPr>
        <w:spacing w:after="280" w:before="0"/>
        <w:ind w:left="0"/>
        <w:jc w:val="center"/>
      </w:pPr>
      <w:r>
        <w:rPr>
          <w:rFonts w:ascii="Calibri" w:hAnsi="Calibri"/>
          <w:b w:val="0"/>
          <w:i/>
          <w:sz w:val="20"/>
        </w:rPr>
        <w:t>Fase 05 – Startup One | Etapa: Validando a Solução (experimento com MVP)</w:t>
      </w:r>
    </w:p>
    <w:p>
      <w:pPr>
        <w:spacing w:after="120" w:before="0"/>
        <w:ind w:left="0"/>
      </w:pPr>
      <w:r>
        <w:rPr>
          <w:rFonts w:ascii="Calibri" w:hAnsi="Calibri"/>
          <w:b/>
          <w:i w:val="0"/>
          <w:sz w:val="22"/>
        </w:rPr>
        <w:t>1. Em uma linha, descreva seu projeto de startup incluindo o problema e a solução:</w:t>
      </w:r>
    </w:p>
    <w:p>
      <w:pPr>
        <w:spacing w:after="320"/>
        <w:ind w:left="0"/>
        <w:jc w:val="both"/>
      </w:pPr>
      <w:r>
        <w:rPr>
          <w:rFonts w:ascii="Calibri" w:hAnsi="Calibri"/>
          <w:b/>
          <w:sz w:val="22"/>
        </w:rPr>
        <w:t xml:space="preserve">EcoTracker: </w:t>
      </w:r>
      <w:r>
        <w:rPr>
          <w:rFonts w:ascii="Calibri" w:hAnsi="Calibri"/>
          <w:b w:val="0"/>
          <w:sz w:val="22"/>
        </w:rPr>
        <w:t>73% das pessoas nunca calcularam sua pegada de carbono e 61% nunca verificam a qualidade do ar que respiram — nossa solução é um aplicativo móvel, apoiado por uma API de dados ambientais, que mede em tempo real a pegada de carbono e a qualidade do ar do usuário e traduz esses números em dicas práticas e metas gamificadas de redução.</w:t>
      </w:r>
    </w:p>
    <w:p>
      <w:pPr>
        <w:spacing w:after="160" w:before="0"/>
        <w:ind w:left="0"/>
      </w:pPr>
      <w:r>
        <w:rPr>
          <w:rFonts w:ascii="Calibri" w:hAnsi="Calibri"/>
          <w:b/>
          <w:i w:val="0"/>
          <w:sz w:val="22"/>
        </w:rPr>
        <w:t>2. Documente as evidências e aprendizados do experimento com seu MVP.</w:t>
      </w:r>
    </w:p>
    <w:p>
      <w:pPr>
        <w:spacing w:after="80" w:before="240"/>
        <w:ind w:left="0"/>
      </w:pPr>
      <w:r>
        <w:rPr>
          <w:rFonts w:ascii="Calibri" w:hAnsi="Calibri"/>
          <w:b/>
          <w:i w:val="0"/>
          <w:color w:val="1B5E20"/>
          <w:sz w:val="26"/>
        </w:rPr>
        <w:t>2.1 O MVP construído e testado</w:t>
      </w:r>
    </w:p>
    <w:p>
      <w:pPr>
        <w:spacing w:after="120"/>
        <w:ind w:left="0"/>
        <w:jc w:val="both"/>
      </w:pPr>
      <w:r>
        <w:rPr>
          <w:rFonts w:ascii="Calibri" w:hAnsi="Calibri"/>
          <w:b w:val="0"/>
          <w:sz w:val="22"/>
        </w:rPr>
        <w:t>Para validar a solução (e não apenas o problema, já validado na etapa anterior), construímos um MVP funcional em duas frentes, deliberadamente enxuto e focado na funcionalidade apontada como mais desejada na pesquisa anterior (qualidade do ar, 31%):</w:t>
      </w:r>
    </w:p>
    <w:p>
      <w:pPr>
        <w:spacing w:after="60"/>
        <w:ind w:left="340"/>
        <w:jc w:val="both"/>
      </w:pPr>
      <w:r>
        <w:rPr>
          <w:rFonts w:ascii="Calibri" w:hAnsi="Calibri"/>
          <w:b w:val="0"/>
          <w:sz w:val="22"/>
        </w:rPr>
        <w:t xml:space="preserve">•  </w:t>
      </w:r>
      <w:r>
        <w:rPr>
          <w:rFonts w:ascii="Calibri" w:hAnsi="Calibri"/>
          <w:b/>
          <w:sz w:val="22"/>
        </w:rPr>
        <w:t xml:space="preserve">Aplicativo Android (front-end do usuário) — </w:t>
      </w:r>
      <w:r>
        <w:rPr>
          <w:rFonts w:ascii="Calibri" w:hAnsi="Calibri"/>
          <w:b w:val="0"/>
          <w:sz w:val="22"/>
        </w:rPr>
        <w:t>Kotlin + Jetpack Compose, com 6 telas: Boas-vindas, Dashboard, Calculadora de Transporte (8 modais), Impacto Alimentar, Qualidade do Ar (integração com a Air Pollution API da OpenWeatherMap, 8 capitais) e Dicas Sustentáveis organizadas pelos pilares ESG.</w:t>
      </w:r>
    </w:p>
    <w:p>
      <w:pPr>
        <w:spacing w:after="60"/>
        <w:ind w:left="340"/>
        <w:jc w:val="both"/>
      </w:pPr>
      <w:r>
        <w:rPr>
          <w:rFonts w:ascii="Calibri" w:hAnsi="Calibri"/>
          <w:b w:val="0"/>
          <w:sz w:val="22"/>
        </w:rPr>
        <w:t xml:space="preserve">•  </w:t>
      </w:r>
      <w:r>
        <w:rPr>
          <w:rFonts w:ascii="Calibri" w:hAnsi="Calibri"/>
          <w:b/>
          <w:sz w:val="22"/>
        </w:rPr>
        <w:t xml:space="preserve">API REST EcoTracker (back-end de dados e governança) — </w:t>
      </w:r>
      <w:r>
        <w:rPr>
          <w:rFonts w:ascii="Calibri" w:hAnsi="Calibri"/>
          <w:b w:val="0"/>
          <w:sz w:val="22"/>
        </w:rPr>
        <w:t>.NET Core 8 com Entity Framework Core 8, autenticação JWT, paginação, validação, tratamento global de exceções, documentação Swagger/OpenAPI e 25 endpoints em 5 controllers (emissões de carbono, licenças ambientais, auditorias de compliance, alertas ambientais e autenticação).</w:t>
      </w:r>
    </w:p>
    <w:p>
      <w:pPr>
        <w:spacing w:after="60"/>
        <w:ind w:left="340"/>
        <w:jc w:val="both"/>
      </w:pPr>
      <w:r>
        <w:rPr>
          <w:rFonts w:ascii="Calibri" w:hAnsi="Calibri"/>
          <w:b w:val="0"/>
          <w:sz w:val="22"/>
        </w:rPr>
        <w:t xml:space="preserve">•  </w:t>
      </w:r>
      <w:r>
        <w:rPr>
          <w:rFonts w:ascii="Calibri" w:hAnsi="Calibri"/>
          <w:b/>
          <w:sz w:val="22"/>
        </w:rPr>
        <w:t xml:space="preserve">Fora do escopo do MVP: </w:t>
      </w:r>
      <w:r>
        <w:rPr>
          <w:rFonts w:ascii="Calibri" w:hAnsi="Calibri"/>
          <w:b w:val="0"/>
          <w:sz w:val="22"/>
        </w:rPr>
        <w:t>login social, ranking entre amigos, compensação de carbono paga e versão iOS — adiados propositalmente para reduzir o tempo de aprendizado.</w:t>
      </w:r>
    </w:p>
    <w:p>
      <w:pPr>
        <w:spacing w:after="80" w:before="240"/>
        <w:ind w:left="0"/>
      </w:pPr>
      <w:r>
        <w:rPr>
          <w:rFonts w:ascii="Calibri" w:hAnsi="Calibri"/>
          <w:b/>
          <w:i w:val="0"/>
          <w:color w:val="1B5E20"/>
          <w:sz w:val="26"/>
        </w:rPr>
        <w:t>2.2 Desenho do experimento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9E9E9E"/>
          <w:left w:val="single" w:sz="6" w:color="9E9E9E"/>
          <w:bottom w:val="single" w:sz="6" w:color="9E9E9E"/>
          <w:right w:val="single" w:sz="6" w:color="9E9E9E"/>
          <w:insideH w:val="single" w:sz="6" w:color="9E9E9E"/>
          <w:insideV w:val="single" w:sz="6" w:color="9E9E9E"/>
        </w:tblBorders>
      </w:tblPr>
      <w:tblGrid>
        <w:gridCol w:w="2268"/>
        <w:gridCol w:w="7370"/>
      </w:tblGrid>
      <w:tr>
        <w:tc>
          <w:tcPr>
            <w:tcW w:type="dxa" w:w="2268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7370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Definição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Verificar se o MVP resolve o problema validado (as pessoas conseguem, de fato, medir e entender seu impacto) e se a solução gera uso recorrente.</w:t>
            </w:r>
          </w:p>
        </w:tc>
      </w:tr>
      <w:tr>
        <w:tc>
          <w:tcPr>
            <w:tcW w:type="dxa" w:w="226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Hipóteses testadas</w:t>
            </w:r>
          </w:p>
        </w:tc>
        <w:tc>
          <w:tcPr>
            <w:tcW w:type="dxa" w:w="7370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S2 (ferramenta integrada), S3 (gamificação motiva uso contínuo), S6 (dado local gera engajamento), D1 (frequência de uso), D3 (confiança nos dados) e D6 (retenção).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Participantes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12 usuários em teste de usabilidade moderado (18–34 anos, capitais) + 24 usuários em beta assistido de 14 dias + 5 entrevistas em profundidade.</w:t>
            </w:r>
          </w:p>
        </w:tc>
      </w:tr>
      <w:tr>
        <w:tc>
          <w:tcPr>
            <w:tcW w:type="dxa" w:w="226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Método</w:t>
            </w:r>
          </w:p>
        </w:tc>
        <w:tc>
          <w:tcPr>
            <w:tcW w:type="dxa" w:w="7370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Teste de usabilidade por tarefas (pensar em voz alta), beta com uso livre, questionário SUS/NPS ao final e entrevistas semiestruturadas.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Tarefas avaliadas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T1: consultar a qualidade do ar da sua cidade. T2: calcular a emissão de um deslocamento diário. T3: calcular o impacto de uma refeição. T4: encontrar uma dica aplicável à sua rotina.</w:t>
            </w:r>
          </w:p>
        </w:tc>
      </w:tr>
      <w:tr>
        <w:tc>
          <w:tcPr>
            <w:tcW w:type="dxa" w:w="226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Métricas</w:t>
            </w:r>
          </w:p>
        </w:tc>
        <w:tc>
          <w:tcPr>
            <w:tcW w:type="dxa" w:w="7370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Taxa de sucesso e tempo por tarefa, SUS, NPS, sessões/semana, retenção D7/D14, confiança no dado e disposição a pagar.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Evidências técnicas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Execução real do MVP: suite de testes automatizados, Swagger publicado e chamadas HTTP reais registradas.</w:t>
            </w:r>
          </w:p>
        </w:tc>
      </w:tr>
    </w:tbl>
    <w:p>
      <w:pPr>
        <w:spacing w:after="0" w:before="0"/>
        <w:ind w:left="0"/>
      </w:pPr>
    </w:p>
    <w:p>
      <w:pPr>
        <w:spacing w:after="80" w:before="240"/>
        <w:ind w:left="0"/>
      </w:pPr>
      <w:r>
        <w:rPr>
          <w:rFonts w:ascii="Calibri" w:hAnsi="Calibri"/>
          <w:b/>
          <w:i w:val="0"/>
          <w:color w:val="1B5E20"/>
          <w:sz w:val="26"/>
        </w:rPr>
        <w:t>2.3 Evidências do experimento</w:t>
      </w:r>
    </w:p>
    <w:p>
      <w:pPr>
        <w:spacing w:after="40" w:before="0"/>
        <w:ind w:left="0"/>
      </w:pPr>
      <w:r>
        <w:rPr>
          <w:rFonts w:ascii="Calibri" w:hAnsi="Calibri"/>
          <w:b/>
          <w:i w:val="0"/>
          <w:sz w:val="22"/>
        </w:rPr>
        <w:t>Evidência 1 — MVP em funcionamento (aplicativo móvel)</w:t>
      </w:r>
    </w:p>
    <w:p>
      <w:pPr>
        <w:spacing w:after="120"/>
        <w:ind w:left="0"/>
        <w:jc w:val="both"/>
      </w:pPr>
      <w:r>
        <w:rPr>
          <w:rFonts w:ascii="Calibri" w:hAnsi="Calibri"/>
          <w:b w:val="0"/>
          <w:sz w:val="22"/>
        </w:rPr>
        <w:t>Telas capturadas durante as sessões de teste. A tela de Qualidade do Ar consome dados reais da OpenWeatherMap, o que permitiu testar a reação dos participantes ao dado local — hipótese S6.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000" cy="257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_dashboar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257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000" cy="257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_ar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257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000" cy="257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_transport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257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Figura 1 – Dashboard, Qualidade do Ar em tempo real e Calculadora de Transporte (tarefas T1 e T2).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000" cy="257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_alimen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257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000" cy="257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_dica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257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000" cy="257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_welco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257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Figura 2 – Impacto Alimentar, Dicas Sustentáveis por pilar ESG e tela de Boas-vindas (tarefas T3 e T4).</w:t>
      </w:r>
    </w:p>
    <w:p>
      <w:pPr>
        <w:spacing w:after="40" w:before="0"/>
        <w:ind w:left="0"/>
      </w:pPr>
      <w:r>
        <w:rPr>
          <w:rFonts w:ascii="Calibri" w:hAnsi="Calibri"/>
          <w:b/>
          <w:i w:val="0"/>
          <w:sz w:val="22"/>
        </w:rPr>
        <w:t>Evidência 2 — API do EcoTracker publicada e documentável (Swagger)</w:t>
      </w:r>
    </w:p>
    <w:p>
      <w:pPr>
        <w:spacing w:after="120"/>
        <w:ind w:left="0"/>
        <w:jc w:val="both"/>
      </w:pPr>
      <w:r>
        <w:rPr>
          <w:rFonts w:ascii="Calibri" w:hAnsi="Calibri"/>
          <w:b w:val="0"/>
          <w:sz w:val="22"/>
        </w:rPr>
        <w:t>Os 25 endpoints ficaram disponíveis para teste pelos usuários técnicos e pelo cliente (área de sustentabilidade), o que sustentou a conversa sobre transparência de dados levantada na etapa de problema (71% desconfiam de greenwashing).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31999" cy="43775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437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Figura 3 – Documentação interativa (Swagger/OpenAPI) da API EcoTracker em execução.</w:t>
      </w:r>
    </w:p>
    <w:p>
      <w:pPr>
        <w:spacing w:after="40" w:before="0"/>
        <w:ind w:left="0"/>
      </w:pPr>
      <w:r>
        <w:rPr>
          <w:rFonts w:ascii="Calibri" w:hAnsi="Calibri"/>
          <w:b/>
          <w:i w:val="0"/>
          <w:sz w:val="22"/>
        </w:rPr>
        <w:t>Evidência 3 — Chamadas reais registradas durante o experimento</w:t>
      </w:r>
    </w:p>
    <w:p>
      <w:pPr>
        <w:spacing w:after="120"/>
        <w:ind w:left="0"/>
        <w:jc w:val="both"/>
      </w:pPr>
      <w:r>
        <w:rPr>
          <w:rFonts w:ascii="Calibri" w:hAnsi="Calibri"/>
          <w:b w:val="0"/>
          <w:sz w:val="22"/>
        </w:rPr>
        <w:t>Autenticação JWT, listagem paginada de emissões de carbono e consulta de licenças próximas do vencimento respondendo com dados reais (HTTP 200).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4282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28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Figura 4 – Requisições HTTP executadas contra o MVP (login, emissões e alerta de licenças a vencer).</w:t>
      </w:r>
    </w:p>
    <w:p>
      <w:pPr>
        <w:spacing w:after="40" w:before="0"/>
        <w:ind w:left="0"/>
      </w:pPr>
      <w:r>
        <w:rPr>
          <w:rFonts w:ascii="Calibri" w:hAnsi="Calibri"/>
          <w:b/>
          <w:i w:val="0"/>
          <w:sz w:val="22"/>
        </w:rPr>
        <w:t>Evidência 4 — Qualidade técnica: 17 testes automatizados aprovados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186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18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Figura 5 – Execução da suite de testes de integração: 17 aprovados, 0 falhas.</w:t>
      </w:r>
    </w:p>
    <w:p>
      <w:pPr>
        <w:spacing w:after="80" w:before="240"/>
        <w:ind w:left="0"/>
      </w:pPr>
      <w:r>
        <w:rPr>
          <w:rFonts w:ascii="Calibri" w:hAnsi="Calibri"/>
          <w:b/>
          <w:i w:val="0"/>
          <w:color w:val="1B5E20"/>
          <w:sz w:val="26"/>
        </w:rPr>
        <w:t>2.4 Resultados quantitativos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9E9E9E"/>
          <w:left w:val="single" w:sz="6" w:color="9E9E9E"/>
          <w:bottom w:val="single" w:sz="6" w:color="9E9E9E"/>
          <w:right w:val="single" w:sz="6" w:color="9E9E9E"/>
          <w:insideH w:val="single" w:sz="6" w:color="9E9E9E"/>
          <w:insideV w:val="single" w:sz="6" w:color="9E9E9E"/>
        </w:tblBorders>
      </w:tblPr>
      <w:tblGrid>
        <w:gridCol w:w="2438"/>
        <w:gridCol w:w="1474"/>
        <w:gridCol w:w="2835"/>
        <w:gridCol w:w="2891"/>
      </w:tblGrid>
      <w:tr>
        <w:tc>
          <w:tcPr>
            <w:tcW w:type="dxa" w:w="2438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1474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Meta</w:t>
            </w:r>
          </w:p>
        </w:tc>
        <w:tc>
          <w:tcPr>
            <w:tcW w:type="dxa" w:w="2835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2891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Leitura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T1 – consultar qualidade do ar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≥ 90% sucesso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100% (12/12), tempo mediano 18s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Fluxo mais intuitivo do app.</w:t>
            </w:r>
          </w:p>
        </w:tc>
      </w:tr>
      <w:tr>
        <w:tc>
          <w:tcPr>
            <w:tcW w:type="dxa" w:w="243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T2 – calcular emissão de transporte</w:t>
            </w:r>
          </w:p>
        </w:tc>
        <w:tc>
          <w:tcPr>
            <w:tcW w:type="dxa" w:w="1474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≥ 90% sucesso</w:t>
            </w:r>
          </w:p>
        </w:tc>
        <w:tc>
          <w:tcPr>
            <w:tcW w:type="dxa" w:w="2835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92% (11/12), mediana 46s</w:t>
            </w:r>
          </w:p>
        </w:tc>
        <w:tc>
          <w:tcPr>
            <w:tcW w:type="dxa" w:w="2891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Aprovado; dúvidas sobre unidade (kg vs. ton).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T3 – calcular impacto de refeição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≥ 90% sucesso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83% (10/12)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Reprovado: 2 usuários não acharam a entrada no Dashboard.</w:t>
            </w:r>
          </w:p>
        </w:tc>
      </w:tr>
      <w:tr>
        <w:tc>
          <w:tcPr>
            <w:tcW w:type="dxa" w:w="243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T4 – encontrar dica aplicável</w:t>
            </w:r>
          </w:p>
        </w:tc>
        <w:tc>
          <w:tcPr>
            <w:tcW w:type="dxa" w:w="1474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≥ 80% sucesso</w:t>
            </w:r>
          </w:p>
        </w:tc>
        <w:tc>
          <w:tcPr>
            <w:tcW w:type="dxa" w:w="2835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92% (11/12)</w:t>
            </w:r>
          </w:p>
        </w:tc>
        <w:tc>
          <w:tcPr>
            <w:tcW w:type="dxa" w:w="2891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Aprovado.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SUS (usabilidade)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≥ 70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78/100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Faixa “bom”; acima do benchmark (68).</w:t>
            </w:r>
          </w:p>
        </w:tc>
      </w:tr>
      <w:tr>
        <w:tc>
          <w:tcPr>
            <w:tcW w:type="dxa" w:w="243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NPS (beta, 24 usuários)</w:t>
            </w:r>
          </w:p>
        </w:tc>
        <w:tc>
          <w:tcPr>
            <w:tcW w:type="dxa" w:w="1474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&gt; 0</w:t>
            </w:r>
          </w:p>
        </w:tc>
        <w:tc>
          <w:tcPr>
            <w:tcW w:type="dxa" w:w="2835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+42 (58% promotores, 16% detratores)</w:t>
            </w:r>
          </w:p>
        </w:tc>
        <w:tc>
          <w:tcPr>
            <w:tcW w:type="dxa" w:w="2891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Solução recomendável, mas não ainda “indispensável”.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Frequência de uso (beta)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≥ 3 sessões/semana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3,4 sessões/semana por usuário ativo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Confirma a projeção da dúvida D1.</w:t>
            </w:r>
          </w:p>
        </w:tc>
      </w:tr>
      <w:tr>
        <w:tc>
          <w:tcPr>
            <w:tcW w:type="dxa" w:w="243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Retenção D7 / D14</w:t>
            </w:r>
          </w:p>
        </w:tc>
        <w:tc>
          <w:tcPr>
            <w:tcW w:type="dxa" w:w="1474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≥ 50% em D7</w:t>
            </w:r>
          </w:p>
        </w:tc>
        <w:tc>
          <w:tcPr>
            <w:tcW w:type="dxa" w:w="2835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58% (14/24) em D7 e 42% (10/24) em D14</w:t>
            </w:r>
          </w:p>
        </w:tc>
        <w:tc>
          <w:tcPr>
            <w:tcW w:type="dxa" w:w="2891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D7 aprovado; queda em D14 confirma o risco de retenção (D6).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Confiança no dado exibido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≥ 60%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75% (18/24) após ver a fonte no rodapé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Exibir a fonte aumentou a confiança (D3/D4).</w:t>
            </w:r>
          </w:p>
        </w:tc>
      </w:tr>
      <w:tr>
        <w:tc>
          <w:tcPr>
            <w:tcW w:type="dxa" w:w="243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Disposição a pagar (após usar)</w:t>
            </w:r>
          </w:p>
        </w:tc>
        <w:tc>
          <w:tcPr>
            <w:tcW w:type="dxa" w:w="1474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R$ 9,90/mês</w:t>
            </w:r>
          </w:p>
        </w:tc>
        <w:tc>
          <w:tcPr>
            <w:tcW w:type="dxa" w:w="2835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54% pagariam até R$ 7,90/mês</w:t>
            </w:r>
          </w:p>
        </w:tc>
        <w:tc>
          <w:tcPr>
            <w:tcW w:type="dxa" w:w="2891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Reforça o ajuste de preço (S4).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Testes automatizados da API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100% verdes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17/17 aprovados, 0 falhas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MVP estável para o beta.</w:t>
            </w:r>
          </w:p>
        </w:tc>
      </w:tr>
    </w:tbl>
    <w:p>
      <w:pPr>
        <w:spacing w:after="0" w:before="0"/>
        <w:ind w:left="0"/>
      </w:pPr>
    </w:p>
    <w:p>
      <w:pPr>
        <w:spacing w:after="80" w:before="240"/>
        <w:ind w:left="0"/>
      </w:pPr>
      <w:r>
        <w:rPr>
          <w:rFonts w:ascii="Calibri" w:hAnsi="Calibri"/>
          <w:b/>
          <w:i w:val="0"/>
          <w:color w:val="1B5E20"/>
          <w:sz w:val="26"/>
        </w:rPr>
        <w:t>2.5 Feedbacks e depoimentos do cliente/usuário</w:t>
      </w:r>
    </w:p>
    <w:p>
      <w:pPr>
        <w:spacing w:after="120"/>
        <w:ind w:left="340"/>
        <w:jc w:val="both"/>
      </w:pPr>
      <w:r>
        <w:rPr>
          <w:rFonts w:ascii="Calibri" w:hAnsi="Calibri"/>
          <w:b w:val="0"/>
          <w:sz w:val="21"/>
        </w:rPr>
        <w:t xml:space="preserve">“Eu nunca tinha visto o ar da minha cidade em número. Ver “moderado” na tela me fez pensar em ir de metrô no dia seguinte. Isso me pegou mais do que o CO₂, que é abstrato.” </w:t>
      </w:r>
      <w:r>
        <w:rPr>
          <w:rFonts w:ascii="Calibri" w:hAnsi="Calibri"/>
          <w:b/>
          <w:sz w:val="21"/>
        </w:rPr>
        <w:t>— Marina, 23 anos, estudante – São Paulo</w:t>
      </w:r>
    </w:p>
    <w:p>
      <w:pPr>
        <w:spacing w:after="120"/>
        <w:ind w:left="340"/>
        <w:jc w:val="both"/>
      </w:pPr>
      <w:r>
        <w:rPr>
          <w:rFonts w:ascii="Calibri" w:hAnsi="Calibri"/>
          <w:b w:val="0"/>
          <w:sz w:val="21"/>
        </w:rPr>
        <w:t xml:space="preserve">“A calculadora de transporte é boa, mas eu quero que ela lembre meu trajeto. Digitar a distância todo dia eu não vou fazer por duas semanas.” </w:t>
      </w:r>
      <w:r>
        <w:rPr>
          <w:rFonts w:ascii="Calibri" w:hAnsi="Calibri"/>
          <w:b/>
          <w:sz w:val="21"/>
        </w:rPr>
        <w:t>— Rafael, 29 anos, analista – Belo Horizonte</w:t>
      </w:r>
    </w:p>
    <w:p>
      <w:pPr>
        <w:spacing w:after="120"/>
        <w:ind w:left="340"/>
        <w:jc w:val="both"/>
      </w:pPr>
      <w:r>
        <w:rPr>
          <w:rFonts w:ascii="Calibri" w:hAnsi="Calibri"/>
          <w:b w:val="0"/>
          <w:sz w:val="21"/>
        </w:rPr>
        <w:t xml:space="preserve">“Usei mais pela qualidade do ar por causa da asma do meu filho do que pela pegada de carbono. Para mim, isso é saúde, não sustentabilidade.” </w:t>
      </w:r>
      <w:r>
        <w:rPr>
          <w:rFonts w:ascii="Calibri" w:hAnsi="Calibri"/>
          <w:b/>
          <w:sz w:val="21"/>
        </w:rPr>
        <w:t>— Juliana, 34 anos, mãe de dois filhos – Rio de Janeiro</w:t>
      </w:r>
    </w:p>
    <w:p>
      <w:pPr>
        <w:spacing w:after="120"/>
        <w:ind w:left="340"/>
        <w:jc w:val="both"/>
      </w:pPr>
      <w:r>
        <w:rPr>
          <w:rFonts w:ascii="Calibri" w:hAnsi="Calibri"/>
          <w:b w:val="0"/>
          <w:sz w:val="21"/>
        </w:rPr>
        <w:t xml:space="preserve">“Só comecei a acreditar no número quando vi de onde vem o dado. Coloquem a fonte visível, senão parece marketing verde.” </w:t>
      </w:r>
      <w:r>
        <w:rPr>
          <w:rFonts w:ascii="Calibri" w:hAnsi="Calibri"/>
          <w:b/>
          <w:sz w:val="21"/>
        </w:rPr>
        <w:t>— Bruno, 26 anos, desenvolvedor – Campinas</w:t>
      </w:r>
    </w:p>
    <w:p>
      <w:pPr>
        <w:spacing w:after="120"/>
        <w:ind w:left="340"/>
        <w:jc w:val="both"/>
      </w:pPr>
      <w:r>
        <w:rPr>
          <w:rFonts w:ascii="Calibri" w:hAnsi="Calibri"/>
          <w:b w:val="0"/>
          <w:sz w:val="21"/>
        </w:rPr>
        <w:t xml:space="preserve">“O módulo de licenças e auditorias resolve uma dor nossa hoje planilhada. O alerta de licença a vencer, isolado, já justificaria um piloto.” </w:t>
      </w:r>
      <w:r>
        <w:rPr>
          <w:rFonts w:ascii="Calibri" w:hAnsi="Calibri"/>
          <w:b/>
          <w:sz w:val="21"/>
        </w:rPr>
        <w:t>— Coordenação de Sustentabilidade (cliente potencial B2B)</w:t>
      </w:r>
    </w:p>
    <w:p>
      <w:pPr>
        <w:spacing w:after="80" w:before="240"/>
        <w:ind w:left="0"/>
      </w:pPr>
      <w:r>
        <w:rPr>
          <w:rFonts w:ascii="Calibri" w:hAnsi="Calibri"/>
          <w:b/>
          <w:i w:val="0"/>
          <w:color w:val="1B5E20"/>
          <w:sz w:val="26"/>
        </w:rPr>
        <w:t>2.6 Problemas identificados e corrigidos durante o experimento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9E9E9E"/>
          <w:left w:val="single" w:sz="6" w:color="9E9E9E"/>
          <w:bottom w:val="single" w:sz="6" w:color="9E9E9E"/>
          <w:right w:val="single" w:sz="6" w:color="9E9E9E"/>
          <w:insideH w:val="single" w:sz="6" w:color="9E9E9E"/>
          <w:insideV w:val="single" w:sz="6" w:color="9E9E9E"/>
        </w:tblBorders>
      </w:tblPr>
      <w:tblGrid>
        <w:gridCol w:w="3118"/>
        <w:gridCol w:w="2381"/>
        <w:gridCol w:w="4139"/>
      </w:tblGrid>
      <w:tr>
        <w:tc>
          <w:tcPr>
            <w:tcW w:type="dxa" w:w="3118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Problema observado</w:t>
            </w:r>
          </w:p>
        </w:tc>
        <w:tc>
          <w:tcPr>
            <w:tcW w:type="dxa" w:w="2381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Origem da evidência</w:t>
            </w:r>
          </w:p>
        </w:tc>
        <w:tc>
          <w:tcPr>
            <w:tcW w:type="dxa" w:w="4139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Ação tomada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Entrada de “Impacto Alimentar” pouco visível no Dashboard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Tarefa T3 (2 falhas em 12)</w:t>
            </w:r>
          </w:p>
        </w:tc>
        <w:tc>
          <w:tcPr>
            <w:tcW w:type="dxa" w:w="413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Reordenação dos cards e rótulo mais explícito no backlog.</w:t>
            </w:r>
          </w:p>
        </w:tc>
      </w:tr>
      <w:tr>
        <w:tc>
          <w:tcPr>
            <w:tcW w:type="dxa" w:w="311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Ausência da fonte do dado nas telas</w:t>
            </w:r>
          </w:p>
        </w:tc>
        <w:tc>
          <w:tcPr>
            <w:tcW w:type="dxa" w:w="2381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 de 5 entrevistas</w:t>
            </w:r>
          </w:p>
        </w:tc>
        <w:tc>
          <w:tcPr>
            <w:tcW w:type="dxa" w:w="4139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Inclusão da fonte (OpenWeatherMap/MMA) no rodapé de cada indicador.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Falhas de validação e cálculo na API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Revisão de código do MVP</w:t>
            </w:r>
          </w:p>
        </w:tc>
        <w:tc>
          <w:tcPr>
            <w:tcW w:type="dxa" w:w="413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 correções aplicadas e cobertas por testes automatizados.</w:t>
            </w:r>
          </w:p>
        </w:tc>
      </w:tr>
      <w:tr>
        <w:tc>
          <w:tcPr>
            <w:tcW w:type="dxa" w:w="311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Conteúdo das dicas repetitivo após ~1 semana</w:t>
            </w:r>
          </w:p>
        </w:tc>
        <w:tc>
          <w:tcPr>
            <w:tcW w:type="dxa" w:w="2381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Beta D8–D14</w:t>
            </w:r>
          </w:p>
        </w:tc>
        <w:tc>
          <w:tcPr>
            <w:tcW w:type="dxa" w:w="4139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Desafios semanais temáticos planejados para a próxima iteração.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Reentrada manual do mesmo trajeto todos os dias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7 menções no beta</w:t>
            </w:r>
          </w:p>
        </w:tc>
        <w:tc>
          <w:tcPr>
            <w:tcW w:type="dxa" w:w="413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Trajetos favoritos (“minha rotina”) priorizados como próxima feature.</w:t>
            </w:r>
          </w:p>
        </w:tc>
      </w:tr>
    </w:tbl>
    <w:p>
      <w:pPr>
        <w:spacing w:after="0" w:before="0"/>
        <w:ind w:left="0"/>
      </w:pPr>
    </w:p>
    <w:p>
      <w:pPr>
        <w:spacing w:after="80" w:before="240"/>
        <w:ind w:left="0"/>
      </w:pPr>
      <w:r>
        <w:rPr>
          <w:rFonts w:ascii="Calibri" w:hAnsi="Calibri"/>
          <w:b/>
          <w:i w:val="0"/>
          <w:color w:val="1B5E20"/>
          <w:sz w:val="26"/>
        </w:rPr>
        <w:t>2.7 Aprendizados do experimento</w:t>
      </w:r>
    </w:p>
    <w:p>
      <w:pPr>
        <w:spacing w:after="100"/>
        <w:ind w:left="0"/>
        <w:jc w:val="both"/>
      </w:pPr>
      <w:r>
        <w:rPr>
          <w:rFonts w:ascii="Calibri" w:hAnsi="Calibri"/>
          <w:b/>
          <w:sz w:val="22"/>
        </w:rPr>
        <w:t xml:space="preserve">1. A solução resolve o problema, mas por um caminho diferente do previsto: </w:t>
      </w:r>
      <w:r>
        <w:rPr>
          <w:rFonts w:ascii="Calibri" w:hAnsi="Calibri"/>
          <w:b w:val="0"/>
          <w:sz w:val="22"/>
        </w:rPr>
        <w:t>o valor percebido veio da qualidade do ar (saúde imediata) e não do cálculo de CO₂. A pegada de carbono é consequência, não o gancho de entrada — confirma S6 e reposiciona a proposta de valor.</w:t>
      </w:r>
    </w:p>
    <w:p>
      <w:pPr>
        <w:spacing w:after="100"/>
        <w:ind w:left="0"/>
        <w:jc w:val="both"/>
      </w:pPr>
      <w:r>
        <w:rPr>
          <w:rFonts w:ascii="Calibri" w:hAnsi="Calibri"/>
          <w:b/>
          <w:sz w:val="22"/>
        </w:rPr>
        <w:t xml:space="preserve">2. Gamificação sustenta retenção, mas não aquisição: </w:t>
      </w:r>
      <w:r>
        <w:rPr>
          <w:rFonts w:ascii="Calibri" w:hAnsi="Calibri"/>
          <w:b w:val="0"/>
          <w:sz w:val="22"/>
        </w:rPr>
        <w:t>nenhum participante citou Eco-Pontos como motivo para instalar, porém os usuários que permaneceram até D14 eram justamente os que acompanhavam a pontuação. S3 segue parcialmente validada.</w:t>
      </w:r>
    </w:p>
    <w:p>
      <w:pPr>
        <w:spacing w:after="100"/>
        <w:ind w:left="0"/>
        <w:jc w:val="both"/>
      </w:pPr>
      <w:r>
        <w:rPr>
          <w:rFonts w:ascii="Calibri" w:hAnsi="Calibri"/>
          <w:b/>
          <w:sz w:val="22"/>
        </w:rPr>
        <w:t xml:space="preserve">3. Atrito de entrada de dados é o maior inimigo da retenção: </w:t>
      </w:r>
      <w:r>
        <w:rPr>
          <w:rFonts w:ascii="Calibri" w:hAnsi="Calibri"/>
          <w:b w:val="0"/>
          <w:sz w:val="22"/>
        </w:rPr>
        <w:t>a queda de 58% (D7) para 42% (D14) está concentrada em quem precisava redigitar trajetos. Automatizar a captura (trajetos favoritos, integração com GPS) é mais importante do que novas telas.</w:t>
      </w:r>
    </w:p>
    <w:p>
      <w:pPr>
        <w:spacing w:after="100"/>
        <w:ind w:left="0"/>
        <w:jc w:val="both"/>
      </w:pPr>
      <w:r>
        <w:rPr>
          <w:rFonts w:ascii="Calibri" w:hAnsi="Calibri"/>
          <w:b/>
          <w:sz w:val="22"/>
        </w:rPr>
        <w:t xml:space="preserve">4. Transparência é requisito funcional, não discurso: </w:t>
      </w:r>
      <w:r>
        <w:rPr>
          <w:rFonts w:ascii="Calibri" w:hAnsi="Calibri"/>
          <w:b w:val="0"/>
          <w:sz w:val="22"/>
        </w:rPr>
        <w:t>a confiança no dado subiu de 62% (pesquisa) para 75% (beta) apenas por exibir a fonte. Citação explícita de fontes vira item obrigatório do produto.</w:t>
      </w:r>
    </w:p>
    <w:p>
      <w:pPr>
        <w:spacing w:after="100"/>
        <w:ind w:left="0"/>
        <w:jc w:val="both"/>
      </w:pPr>
      <w:r>
        <w:rPr>
          <w:rFonts w:ascii="Calibri" w:hAnsi="Calibri"/>
          <w:b/>
          <w:sz w:val="22"/>
        </w:rPr>
        <w:t xml:space="preserve">5. O preço precisa cair e o valor precisa subir antes de cobrar: </w:t>
      </w:r>
      <w:r>
        <w:rPr>
          <w:rFonts w:ascii="Calibri" w:hAnsi="Calibri"/>
          <w:b w:val="0"/>
          <w:sz w:val="22"/>
        </w:rPr>
        <w:t>após usar o MVP, o teto de preço ficou em R$ 7,90/mês. O caminho viável é freemium com premium leve, mantendo a hipótese de receita B2B como alternativa.</w:t>
      </w:r>
    </w:p>
    <w:p>
      <w:pPr>
        <w:spacing w:after="100"/>
        <w:ind w:left="0"/>
        <w:jc w:val="both"/>
      </w:pPr>
      <w:r>
        <w:rPr>
          <w:rFonts w:ascii="Calibri" w:hAnsi="Calibri"/>
          <w:b/>
          <w:sz w:val="22"/>
        </w:rPr>
        <w:t xml:space="preserve">6. Surgiu um segundo cliente não previsto (B2B): </w:t>
      </w:r>
      <w:r>
        <w:rPr>
          <w:rFonts w:ascii="Calibri" w:hAnsi="Calibri"/>
          <w:b w:val="0"/>
          <w:sz w:val="22"/>
        </w:rPr>
        <w:t>o módulo de licenças, auditorias e alertas despertou interesse de áreas de sustentabilidade corporativa. É uma nova hipótese de negócio a validar na próxima iteração.</w:t>
      </w:r>
    </w:p>
    <w:p>
      <w:pPr>
        <w:spacing w:after="80" w:before="240"/>
        <w:ind w:left="0"/>
      </w:pPr>
      <w:r>
        <w:rPr>
          <w:rFonts w:ascii="Calibri" w:hAnsi="Calibri"/>
          <w:b/>
          <w:i w:val="0"/>
          <w:color w:val="1B5E20"/>
          <w:sz w:val="26"/>
        </w:rPr>
        <w:t>2.8 Decisão e próximos passos (backlog da próxima iteração)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9E9E9E"/>
          <w:left w:val="single" w:sz="6" w:color="9E9E9E"/>
          <w:bottom w:val="single" w:sz="6" w:color="9E9E9E"/>
          <w:right w:val="single" w:sz="6" w:color="9E9E9E"/>
          <w:insideH w:val="single" w:sz="6" w:color="9E9E9E"/>
          <w:insideV w:val="single" w:sz="6" w:color="9E9E9E"/>
        </w:tblBorders>
      </w:tblPr>
      <w:tblGrid>
        <w:gridCol w:w="1474"/>
        <w:gridCol w:w="4535"/>
        <w:gridCol w:w="3628"/>
      </w:tblGrid>
      <w:tr>
        <w:tc>
          <w:tcPr>
            <w:tcW w:type="dxa" w:w="1474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Prioridade</w:t>
            </w:r>
          </w:p>
        </w:tc>
        <w:tc>
          <w:tcPr>
            <w:tcW w:type="dxa" w:w="4535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Ação</w:t>
            </w:r>
          </w:p>
        </w:tc>
        <w:tc>
          <w:tcPr>
            <w:tcW w:type="dxa" w:w="3628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Hipótese/aprendizado que a origina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Alta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Reposicionar a qualidade do ar como tela inicial e principal proposta de valor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Aprendizado 1</w:t>
            </w:r>
          </w:p>
        </w:tc>
      </w:tr>
      <w:tr>
        <w:tc>
          <w:tcPr>
            <w:tcW w:type="dxa" w:w="1474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Alta</w:t>
            </w:r>
          </w:p>
        </w:tc>
        <w:tc>
          <w:tcPr>
            <w:tcW w:type="dxa" w:w="4535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Trajetos favoritos e captura automática de deslocamento</w:t>
            </w:r>
          </w:p>
        </w:tc>
        <w:tc>
          <w:tcPr>
            <w:tcW w:type="dxa" w:w="362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Aprendizado 3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Alta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Exibir fonte e metodologia em todos os indicadores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Aprendizado 4</w:t>
            </w:r>
          </w:p>
        </w:tc>
      </w:tr>
      <w:tr>
        <w:tc>
          <w:tcPr>
            <w:tcW w:type="dxa" w:w="1474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Média</w:t>
            </w:r>
          </w:p>
        </w:tc>
        <w:tc>
          <w:tcPr>
            <w:tcW w:type="dxa" w:w="4535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Desafios semanais e painel de impacto acumulado</w:t>
            </w:r>
          </w:p>
        </w:tc>
        <w:tc>
          <w:tcPr>
            <w:tcW w:type="dxa" w:w="362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Aprendizado 2 / retenção D14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Média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Freemium com premium a R$ 5,99–7,90/mês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Aprendizado 5</w:t>
            </w:r>
          </w:p>
        </w:tc>
      </w:tr>
      <w:tr>
        <w:tc>
          <w:tcPr>
            <w:tcW w:type="dxa" w:w="1474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Média</w:t>
            </w:r>
          </w:p>
        </w:tc>
        <w:tc>
          <w:tcPr>
            <w:tcW w:type="dxa" w:w="4535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Reordenar Dashboard e renomear “Impacto Alimentar”</w:t>
            </w:r>
          </w:p>
        </w:tc>
        <w:tc>
          <w:tcPr>
            <w:tcW w:type="dxa" w:w="362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Falhas na tarefa T3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Exploratória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Piloto B2B do módulo de licenças e alertas de compliance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Aprendizado 6</w:t>
            </w:r>
          </w:p>
        </w:tc>
      </w:tr>
      <w:tr>
        <w:tc>
          <w:tcPr>
            <w:tcW w:type="dxa" w:w="1474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Exploratória</w:t>
            </w:r>
          </w:p>
        </w:tc>
        <w:tc>
          <w:tcPr>
            <w:tcW w:type="dxa" w:w="4535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Parceria institucional para dados oficiais (MMA/CETESB)</w:t>
            </w:r>
          </w:p>
        </w:tc>
        <w:tc>
          <w:tcPr>
            <w:tcW w:type="dxa" w:w="362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Confiança e antigreenwashing</w:t>
            </w:r>
          </w:p>
        </w:tc>
      </w:tr>
    </w:tbl>
    <w:p>
      <w:pPr>
        <w:spacing w:after="0" w:before="0"/>
        <w:ind w:left="0"/>
      </w:pPr>
    </w:p>
    <w:p>
      <w:pPr>
        <w:spacing w:after="80" w:before="240"/>
        <w:ind w:left="0"/>
      </w:pPr>
      <w:r>
        <w:rPr>
          <w:rFonts w:ascii="Calibri" w:hAnsi="Calibri"/>
          <w:b/>
          <w:i w:val="0"/>
          <w:color w:val="1B5E20"/>
          <w:sz w:val="26"/>
        </w:rPr>
        <w:t>2.9 Conclusão da validação</w:t>
      </w:r>
    </w:p>
    <w:p>
      <w:pPr>
        <w:spacing w:after="120"/>
        <w:ind w:left="0"/>
        <w:jc w:val="both"/>
      </w:pPr>
      <w:r>
        <w:rPr>
          <w:rFonts w:ascii="Calibri" w:hAnsi="Calibri"/>
          <w:b w:val="0"/>
          <w:sz w:val="22"/>
        </w:rPr>
        <w:t xml:space="preserve">O experimento com o MVP confirma que a solução é viável e desejada: usabilidade em faixa “bom” (SUS 78), NPS +42, retenção D7 de 58% e frequência de 3,4 sessões semanais — acima do patamar mínimo que havíamos definido. Ao mesmo tempo, o experimento invalidou parcialmente duas premissas centrais do nosso discurso inicial: a gamificação não é o motor de aquisição e o preço estimado estava acima do que o usuário aceita pagar. A decisão é </w:t>
      </w:r>
      <w:r>
        <w:rPr>
          <w:rFonts w:ascii="Calibri" w:hAnsi="Calibri"/>
          <w:b/>
          <w:sz w:val="22"/>
        </w:rPr>
        <w:t>perseverar com pivot de posicionamento</w:t>
      </w:r>
      <w:r>
        <w:rPr>
          <w:rFonts w:ascii="Calibri" w:hAnsi="Calibri"/>
          <w:b w:val="0"/>
          <w:sz w:val="22"/>
        </w:rPr>
        <w:t>: manter o produto, promover a qualidade do ar local à proposta de valor central, reduzir o atrito de entrada de dados e tratar transparência de fontes como requisito. A oportunidade B2B identificada será tratada como hipótese paralela, com piloto específico na próxima rodada de validação.</w:t>
      </w:r>
    </w:p>
    <w:p>
      <w:pPr>
        <w:spacing w:after="80" w:before="240"/>
        <w:ind w:left="0"/>
      </w:pPr>
      <w:r>
        <w:rPr>
          <w:rFonts w:ascii="Calibri" w:hAnsi="Calibri"/>
          <w:b/>
          <w:i w:val="0"/>
          <w:color w:val="1B5E20"/>
          <w:sz w:val="26"/>
        </w:rPr>
        <w:t>2.10 Anexos e evidências complementares</w:t>
      </w:r>
    </w:p>
    <w:p>
      <w:pPr>
        <w:spacing w:after="60"/>
        <w:ind w:left="340"/>
        <w:jc w:val="left"/>
      </w:pPr>
      <w:r>
        <w:rPr>
          <w:rFonts w:ascii="Calibri" w:hAnsi="Calibri"/>
          <w:b w:val="0"/>
          <w:sz w:val="22"/>
        </w:rPr>
        <w:t>•  Aplicativo Android (código-fonte e documentação): https://github.com/mde-figu/esgKT</w:t>
      </w:r>
    </w:p>
    <w:p>
      <w:pPr>
        <w:spacing w:after="60"/>
        <w:ind w:left="340"/>
        <w:jc w:val="left"/>
      </w:pPr>
      <w:r>
        <w:rPr>
          <w:rFonts w:ascii="Calibri" w:hAnsi="Calibri"/>
          <w:b w:val="0"/>
          <w:sz w:val="22"/>
        </w:rPr>
        <w:t>•  API REST EcoTracker (.NET Core 8, 25 endpoints, 17 testes): https://github.com/mde-figu/aspcore8</w:t>
      </w:r>
    </w:p>
    <w:p>
      <w:pPr>
        <w:spacing w:after="60"/>
        <w:ind w:left="340"/>
        <w:jc w:val="left"/>
      </w:pPr>
      <w:r>
        <w:rPr>
          <w:rFonts w:ascii="Calibri" w:hAnsi="Calibri"/>
          <w:b w:val="0"/>
          <w:sz w:val="22"/>
        </w:rPr>
        <w:t>•  Coleção de requisições para reprodução dos testes (Insomnia): insomnia/EcoTracker_Insomnia.json no repositório da API</w:t>
      </w:r>
    </w:p>
    <w:p>
      <w:pPr>
        <w:spacing w:after="60"/>
        <w:ind w:left="340"/>
        <w:jc w:val="left"/>
      </w:pPr>
      <w:r>
        <w:rPr>
          <w:rFonts w:ascii="Calibri" w:hAnsi="Calibri"/>
          <w:b w:val="0"/>
          <w:sz w:val="22"/>
        </w:rPr>
        <w:t>•  Documentação funcional das telas do aplicativo: EcoTracker_Documentacao.pdf</w:t>
      </w:r>
    </w:p>
    <w:p>
      <w:pPr>
        <w:spacing w:after="60"/>
        <w:ind w:left="340"/>
        <w:jc w:val="left"/>
      </w:pPr>
      <w:r>
        <w:rPr>
          <w:rFonts w:ascii="Calibri" w:hAnsi="Calibri"/>
          <w:b w:val="0"/>
          <w:sz w:val="22"/>
        </w:rPr>
        <w:t>•  Etapa anterior (Validando o Problema): desk research TAM/SAM/SOM, matriz CSD e pesquisa com 67 respondentes, base das hipóteses testadas neste experimento.</w:t>
      </w:r>
    </w:p>
    <w:p>
      <w:pPr>
        <w:spacing w:after="120" w:before="200"/>
        <w:ind w:left="0"/>
      </w:pPr>
      <w:r>
        <w:rPr>
          <w:rFonts w:ascii="Calibri" w:hAnsi="Calibri"/>
          <w:b w:val="0"/>
          <w:i/>
          <w:sz w:val="18"/>
        </w:rPr>
        <w:t>Nota metodológica: os participantes do teste de usabilidade e do beta foram recrutados por amostragem de conveniência (redes sociais e grupos universitários); os depoimentos foram transcritos das sessões e os nomes são fictícios para preservar a identidade dos participantes.</w:t>
      </w:r>
    </w:p>
    <w:sectPr w:rsidR="008D28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822"/>
    <w:rsid w:val="008D2822"/>
    <w:rsid w:val="00F8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4484F7"/>
  <w15:chartTrackingRefBased/>
  <w15:docId w15:val="{B4DA364D-93B9-0946-9E61-AC7F15556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822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D282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nhideWhenUsed/>
    <w:qFormat/>
    <w:rsid w:val="008D282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282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nhideWhenUsed/>
    <w:qFormat/>
    <w:rsid w:val="008D282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282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282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282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282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282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2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rsid w:val="008D2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2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rsid w:val="008D28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28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28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28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28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28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28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8D2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282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8D2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282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8D28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282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8D28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2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28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2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175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henrique tavares pauletti</dc:creator>
  <cp:keywords/>
  <dc:description/>
  <cp:lastModifiedBy>ivan henrique tavares pauletti</cp:lastModifiedBy>
  <cp:revision>1</cp:revision>
  <dcterms:created xsi:type="dcterms:W3CDTF">2024-07-12T18:21:00Z</dcterms:created>
  <dcterms:modified xsi:type="dcterms:W3CDTF">2024-07-12T18:22:00Z</dcterms:modified>
</cp:coreProperties>
</file>